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v1.13</w:t>
      </w:r>
    </w:p>
    <w:p>
      <w:pPr>
        <w:jc w:val="center"/>
      </w:pPr>
      <w:r>
        <w:t>Private 1,000-Worker Trading Research &amp; Paper-Trading Organization</w:t>
      </w:r>
    </w:p>
    <w:p>
      <w:r/>
    </w:p>
    <w:p>
      <w:r>
        <w:t>Version: 1.13</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v0.14</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replay/paper lifecycle; 2) runtime snapshot/projection recovery; 3) durable evidence fan-out and specialist councils; 4) genuine research/backtest/OOS/walk-forward/paper loop; 5) whale/smart-money ingestion; 6) portfolio optimizer and champion/challenger; 7) low-latency execution; 8) isolated worker-code sandbox; 9) readiness gates and controlled live execution.</w:t>
      </w:r>
    </w:p>
    <w:p>
      <w:r>
        <w:t>Current validation status</w:t>
      </w:r>
    </w:p>
    <w:p>
      <w:r>
        <w:t>Focused trading verification after v0.14 is 47/47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v1.13: deterministic replay manifests and tamper-evident market-tick provenance (v0.13).</w:t>
      </w:r>
    </w:p>
    <w:p>
      <w:pPr>
        <w:pStyle w:val="Heading1"/>
      </w:pPr>
      <w:r>
        <w:t>29. v1.13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v0.14 and do not reset completed durable queue, worker-registry, supervisor, provenance, recovery or replay-manifest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v0.14. Preserve the durable queue, 1,000-worker supervisor, task-result provenance, durable market journal and deterministic replay-manifest layer.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t>Paper orders and account state are still process-local. Migration 0006 defines durable order/fill storage, but the runtime does not yet rebuild cash, positions, pending orders, risk state, and event cursors from those records after restart.</w:t>
      </w:r>
    </w:p>
    <w:p>
      <w:pPr>
        <w:pStyle w:val="Heading2"/>
      </w:pPr>
      <w:r>
        <w:t>Next Implementation Order</w:t>
      </w:r>
    </w:p>
    <w:p>
      <w:pPr>
        <w:pStyle w:val="ListNumber"/>
      </w:pPr>
      <w:r>
        <w:t>Runtime snapshot/projection recovery for cash, positions, risk state, pending orders, and event cursors.</w:t>
      </w:r>
    </w:p>
    <w:p>
      <w:pPr>
        <w:pStyle w:val="ListNumber"/>
      </w:pPr>
      <w:r>
        <w:t>Durable market/news/macro/risk evidence fan-out into targeted specialist tasks and councils.</w:t>
      </w:r>
    </w:p>
    <w:p>
      <w:pPr>
        <w:pStyle w:val="ListNumber"/>
      </w:pPr>
      <w:r>
        <w:t>Genuine research → backtest → out-of-sample → walk-forward → paper-trading loop with experiment lineage.</w:t>
      </w:r>
    </w:p>
    <w:p>
      <w:pPr>
        <w:pStyle w:val="ListNumber"/>
      </w:pPr>
      <w:r>
        <w:t>Whale/smart-money ingestion, attribution, and entity history.</w:t>
      </w:r>
    </w:p>
    <w:p>
      <w:pPr>
        <w:pStyle w:val="ListNumber"/>
      </w:pPr>
      <w:r>
        <w:t>Portfolio optimizer + champion/challenger strategy system.</w:t>
      </w:r>
    </w:p>
    <w:p>
      <w:pPr>
        <w:pStyle w:val="ListNumber"/>
      </w:pPr>
      <w:r>
        <w:t>Low-latency execution path, isolated worker-code sandbox, readiness gates, and controlled live execution.</w:t>
      </w:r>
    </w:p>
    <w:p>
      <w:r>
        <w:t>Resume rule: preserve all v0.14 paper lifecycle behavior, durable event/task infrastructure, 1,000-worker supervisor, and deterministic replay/provenance layers. Do not enable live execution from this milestone.</w:t>
      </w:r>
    </w:p>
    <w:p>
      <w:pPr>
        <w:pStyle w:val="Heading1"/>
      </w:pPr>
      <w:r>
        <w:t>v0.14 / v1.13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t>Known limitation: the process-local PaperExchange is not yet reconstructed from SQL order/fill records after restart. Runtime snapshot/projection recovery remains the next milestone.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