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5s4p07qf68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340"/>
        <w:gridCol w:w="7740"/>
        <w:tblGridChange w:id="0">
          <w:tblGrid>
            <w:gridCol w:w="2340"/>
            <w:gridCol w:w="774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Bladimir Piña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5eizoe8pm9tf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Diseñar, desarrollar e implementar software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Gestionar bases de datosl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Administrar infraestructuras tecnológicas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Integrar soluciones tecnológicas en las organizaciones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Liderar y trabajar en equipos multidisciplinarios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Aplicar principios éticos y de responsabilidad socia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X0HDZ5hkjTI/sWhg9bXs37L0Q==">CgMxLjAyDmguYjVzNHAwN3FmNjg3Mg5oLjVlaXpvZThwbTl0ZjgAciExR0tQSHo0Y3JEcXI1XzluY3lNTjE2TFFQRjVXU1JtcGU=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