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6" w:name="content"/>
    <w:bookmarkStart w:id="75" w:name="X8294be5b732a54dff161e2f4fbea14da59f552e"/>
    <w:p>
      <w:pPr>
        <w:pStyle w:val="Heading1"/>
      </w:pPr>
      <w:r>
        <w:t xml:space="preserve">AI-Native Indian Coffee Trading Platform PRD and Four-Week MVP Blueprint</w:t>
      </w:r>
    </w:p>
    <w:bookmarkStart w:id="30" w:name="executive-summary"/>
    <w:p>
      <w:pPr>
        <w:pStyle w:val="Heading2"/>
      </w:pPr>
      <w:r>
        <w:t xml:space="preserve">Executive summary</w:t>
      </w:r>
    </w:p>
    <w:p>
      <w:pPr>
        <w:pStyle w:val="FirstParagraph"/>
      </w:pPr>
      <w:r>
        <w:t xml:space="preserve">You are building an AI-native</w:t>
      </w:r>
      <w:r>
        <w:t xml:space="preserve"> </w:t>
      </w:r>
      <w:r>
        <w:rPr>
          <w:b/>
          <w:bCs/>
        </w:rPr>
        <w:t xml:space="preserve">trade marketplace + compliance data layer</w:t>
      </w:r>
      <w:r>
        <w:t xml:space="preserve"> </w:t>
      </w:r>
      <w:r>
        <w:t xml:space="preserve">that makes it dramatically easier for buyers in the United States</w:t>
      </w:r>
      <w:hyperlink r:id="rId21">
        <w:r>
          <w:rPr>
            <w:rStyle w:val="Hyperlink"/>
          </w:rPr>
          <w:t xml:space="preserve">[1]</w:t>
        </w:r>
      </w:hyperlink>
      <w:r>
        <w:t xml:space="preserve"> </w:t>
      </w:r>
      <w:r>
        <w:t xml:space="preserve">and European Union</w:t>
      </w:r>
      <w:hyperlink r:id="rId22">
        <w:r>
          <w:rPr>
            <w:rStyle w:val="Hyperlink"/>
          </w:rPr>
          <w:t xml:space="preserve">[2]</w:t>
        </w:r>
      </w:hyperlink>
      <w:r>
        <w:t xml:space="preserve"> </w:t>
      </w:r>
      <w:r>
        <w:t xml:space="preserve">to discover, evaluate, and purchase coffee sourced from India</w:t>
      </w:r>
      <w:hyperlink r:id="rId23">
        <w:r>
          <w:rPr>
            <w:rStyle w:val="Hyperlink"/>
          </w:rPr>
          <w:t xml:space="preserve">[3]</w:t>
        </w:r>
      </w:hyperlink>
      <w:r>
        <w:t xml:space="preserve">—starting with B2B (roasters, importers, distributors) and expanding to B2C later. The “AI-native” part is not a chatbot; it’s a</w:t>
      </w:r>
      <w:r>
        <w:t xml:space="preserve"> </w:t>
      </w:r>
      <w:r>
        <w:rPr>
          <w:b/>
          <w:bCs/>
        </w:rPr>
        <w:t xml:space="preserve">lot ledger</w:t>
      </w:r>
      <w:r>
        <w:t xml:space="preserve"> </w:t>
      </w:r>
      <w:r>
        <w:t xml:space="preserve">and decision engine that turns each export lot into a verifiable digital object (specs + QC + documents + traceability edges + EUDR-ready geolocation fields). This is aligned with how India’s coffee exports operate under the Coffee Board’s export permit and certificate processes (RCMC registration, Form‑C export permits, ICO certificate of origin, and required post‑shipment document submission within 45 days).</w:t>
      </w:r>
      <w:r>
        <w:t xml:space="preserve"> </w:t>
      </w:r>
      <w:hyperlink r:id="rId24">
        <w:r>
          <w:rPr>
            <w:rStyle w:val="Hyperlink"/>
          </w:rPr>
          <w:t xml:space="preserve">[4]</w:t>
        </w:r>
      </w:hyperlink>
    </w:p>
    <w:p>
      <w:pPr>
        <w:pStyle w:val="BodyText"/>
      </w:pPr>
      <w:r>
        <w:t xml:space="preserve">The most feasible and capital-light operating model for a 4-week MVP is a</w:t>
      </w:r>
      <w:r>
        <w:t xml:space="preserve"> </w:t>
      </w:r>
      <w:r>
        <w:rPr>
          <w:b/>
          <w:bCs/>
        </w:rPr>
        <w:t xml:space="preserve">charge-on-order marketplace</w:t>
      </w:r>
      <w:r>
        <w:t xml:space="preserve"> </w:t>
      </w:r>
      <w:r>
        <w:t xml:space="preserve">(commission only on executed orders) where the</w:t>
      </w:r>
      <w:r>
        <w:t xml:space="preserve"> </w:t>
      </w:r>
      <w:r>
        <w:rPr>
          <w:b/>
          <w:bCs/>
        </w:rPr>
        <w:t xml:space="preserve">buyer is importer/consignee</w:t>
      </w:r>
      <w:r>
        <w:t xml:space="preserve"> </w:t>
      </w:r>
      <w:r>
        <w:t xml:space="preserve">and your platform</w:t>
      </w:r>
      <w:r>
        <w:t xml:space="preserve"> </w:t>
      </w:r>
      <w:r>
        <w:rPr>
          <w:i/>
          <w:iCs/>
        </w:rPr>
        <w:t xml:space="preserve">does not take title</w:t>
      </w:r>
      <w:r>
        <w:t xml:space="preserve">. This reduces the risk that you become the default U.S. FSVP importer, which the Food and Drug Administration</w:t>
      </w:r>
      <w:hyperlink r:id="rId24">
        <w:r>
          <w:rPr>
            <w:rStyle w:val="Hyperlink"/>
          </w:rPr>
          <w:t xml:space="preserve">[5]</w:t>
        </w:r>
      </w:hyperlink>
      <w:r>
        <w:t xml:space="preserve"> </w:t>
      </w:r>
      <w:r>
        <w:t xml:space="preserve">defines (for FSVP purposes) as the U.S. owner or consignee at entry (or the U.S. agent/representative if none exists).</w:t>
      </w:r>
      <w:r>
        <w:t xml:space="preserve"> </w:t>
      </w:r>
      <w:hyperlink r:id="rId25">
        <w:r>
          <w:rPr>
            <w:rStyle w:val="Hyperlink"/>
          </w:rPr>
          <w:t xml:space="preserve">[6]</w:t>
        </w:r>
      </w:hyperlink>
    </w:p>
    <w:p>
      <w:pPr>
        <w:pStyle w:val="BodyText"/>
      </w:pPr>
      <w:r>
        <w:t xml:space="preserve">The compliance environment (especially in the EU) makes the “data layer” strategically valuable. EU food law requires traceability systems (Article 18) and assigns explicit withdrawal/recall duties to food business operators (Article 19).</w:t>
      </w:r>
      <w:r>
        <w:t xml:space="preserve"> </w:t>
      </w:r>
      <w:hyperlink r:id="rId26">
        <w:r>
          <w:rPr>
            <w:rStyle w:val="Hyperlink"/>
          </w:rPr>
          <w:t xml:space="preserve">[7]</w:t>
        </w:r>
      </w:hyperlink>
      <w:r>
        <w:t xml:space="preserve"> </w:t>
      </w:r>
      <w:r>
        <w:t xml:space="preserve">The EU Food Information regulation assigns labeling responsibility to the operator under whose name the food is marketed (or, if not established in the EU, the importer).</w:t>
      </w:r>
      <w:r>
        <w:t xml:space="preserve"> </w:t>
      </w:r>
      <w:hyperlink r:id="rId27">
        <w:r>
          <w:rPr>
            <w:rStyle w:val="Hyperlink"/>
          </w:rPr>
          <w:t xml:space="preserve">[8]</w:t>
        </w:r>
      </w:hyperlink>
      <w:r>
        <w:t xml:space="preserve"> </w:t>
      </w:r>
      <w:r>
        <w:t xml:space="preserve">The EU Deforestation Regulation (EUDR) requires due diligence systems to include source/supplier information and</w:t>
      </w:r>
      <w:r>
        <w:t xml:space="preserve"> </w:t>
      </w:r>
      <w:r>
        <w:rPr>
          <w:b/>
          <w:bCs/>
        </w:rPr>
        <w:t xml:space="preserve">geolocation coordinates of relevant plots</w:t>
      </w:r>
      <w:r>
        <w:t xml:space="preserve">; coffee is explicitly within scope (HS 0901).</w:t>
      </w:r>
      <w:r>
        <w:t xml:space="preserve"> </w:t>
      </w:r>
      <w:hyperlink r:id="rId28">
        <w:r>
          <w:rPr>
            <w:rStyle w:val="Hyperlink"/>
          </w:rPr>
          <w:t xml:space="preserve">[9]</w:t>
        </w:r>
      </w:hyperlink>
      <w:r>
        <w:t xml:space="preserve"> </w:t>
      </w:r>
      <w:r>
        <w:t xml:space="preserve">Official EU guidance confirms EUDR’s main compliance date is postponed to</w:t>
      </w:r>
      <w:r>
        <w:t xml:space="preserve"> </w:t>
      </w:r>
      <w:r>
        <w:rPr>
          <w:b/>
          <w:bCs/>
        </w:rPr>
        <w:t xml:space="preserve">30 December 2026</w:t>
      </w:r>
      <w:r>
        <w:t xml:space="preserve"> </w:t>
      </w:r>
      <w:r>
        <w:t xml:space="preserve">for large operators and</w:t>
      </w:r>
      <w:r>
        <w:t xml:space="preserve"> </w:t>
      </w:r>
      <w:r>
        <w:rPr>
          <w:b/>
          <w:bCs/>
        </w:rPr>
        <w:t xml:space="preserve">30 June 2027</w:t>
      </w:r>
      <w:r>
        <w:t xml:space="preserve"> </w:t>
      </w:r>
      <w:r>
        <w:t xml:space="preserve">for micro/small enterprises and natural persons.</w:t>
      </w:r>
      <w:r>
        <w:t xml:space="preserve"> </w:t>
      </w:r>
      <w:hyperlink r:id="rId29">
        <w:r>
          <w:rPr>
            <w:rStyle w:val="Hyperlink"/>
          </w:rPr>
          <w:t xml:space="preserve">[10]</w:t>
        </w:r>
      </w:hyperlink>
    </w:p>
    <w:p>
      <w:pPr>
        <w:pStyle w:val="BodyText"/>
      </w:pPr>
      <w:r>
        <w:t xml:space="preserve">The deliverable in four weeks is a</w:t>
      </w:r>
      <w:r>
        <w:t xml:space="preserve"> </w:t>
      </w:r>
      <w:r>
        <w:rPr>
          <w:b/>
          <w:bCs/>
        </w:rPr>
        <w:t xml:space="preserve">PRD-anchored MVP</w:t>
      </w:r>
      <w:r>
        <w:t xml:space="preserve">: supplier portal (list lots + upload docs), B2B buyer portal (search/filter + request samples/quotes), admin console (verify suppliers/lots/docs + manage “deal pipeline”), and a minimal “compliance pack” generator. The system should explicitly support three execution models in the data schema (marketplace / dropship / consignment), but only fully implement the marketplace workflow in the MVP for speed and regulatory containment.</w:t>
      </w:r>
      <w:r>
        <w:t xml:space="preserve"> </w:t>
      </w:r>
      <w:hyperlink r:id="rId24">
        <w:r>
          <w:rPr>
            <w:rStyle w:val="Hyperlink"/>
          </w:rPr>
          <w:t xml:space="preserve">[11]</w:t>
        </w:r>
      </w:hyperlink>
    </w:p>
    <w:bookmarkEnd w:id="30"/>
    <w:bookmarkStart w:id="31" w:name="assumptions-and-success-criteria"/>
    <w:p>
      <w:pPr>
        <w:pStyle w:val="Heading2"/>
      </w:pPr>
      <w:r>
        <w:t xml:space="preserve">Assumptions and success criteria</w:t>
      </w:r>
    </w:p>
    <w:p>
      <w:pPr>
        <w:pStyle w:val="FirstParagraph"/>
      </w:pPr>
      <w:r>
        <w:t xml:space="preserve">Unstated assumptions (explicitly listed per request):</w:t>
      </w:r>
    </w:p>
    <w:p>
      <w:pPr>
        <w:pStyle w:val="Compact"/>
        <w:numPr>
          <w:ilvl w:val="0"/>
          <w:numId w:val="1001"/>
        </w:numPr>
      </w:pPr>
      <w:r>
        <w:t xml:space="preserve">Primary markets: the United States and the European Union; supply from India.</w:t>
      </w:r>
    </w:p>
    <w:p>
      <w:pPr>
        <w:pStyle w:val="Compact"/>
        <w:numPr>
          <w:ilvl w:val="0"/>
          <w:numId w:val="1001"/>
        </w:numPr>
      </w:pPr>
      <w:r>
        <w:t xml:space="preserve">Target customers: both B2B and B2C (B2C is later-stage; MVP is B2B-first).</w:t>
      </w:r>
    </w:p>
    <w:p>
      <w:pPr>
        <w:pStyle w:val="Compact"/>
        <w:numPr>
          <w:ilvl w:val="0"/>
          <w:numId w:val="1001"/>
        </w:numPr>
      </w:pPr>
      <w:r>
        <w:t xml:space="preserve">Founder can build the MVP (engineering + product execution) with limited contractor support.</w:t>
      </w:r>
    </w:p>
    <w:p>
      <w:pPr>
        <w:pStyle w:val="Compact"/>
        <w:numPr>
          <w:ilvl w:val="0"/>
          <w:numId w:val="1001"/>
        </w:numPr>
      </w:pPr>
      <w:r>
        <w:t xml:space="preserve">No specified budget; capital needs are presented as scenario ranges with explicit assumptions.</w:t>
      </w:r>
    </w:p>
    <w:p>
      <w:pPr>
        <w:pStyle w:val="FirstParagraph"/>
      </w:pPr>
      <w:r>
        <w:t xml:space="preserve">Business and product “success” for the MVP is defined as</w:t>
      </w:r>
      <w:r>
        <w:t xml:space="preserve"> </w:t>
      </w:r>
      <w:r>
        <w:rPr>
          <w:b/>
          <w:bCs/>
        </w:rPr>
        <w:t xml:space="preserve">conversion to real procurement actions</w:t>
      </w:r>
      <w:r>
        <w:t xml:space="preserve">, not app installs:</w:t>
      </w:r>
    </w:p>
    <w:p>
      <w:pPr>
        <w:pStyle w:val="Compact"/>
        <w:numPr>
          <w:ilvl w:val="0"/>
          <w:numId w:val="1002"/>
        </w:numPr>
      </w:pPr>
      <w:r>
        <w:t xml:space="preserve">Supply liquidity: 10–20 verified suppliers onboarded and 30–60 active lots listed (with minimum data compliance).</w:t>
      </w:r>
    </w:p>
    <w:p>
      <w:pPr>
        <w:pStyle w:val="Compact"/>
        <w:numPr>
          <w:ilvl w:val="0"/>
          <w:numId w:val="1002"/>
        </w:numPr>
      </w:pPr>
      <w:r>
        <w:t xml:space="preserve">Demand signal: 20–40 qualified B2B buyer inquiries; 5–10 sample requests; 1–3 executed transactions (even if operations are partly manual).</w:t>
      </w:r>
    </w:p>
    <w:p>
      <w:pPr>
        <w:pStyle w:val="Compact"/>
        <w:numPr>
          <w:ilvl w:val="0"/>
          <w:numId w:val="1002"/>
        </w:numPr>
      </w:pPr>
      <w:r>
        <w:t xml:space="preserve">Compliance readiness: ≥80% of active lots have a complete “minimum document pack” (export-ready fields + placeholders for export permit/COO workflow).</w:t>
      </w:r>
    </w:p>
    <w:p>
      <w:pPr>
        <w:pStyle w:val="Compact"/>
        <w:numPr>
          <w:ilvl w:val="0"/>
          <w:numId w:val="1002"/>
        </w:numPr>
      </w:pPr>
      <w:r>
        <w:t xml:space="preserve">Quality signal: ≥90% of lots have moisture specs and a QC intake checklist populated (even if buyer-side for marketplace mode).</w:t>
      </w:r>
      <w:r>
        <w:t xml:space="preserve"> </w:t>
      </w:r>
      <w:hyperlink r:id="rId22">
        <w:r>
          <w:rPr>
            <w:rStyle w:val="Hyperlink"/>
          </w:rPr>
          <w:t xml:space="preserve">[12]</w:t>
        </w:r>
      </w:hyperlink>
    </w:p>
    <w:bookmarkEnd w:id="31"/>
    <w:bookmarkStart w:id="36" w:name="X3619016fca49caf1b39bdbd0908a6e27648e636"/>
    <w:p>
      <w:pPr>
        <w:pStyle w:val="Heading2"/>
      </w:pPr>
      <w:r>
        <w:t xml:space="preserve">Product specification and user experience</w:t>
      </w:r>
    </w:p>
    <w:p>
      <w:pPr>
        <w:pStyle w:val="FirstParagraph"/>
      </w:pPr>
      <w:r>
        <w:t xml:space="preserve">The “final product” is three integrated surfaces sharing a common lot ledger: a supplier portal, a B2B portal, and (later) a consumer app.</w:t>
      </w:r>
    </w:p>
    <w:bookmarkStart w:id="32" w:name="supplier-portal"/>
    <w:p>
      <w:pPr>
        <w:pStyle w:val="Heading3"/>
      </w:pPr>
      <w:r>
        <w:t xml:space="preserve">Supplier portal</w:t>
      </w:r>
    </w:p>
    <w:p>
      <w:pPr>
        <w:pStyle w:val="FirstParagraph"/>
      </w:pPr>
      <w:r>
        <w:t xml:space="preserve">Primary jobs-to-be-done:</w:t>
      </w:r>
      <w:r>
        <w:t xml:space="preserve"> </w:t>
      </w:r>
      <w:r>
        <w:t xml:space="preserve">- List exportable coffee lots in a standardized schema aligned to Indian grading/typing and export workflows.</w:t>
      </w:r>
      <w:r>
        <w:t xml:space="preserve"> </w:t>
      </w:r>
      <w:r>
        <w:t xml:space="preserve">- Upload and manage documents and QC evidence.</w:t>
      </w:r>
      <w:r>
        <w:t xml:space="preserve"> </w:t>
      </w:r>
      <w:r>
        <w:t xml:space="preserve">- Manage inquiries, commitments, and settlement.</w:t>
      </w:r>
    </w:p>
    <w:p>
      <w:pPr>
        <w:pStyle w:val="BodyText"/>
      </w:pPr>
      <w:r>
        <w:t xml:space="preserve">Core supplier features (final-state):</w:t>
      </w:r>
      <w:r>
        <w:t xml:space="preserve"> </w:t>
      </w:r>
      <w:r>
        <w:t xml:space="preserve">- Supplier identity &amp; capability profile (RCMC/export readiness fields).</w:t>
      </w:r>
      <w:r>
        <w:t xml:space="preserve"> </w:t>
      </w:r>
      <w:r>
        <w:t xml:space="preserve">- Lot creation wizard: type/grade category, process, harvest window, available quantity, MOQ, price band, sample availability.</w:t>
      </w:r>
      <w:r>
        <w:t xml:space="preserve"> </w:t>
      </w:r>
      <w:r>
        <w:t xml:space="preserve">- Document vault: upload/validate permits, certifications, shipment docs; track missing items against a checklist.</w:t>
      </w:r>
      <w:r>
        <w:t xml:space="preserve"> </w:t>
      </w:r>
      <w:r>
        <w:t xml:space="preserve">- Order/inquiry management and milestone tracking.</w:t>
      </w:r>
      <w:r>
        <w:t xml:space="preserve"> </w:t>
      </w:r>
      <w:r>
        <w:t xml:space="preserve">- Payout dashboard (including holds/reserves by policy).</w:t>
      </w:r>
    </w:p>
    <w:p>
      <w:pPr>
        <w:pStyle w:val="BodyText"/>
      </w:pPr>
      <w:r>
        <w:t xml:space="preserve">This structure is designed to mirror export reality: the Coffee Board’s exporter guidance explicitly describes RCMC registration, online filing for export permit (Form‑C) and ICO certificate of origin, and required submission of post-shipment documents within 45 days.</w:t>
      </w:r>
      <w:r>
        <w:t xml:space="preserve"> </w:t>
      </w:r>
      <w:hyperlink r:id="rId24">
        <w:r>
          <w:rPr>
            <w:rStyle w:val="Hyperlink"/>
          </w:rPr>
          <w:t xml:space="preserve">[4]</w:t>
        </w:r>
      </w:hyperlink>
    </w:p>
    <w:bookmarkEnd w:id="32"/>
    <w:bookmarkStart w:id="33" w:name="b2b-buyer-portal"/>
    <w:p>
      <w:pPr>
        <w:pStyle w:val="Heading3"/>
      </w:pPr>
      <w:r>
        <w:t xml:space="preserve">B2B buyer portal</w:t>
      </w:r>
    </w:p>
    <w:p>
      <w:pPr>
        <w:pStyle w:val="FirstParagraph"/>
      </w:pPr>
      <w:r>
        <w:t xml:space="preserve">Primary jobs-to-be-done:</w:t>
      </w:r>
      <w:r>
        <w:t xml:space="preserve"> </w:t>
      </w:r>
      <w:r>
        <w:t xml:space="preserve">- Discover lots that match roast program needs (taste profile + price + MOQ + reliability + documentation).</w:t>
      </w:r>
      <w:r>
        <w:t xml:space="preserve"> </w:t>
      </w:r>
      <w:r>
        <w:t xml:space="preserve">- Request samples and quotes quickly.</w:t>
      </w:r>
      <w:r>
        <w:t xml:space="preserve"> </w:t>
      </w:r>
      <w:r>
        <w:t xml:space="preserve">- Download compliance packs and manage intake QC / claims.</w:t>
      </w:r>
    </w:p>
    <w:p>
      <w:pPr>
        <w:pStyle w:val="BodyText"/>
      </w:pPr>
      <w:r>
        <w:t xml:space="preserve">Core buyer features (final-state):</w:t>
      </w:r>
      <w:r>
        <w:t xml:space="preserve"> </w:t>
      </w:r>
      <w:r>
        <w:t xml:space="preserve">- Search and filters (origin/region, grade/type, processing, MOQ, availability, documentation completeness).</w:t>
      </w:r>
      <w:r>
        <w:t xml:space="preserve"> </w:t>
      </w:r>
      <w:r>
        <w:t xml:space="preserve">- Lot detail pages with “why this lot fits your profile.”</w:t>
      </w:r>
      <w:r>
        <w:t xml:space="preserve"> </w:t>
      </w:r>
      <w:r>
        <w:t xml:space="preserve">- RFQ / sample-request workflow with buyer qualification capture.</w:t>
      </w:r>
      <w:r>
        <w:t xml:space="preserve"> </w:t>
      </w:r>
      <w:r>
        <w:t xml:space="preserve">- Compliance pack download (documents + structured lot ledger summary).</w:t>
      </w:r>
      <w:r>
        <w:t xml:space="preserve"> </w:t>
      </w:r>
      <w:r>
        <w:t xml:space="preserve">- Intake QC + dispute workflow tied to lot IDs.</w:t>
      </w:r>
    </w:p>
    <w:p>
      <w:pPr>
        <w:pStyle w:val="BodyText"/>
      </w:pPr>
      <w:r>
        <w:t xml:space="preserve">EU buyers are increasingly motivated by traceability and due diligence readiness; EU law requires traceability systems and procedures (Article 18), and the EUDR expects plot geolocation and supply source visibility.</w:t>
      </w:r>
      <w:r>
        <w:t xml:space="preserve"> </w:t>
      </w:r>
      <w:hyperlink r:id="rId26">
        <w:r>
          <w:rPr>
            <w:rStyle w:val="Hyperlink"/>
          </w:rPr>
          <w:t xml:space="preserve">[13]</w:t>
        </w:r>
      </w:hyperlink>
    </w:p>
    <w:bookmarkEnd w:id="33"/>
    <w:bookmarkStart w:id="34" w:name="consumer-app"/>
    <w:p>
      <w:pPr>
        <w:pStyle w:val="Heading3"/>
      </w:pPr>
      <w:r>
        <w:t xml:space="preserve">Consumer app</w:t>
      </w:r>
    </w:p>
    <w:p>
      <w:pPr>
        <w:pStyle w:val="FirstParagraph"/>
      </w:pPr>
      <w:r>
        <w:t xml:space="preserve">Consumer is not the first wedge (because consumer cross-border is where VAT, labeling responsibility, and returns friction spike), but the consumer app is part of the long‑term spec. EU rules also clarify that distance selling still must provide mandatory food information prior to purchase completion, and Article 8 assigns responsibility for food information.</w:t>
      </w:r>
      <w:r>
        <w:t xml:space="preserve"> </w:t>
      </w:r>
      <w:hyperlink r:id="rId27">
        <w:r>
          <w:rPr>
            <w:rStyle w:val="Hyperlink"/>
          </w:rPr>
          <w:t xml:space="preserve">[8]</w:t>
        </w:r>
      </w:hyperlink>
    </w:p>
    <w:p>
      <w:pPr>
        <w:pStyle w:val="BodyText"/>
      </w:pPr>
      <w:r>
        <w:t xml:space="preserve">Consumer app (final-state) core modules:</w:t>
      </w:r>
      <w:r>
        <w:t xml:space="preserve"> </w:t>
      </w:r>
      <w:r>
        <w:t xml:space="preserve">- Taste onboarding → preference profile.</w:t>
      </w:r>
      <w:r>
        <w:t xml:space="preserve"> </w:t>
      </w:r>
      <w:r>
        <w:t xml:space="preserve">- Recommendation feed and subscriptions.</w:t>
      </w:r>
      <w:r>
        <w:t xml:space="preserve"> </w:t>
      </w:r>
      <w:r>
        <w:t xml:space="preserve">- QR/lot provenance page (pulls directly from lot ledger).</w:t>
      </w:r>
      <w:r>
        <w:t xml:space="preserve"> </w:t>
      </w:r>
      <w:r>
        <w:t xml:space="preserve">- Reorder/substitution suggestions when a lot changes seasonally.</w:t>
      </w:r>
      <w:r>
        <w:t xml:space="preserve"> </w:t>
      </w:r>
      <w:r>
        <w:t xml:space="preserve">- Support and incident notifications.</w:t>
      </w:r>
    </w:p>
    <w:bookmarkEnd w:id="34"/>
    <w:bookmarkStart w:id="35" w:name="ai-feature-set"/>
    <w:p>
      <w:pPr>
        <w:pStyle w:val="Heading3"/>
      </w:pPr>
      <w:r>
        <w:t xml:space="preserve">AI feature set</w:t>
      </w:r>
    </w:p>
    <w:p>
      <w:pPr>
        <w:pStyle w:val="FirstParagraph"/>
      </w:pPr>
      <w:r>
        <w:t xml:space="preserve">AI is valuable when it compresses procurement time and de-risks compliance.</w:t>
      </w:r>
    </w:p>
    <w:p>
      <w:pPr>
        <w:pStyle w:val="BodyText"/>
      </w:pPr>
      <w:r>
        <w:t xml:space="preserve">MVP-stage “AI” (rules + lightweight ranking):</w:t>
      </w:r>
      <w:r>
        <w:t xml:space="preserve"> </w:t>
      </w:r>
      <w:r>
        <w:t xml:space="preserve">- Rank lots by buyer constraints (MOQ, availability, process, price band, doc completeness) and present “why recommended.”</w:t>
      </w:r>
      <w:r>
        <w:t xml:space="preserve"> </w:t>
      </w:r>
      <w:r>
        <w:t xml:space="preserve">- Document completeness scoring (missing-field detection).</w:t>
      </w:r>
    </w:p>
    <w:p>
      <w:pPr>
        <w:pStyle w:val="BodyText"/>
      </w:pPr>
      <w:r>
        <w:t xml:space="preserve">Post-MVP AI:</w:t>
      </w:r>
      <w:r>
        <w:t xml:space="preserve"> </w:t>
      </w:r>
      <w:r>
        <w:t xml:space="preserve">- Buyer–lot matching model (learning-to-rank) using lot metadata + inquiry/acceptance outcomes.</w:t>
      </w:r>
      <w:r>
        <w:t xml:space="preserve"> </w:t>
      </w:r>
      <w:r>
        <w:t xml:space="preserve">- Doc intelligence: auto-classify documents; extract key fields for compliance packs.</w:t>
      </w:r>
      <w:r>
        <w:t xml:space="preserve"> </w:t>
      </w:r>
      <w:r>
        <w:t xml:space="preserve">- EUDR readiness scoring: completeness and risk flags (e.g., missing polygon/geocoordinates; incomplete supplier chain).</w:t>
      </w:r>
      <w:r>
        <w:t xml:space="preserve"> </w:t>
      </w:r>
      <w:r>
        <w:t xml:space="preserve">- Quality risk flags: moisture outliers, repeated defect claims per supplier/category.</w:t>
      </w:r>
    </w:p>
    <w:p>
      <w:pPr>
        <w:pStyle w:val="BodyText"/>
      </w:pPr>
      <w:r>
        <w:t xml:space="preserve">EUDR explicitly frames due diligence systems as including access to sources/suppliers information and geolocation coordinates, supporting the strategic value of a readiness scoring layer.</w:t>
      </w:r>
      <w:r>
        <w:t xml:space="preserve"> </w:t>
      </w:r>
      <w:hyperlink r:id="rId28">
        <w:r>
          <w:rPr>
            <w:rStyle w:val="Hyperlink"/>
          </w:rPr>
          <w:t xml:space="preserve">[14]</w:t>
        </w:r>
      </w:hyperlink>
    </w:p>
    <w:bookmarkEnd w:id="35"/>
    <w:bookmarkEnd w:id="36"/>
    <w:bookmarkStart w:id="43" w:name="architecture-data-model-and-apis"/>
    <w:p>
      <w:pPr>
        <w:pStyle w:val="Heading2"/>
      </w:pPr>
      <w:r>
        <w:t xml:space="preserve">Architecture, data model, and APIs</w:t>
      </w:r>
    </w:p>
    <w:bookmarkStart w:id="37" w:name="reference-tech-stack"/>
    <w:p>
      <w:pPr>
        <w:pStyle w:val="Heading3"/>
      </w:pPr>
      <w:r>
        <w:t xml:space="preserve">Reference tech stack</w:t>
      </w:r>
    </w:p>
    <w:p>
      <w:pPr>
        <w:pStyle w:val="FirstParagraph"/>
      </w:pPr>
      <w:r>
        <w:t xml:space="preserve">This stack is optimized for founder velocity and auditability:</w:t>
      </w:r>
    </w:p>
    <w:p>
      <w:pPr>
        <w:pStyle w:val="Compact"/>
        <w:numPr>
          <w:ilvl w:val="0"/>
          <w:numId w:val="1003"/>
        </w:numPr>
      </w:pPr>
      <w:r>
        <w:t xml:space="preserve">Web clients: Next.js (supplier + buyer + admin).</w:t>
      </w:r>
    </w:p>
    <w:p>
      <w:pPr>
        <w:pStyle w:val="Compact"/>
        <w:numPr>
          <w:ilvl w:val="0"/>
          <w:numId w:val="1003"/>
        </w:numPr>
      </w:pPr>
      <w:r>
        <w:t xml:space="preserve">Backend: API service (Node or Python) + background job runner (document workflows, pack generation, payouts).</w:t>
      </w:r>
    </w:p>
    <w:p>
      <w:pPr>
        <w:pStyle w:val="Compact"/>
        <w:numPr>
          <w:ilvl w:val="0"/>
          <w:numId w:val="1003"/>
        </w:numPr>
      </w:pPr>
      <w:r>
        <w:t xml:space="preserve">Storage: object store for documents (immutable + checksummed).</w:t>
      </w:r>
    </w:p>
    <w:p>
      <w:pPr>
        <w:pStyle w:val="Compact"/>
        <w:numPr>
          <w:ilvl w:val="0"/>
          <w:numId w:val="1003"/>
        </w:numPr>
      </w:pPr>
      <w:r>
        <w:t xml:space="preserve">Database: Postgres for transactional records.</w:t>
      </w:r>
    </w:p>
    <w:p>
      <w:pPr>
        <w:pStyle w:val="Compact"/>
        <w:numPr>
          <w:ilvl w:val="0"/>
          <w:numId w:val="1003"/>
        </w:numPr>
      </w:pPr>
      <w:r>
        <w:t xml:space="preserve">Analytics: event capture → warehouse later (for matching models and funnel analysis).</w:t>
      </w:r>
    </w:p>
    <w:bookmarkEnd w:id="37"/>
    <w:bookmarkStart w:id="40" w:name="lot-ledger-and-document-model"/>
    <w:p>
      <w:pPr>
        <w:pStyle w:val="Heading3"/>
      </w:pPr>
      <w:r>
        <w:t xml:space="preserve">Lot ledger and document model</w:t>
      </w:r>
    </w:p>
    <w:p>
      <w:pPr>
        <w:pStyle w:val="FirstParagraph"/>
      </w:pPr>
      <w:r>
        <w:t xml:space="preserve">Your “lot ledger” is the core product. It must satisfy three needs simultaneously:</w:t>
      </w:r>
      <w:r>
        <w:t xml:space="preserve"> </w:t>
      </w:r>
      <w:r>
        <w:t xml:space="preserve">- Trade execution and settlement.</w:t>
      </w:r>
      <w:r>
        <w:t xml:space="preserve"> </w:t>
      </w:r>
      <w:r>
        <w:t xml:space="preserve">- EU traceability and recall/withdrawal readiness.</w:t>
      </w:r>
      <w:r>
        <w:t xml:space="preserve"> </w:t>
      </w:r>
      <w:r>
        <w:t xml:space="preserve">- EUDR geolocation readiness.</w:t>
      </w:r>
    </w:p>
    <w:p>
      <w:pPr>
        <w:pStyle w:val="BodyText"/>
      </w:pPr>
      <w:r>
        <w:t xml:space="preserve">Coffee Board quality specifications (“Coffee Karma”) provide concrete quality fields that should be structured, not free‑text: moisture standards by type (e.g., Plantation 10.5%, Arabica Cherry 11.5%, Robusta Parchment 10.5%, Robusta Cherry 11.5%, and Monsooned Malabar coffees 13.0–14.5 with a tolerance of +0.5%).</w:t>
      </w:r>
      <w:r>
        <w:t xml:space="preserve"> </w:t>
      </w:r>
      <w:hyperlink r:id="rId22">
        <w:r>
          <w:rPr>
            <w:rStyle w:val="Hyperlink"/>
          </w:rPr>
          <w:t xml:space="preserve">[15]</w:t>
        </w:r>
      </w:hyperlink>
    </w:p>
    <w:p>
      <w:pPr>
        <w:pStyle w:val="BodyText"/>
      </w:pPr>
      <w:r>
        <w:t xml:space="preserve">Coffee Board’s INDICOFS scheme explicitly expects geocoordinates and, for exporting to the EU, references “Farm map or Polygon.”</w:t>
      </w:r>
      <w:r>
        <w:t xml:space="preserve"> </w:t>
      </w:r>
      <w:hyperlink r:id="rId38">
        <w:r>
          <w:rPr>
            <w:rStyle w:val="Hyperlink"/>
          </w:rPr>
          <w:t xml:space="preserve">[16]</w:t>
        </w:r>
      </w:hyperlink>
    </w:p>
    <w:p>
      <w:pPr>
        <w:pStyle w:val="BodyText"/>
      </w:pPr>
      <w:r>
        <w:t xml:space="preserve">Minimum viable schema (MVP) that scales into EUDR and EU food traceability:</w:t>
      </w:r>
    </w:p>
    <w:p>
      <w:pPr>
        <w:pStyle w:val="Compact"/>
        <w:numPr>
          <w:ilvl w:val="0"/>
          <w:numId w:val="1004"/>
        </w:numPr>
      </w:pPr>
      <w:r>
        <w:rPr>
          <w:b/>
          <w:bCs/>
        </w:rPr>
        <w:t xml:space="preserve">Supplier</w:t>
      </w:r>
    </w:p>
    <w:p>
      <w:pPr>
        <w:pStyle w:val="Compact"/>
        <w:numPr>
          <w:ilvl w:val="0"/>
          <w:numId w:val="1004"/>
        </w:numPr>
      </w:pPr>
      <w:r>
        <w:t xml:space="preserve">identity, KYC/KYB fields, exporter readiness indicators (RCMC validity), contact info, bank payout info.</w:t>
      </w:r>
      <w:r>
        <w:t xml:space="preserve"> </w:t>
      </w:r>
      <w:hyperlink r:id="rId24">
        <w:r>
          <w:rPr>
            <w:rStyle w:val="Hyperlink"/>
          </w:rPr>
          <w:t xml:space="preserve">[17]</w:t>
        </w:r>
      </w:hyperlink>
    </w:p>
    <w:p>
      <w:pPr>
        <w:pStyle w:val="Compact"/>
        <w:numPr>
          <w:ilvl w:val="0"/>
          <w:numId w:val="1004"/>
        </w:numPr>
      </w:pPr>
      <w:r>
        <w:rPr>
          <w:b/>
          <w:bCs/>
        </w:rPr>
        <w:t xml:space="preserve">Lot</w:t>
      </w:r>
    </w:p>
    <w:p>
      <w:pPr>
        <w:pStyle w:val="Compact"/>
        <w:numPr>
          <w:ilvl w:val="0"/>
          <w:numId w:val="1004"/>
        </w:numPr>
      </w:pPr>
      <w:r>
        <w:t xml:space="preserve">lot_id (immutable), type/grade, process, harvest window, moisture spec, screen/sieve, quantity, MOQ, price band, sample availability, status.</w:t>
      </w:r>
      <w:r>
        <w:t xml:space="preserve"> </w:t>
      </w:r>
      <w:hyperlink r:id="rId22">
        <w:r>
          <w:rPr>
            <w:rStyle w:val="Hyperlink"/>
          </w:rPr>
          <w:t xml:space="preserve">[18]</w:t>
        </w:r>
      </w:hyperlink>
    </w:p>
    <w:p>
      <w:pPr>
        <w:pStyle w:val="Compact"/>
        <w:numPr>
          <w:ilvl w:val="0"/>
          <w:numId w:val="1004"/>
        </w:numPr>
      </w:pPr>
      <w:r>
        <w:rPr>
          <w:b/>
          <w:bCs/>
        </w:rPr>
        <w:t xml:space="preserve">QC record</w:t>
      </w:r>
    </w:p>
    <w:p>
      <w:pPr>
        <w:pStyle w:val="Compact"/>
        <w:numPr>
          <w:ilvl w:val="0"/>
          <w:numId w:val="1004"/>
        </w:numPr>
      </w:pPr>
      <w:r>
        <w:t xml:space="preserve">moisture measured, physical defects checklist, cupping notes/scores, COA references (when required).</w:t>
      </w:r>
      <w:r>
        <w:t xml:space="preserve"> </w:t>
      </w:r>
      <w:hyperlink r:id="rId39">
        <w:r>
          <w:rPr>
            <w:rStyle w:val="Hyperlink"/>
          </w:rPr>
          <w:t xml:space="preserve">[19]</w:t>
        </w:r>
      </w:hyperlink>
    </w:p>
    <w:p>
      <w:pPr>
        <w:pStyle w:val="Compact"/>
        <w:numPr>
          <w:ilvl w:val="0"/>
          <w:numId w:val="1004"/>
        </w:numPr>
      </w:pPr>
      <w:r>
        <w:rPr>
          <w:b/>
          <w:bCs/>
        </w:rPr>
        <w:t xml:space="preserve">Document</w:t>
      </w:r>
    </w:p>
    <w:p>
      <w:pPr>
        <w:pStyle w:val="Compact"/>
        <w:numPr>
          <w:ilvl w:val="0"/>
          <w:numId w:val="1004"/>
        </w:numPr>
      </w:pPr>
      <w:r>
        <w:t xml:space="preserve">doc_type (export permit, ICO COO, bill of lading etc.), issuer, date, checksum, linked lot/shipment.</w:t>
      </w:r>
      <w:r>
        <w:t xml:space="preserve"> </w:t>
      </w:r>
      <w:hyperlink r:id="rId24">
        <w:r>
          <w:rPr>
            <w:rStyle w:val="Hyperlink"/>
          </w:rPr>
          <w:t xml:space="preserve">[4]</w:t>
        </w:r>
      </w:hyperlink>
    </w:p>
    <w:p>
      <w:pPr>
        <w:pStyle w:val="Compact"/>
        <w:numPr>
          <w:ilvl w:val="0"/>
          <w:numId w:val="1004"/>
        </w:numPr>
      </w:pPr>
      <w:r>
        <w:rPr>
          <w:b/>
          <w:bCs/>
        </w:rPr>
        <w:t xml:space="preserve">Traceability edge</w:t>
      </w:r>
    </w:p>
    <w:p>
      <w:pPr>
        <w:pStyle w:val="Compact"/>
        <w:numPr>
          <w:ilvl w:val="0"/>
          <w:numId w:val="1004"/>
        </w:numPr>
      </w:pPr>
      <w:r>
        <w:t xml:space="preserve">“one step back / one step forward” links (supplier→lot, lot→shipment, shipment→buyer). EU Article 18 explicitly requires traceability “at all stages” and ability to identify suppliers.</w:t>
      </w:r>
      <w:r>
        <w:t xml:space="preserve"> </w:t>
      </w:r>
      <w:hyperlink r:id="rId26">
        <w:r>
          <w:rPr>
            <w:rStyle w:val="Hyperlink"/>
          </w:rPr>
          <w:t xml:space="preserve">[20]</w:t>
        </w:r>
      </w:hyperlink>
    </w:p>
    <w:p>
      <w:pPr>
        <w:pStyle w:val="Compact"/>
        <w:numPr>
          <w:ilvl w:val="0"/>
          <w:numId w:val="1004"/>
        </w:numPr>
      </w:pPr>
      <w:r>
        <w:rPr>
          <w:b/>
          <w:bCs/>
        </w:rPr>
        <w:t xml:space="preserve">Geolocation</w:t>
      </w:r>
    </w:p>
    <w:p>
      <w:pPr>
        <w:pStyle w:val="Compact"/>
        <w:numPr>
          <w:ilvl w:val="0"/>
          <w:numId w:val="1004"/>
        </w:numPr>
      </w:pPr>
      <w:r>
        <w:t xml:space="preserve">point or polygon, capture method, timestamp, plot IDs; required for EUDR readiness and aligned to INDICOFS evidence expectations.</w:t>
      </w:r>
      <w:r>
        <w:t xml:space="preserve"> </w:t>
      </w:r>
      <w:hyperlink r:id="rId28">
        <w:r>
          <w:rPr>
            <w:rStyle w:val="Hyperlink"/>
          </w:rPr>
          <w:t xml:space="preserve">[21]</w:t>
        </w:r>
      </w:hyperlink>
    </w:p>
    <w:bookmarkEnd w:id="40"/>
    <w:bookmarkStart w:id="41" w:name="api-surface"/>
    <w:p>
      <w:pPr>
        <w:pStyle w:val="Heading3"/>
      </w:pPr>
      <w:r>
        <w:t xml:space="preserve">API surface</w:t>
      </w:r>
    </w:p>
    <w:p>
      <w:pPr>
        <w:pStyle w:val="FirstParagraph"/>
      </w:pPr>
      <w:r>
        <w:t xml:space="preserve">Keep endpoints stable around primitives (lots, documents, orders, shipments, incidents). Example minimal API set: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Purpose</w:t>
            </w:r>
          </w:p>
        </w:tc>
        <w:tc>
          <w:tcPr/>
          <w:p>
            <w:pPr>
              <w:pStyle w:val="Compact"/>
            </w:pPr>
            <w:r>
              <w:t xml:space="preserve">MVP?</w:t>
            </w:r>
          </w:p>
        </w:tc>
      </w:tr>
      <w:tr>
        <w:tc>
          <w:tcPr/>
          <w:p>
            <w:pPr>
              <w:pStyle w:val="Compact"/>
            </w:pPr>
            <w:r>
              <w:rPr>
                <w:rStyle w:val="VerbatimChar"/>
              </w:rPr>
              <w:t xml:space="preserve">GET /lots</w:t>
            </w:r>
          </w:p>
        </w:tc>
        <w:tc>
          <w:tcPr/>
          <w:p>
            <w:pPr>
              <w:pStyle w:val="Compact"/>
            </w:pPr>
            <w:r>
              <w:t xml:space="preserve">filtered discovery (B2B)</w:t>
            </w:r>
          </w:p>
        </w:tc>
        <w:tc>
          <w:tcPr/>
          <w:p>
            <w:pPr>
              <w:pStyle w:val="Compact"/>
            </w:pPr>
            <w:r>
              <w:t xml:space="preserve">yes</w:t>
            </w:r>
          </w:p>
        </w:tc>
      </w:tr>
      <w:tr>
        <w:tc>
          <w:tcPr/>
          <w:p>
            <w:pPr>
              <w:pStyle w:val="Compact"/>
            </w:pPr>
            <w:r>
              <w:rPr>
                <w:rStyle w:val="VerbatimChar"/>
              </w:rPr>
              <w:t xml:space="preserve">GET /lots/{id}</w:t>
            </w:r>
          </w:p>
        </w:tc>
        <w:tc>
          <w:tcPr/>
          <w:p>
            <w:pPr>
              <w:pStyle w:val="Compact"/>
            </w:pPr>
            <w:r>
              <w:t xml:space="preserve">lot details + QC summary</w:t>
            </w:r>
          </w:p>
        </w:tc>
        <w:tc>
          <w:tcPr/>
          <w:p>
            <w:pPr>
              <w:pStyle w:val="Compact"/>
            </w:pPr>
            <w:r>
              <w:t xml:space="preserve">yes</w:t>
            </w:r>
          </w:p>
        </w:tc>
      </w:tr>
      <w:tr>
        <w:tc>
          <w:tcPr/>
          <w:p>
            <w:pPr>
              <w:pStyle w:val="Compact"/>
            </w:pPr>
            <w:r>
              <w:rPr>
                <w:rStyle w:val="VerbatimChar"/>
              </w:rPr>
              <w:t xml:space="preserve">POST /inquiries</w:t>
            </w:r>
          </w:p>
        </w:tc>
        <w:tc>
          <w:tcPr/>
          <w:p>
            <w:pPr>
              <w:pStyle w:val="Compact"/>
            </w:pPr>
            <w:r>
              <w:t xml:space="preserve">sample/quote requests</w:t>
            </w:r>
          </w:p>
        </w:tc>
        <w:tc>
          <w:tcPr/>
          <w:p>
            <w:pPr>
              <w:pStyle w:val="Compact"/>
            </w:pPr>
            <w:r>
              <w:t xml:space="preserve">yes</w:t>
            </w:r>
          </w:p>
        </w:tc>
      </w:tr>
      <w:tr>
        <w:tc>
          <w:tcPr/>
          <w:p>
            <w:pPr>
              <w:pStyle w:val="Compact"/>
            </w:pPr>
            <w:r>
              <w:rPr>
                <w:rStyle w:val="VerbatimChar"/>
              </w:rPr>
              <w:t xml:space="preserve">POST /supplier/lots</w:t>
            </w:r>
          </w:p>
        </w:tc>
        <w:tc>
          <w:tcPr/>
          <w:p>
            <w:pPr>
              <w:pStyle w:val="Compact"/>
            </w:pPr>
            <w:r>
              <w:t xml:space="preserve">create lot</w:t>
            </w:r>
          </w:p>
        </w:tc>
        <w:tc>
          <w:tcPr/>
          <w:p>
            <w:pPr>
              <w:pStyle w:val="Compact"/>
            </w:pPr>
            <w:r>
              <w:t xml:space="preserve">yes</w:t>
            </w:r>
          </w:p>
        </w:tc>
      </w:tr>
      <w:tr>
        <w:tc>
          <w:tcPr/>
          <w:p>
            <w:pPr>
              <w:pStyle w:val="Compact"/>
            </w:pPr>
            <w:r>
              <w:rPr>
                <w:rStyle w:val="VerbatimChar"/>
              </w:rPr>
              <w:t xml:space="preserve">POST /documents</w:t>
            </w:r>
          </w:p>
        </w:tc>
        <w:tc>
          <w:tcPr/>
          <w:p>
            <w:pPr>
              <w:pStyle w:val="Compact"/>
            </w:pPr>
            <w:r>
              <w:t xml:space="preserve">upload docs + link to lot</w:t>
            </w:r>
          </w:p>
        </w:tc>
        <w:tc>
          <w:tcPr/>
          <w:p>
            <w:pPr>
              <w:pStyle w:val="Compact"/>
            </w:pPr>
            <w:r>
              <w:t xml:space="preserve">yes</w:t>
            </w:r>
          </w:p>
        </w:tc>
      </w:tr>
      <w:tr>
        <w:tc>
          <w:tcPr/>
          <w:p>
            <w:pPr>
              <w:pStyle w:val="Compact"/>
            </w:pPr>
            <w:r>
              <w:rPr>
                <w:rStyle w:val="VerbatimChar"/>
              </w:rPr>
              <w:t xml:space="preserve">GET /compliance-pack/{lot|order}</w:t>
            </w:r>
          </w:p>
        </w:tc>
        <w:tc>
          <w:tcPr/>
          <w:p>
            <w:pPr>
              <w:pStyle w:val="Compact"/>
            </w:pPr>
            <w:r>
              <w:t xml:space="preserve">packaged doc bundle + lot ledger summary</w:t>
            </w:r>
          </w:p>
        </w:tc>
        <w:tc>
          <w:tcPr/>
          <w:p>
            <w:pPr>
              <w:pStyle w:val="Compact"/>
            </w:pPr>
            <w:r>
              <w:t xml:space="preserve">yes (basic)</w:t>
            </w:r>
          </w:p>
        </w:tc>
      </w:tr>
      <w:tr>
        <w:tc>
          <w:tcPr/>
          <w:p>
            <w:pPr>
              <w:pStyle w:val="Compact"/>
            </w:pPr>
            <w:r>
              <w:rPr>
                <w:rStyle w:val="VerbatimChar"/>
              </w:rPr>
              <w:t xml:space="preserve">POST /orders</w:t>
            </w:r>
          </w:p>
        </w:tc>
        <w:tc>
          <w:tcPr/>
          <w:p>
            <w:pPr>
              <w:pStyle w:val="Compact"/>
            </w:pPr>
            <w:r>
              <w:t xml:space="preserve">execute order (locking Incoterm + payment terms)</w:t>
            </w:r>
          </w:p>
        </w:tc>
        <w:tc>
          <w:tcPr/>
          <w:p>
            <w:pPr>
              <w:pStyle w:val="Compact"/>
            </w:pPr>
            <w:r>
              <w:t xml:space="preserve">post-MVP</w:t>
            </w:r>
          </w:p>
        </w:tc>
      </w:tr>
      <w:tr>
        <w:tc>
          <w:tcPr/>
          <w:p>
            <w:pPr>
              <w:pStyle w:val="Compact"/>
            </w:pPr>
            <w:r>
              <w:rPr>
                <w:rStyle w:val="VerbatimChar"/>
              </w:rPr>
              <w:t xml:space="preserve">POST /incidents</w:t>
            </w:r>
          </w:p>
        </w:tc>
        <w:tc>
          <w:tcPr/>
          <w:p>
            <w:pPr>
              <w:pStyle w:val="Compact"/>
            </w:pPr>
            <w:r>
              <w:t xml:space="preserve">recall/withdrawal workflows</w:t>
            </w:r>
          </w:p>
        </w:tc>
        <w:tc>
          <w:tcPr/>
          <w:p>
            <w:pPr>
              <w:pStyle w:val="Compact"/>
            </w:pPr>
            <w:r>
              <w:t xml:space="preserve">post-MVP (basic stub OK)</w:t>
            </w:r>
          </w:p>
        </w:tc>
      </w:tr>
    </w:tbl>
    <w:bookmarkEnd w:id="41"/>
    <w:bookmarkStart w:id="42" w:name="product-architecture-diagram"/>
    <w:p>
      <w:pPr>
        <w:pStyle w:val="Heading3"/>
      </w:pPr>
      <w:r>
        <w:t xml:space="preserve">Product architecture diagram</w:t>
      </w:r>
    </w:p>
    <w:p>
      <w:pPr>
        <w:pStyle w:val="SourceCode"/>
      </w:pPr>
      <w:r>
        <w:rPr>
          <w:rStyle w:val="VerbatimChar"/>
        </w:rPr>
        <w:t xml:space="preserve">flowchart TB</w:t>
      </w:r>
      <w:r>
        <w:br/>
      </w:r>
      <w:r>
        <w:rPr>
          <w:rStyle w:val="VerbatimChar"/>
        </w:rPr>
        <w:t xml:space="preserve">  subgraph UX</w:t>
      </w:r>
      <w:r>
        <w:br/>
      </w:r>
      <w:r>
        <w:rPr>
          <w:rStyle w:val="VerbatimChar"/>
        </w:rPr>
        <w:t xml:space="preserve">    A[Supplier Portal]</w:t>
      </w:r>
      <w:r>
        <w:br/>
      </w:r>
      <w:r>
        <w:rPr>
          <w:rStyle w:val="VerbatimChar"/>
        </w:rPr>
        <w:t xml:space="preserve">    B[B2B Buyer Portal]</w:t>
      </w:r>
      <w:r>
        <w:br/>
      </w:r>
      <w:r>
        <w:rPr>
          <w:rStyle w:val="VerbatimChar"/>
        </w:rPr>
        <w:t xml:space="preserve">    C[Admin Console]</w:t>
      </w:r>
      <w:r>
        <w:br/>
      </w:r>
      <w:r>
        <w:rPr>
          <w:rStyle w:val="VerbatimChar"/>
        </w:rPr>
        <w:t xml:space="preserve">    D[Consumer App]</w:t>
      </w:r>
      <w:r>
        <w:br/>
      </w:r>
      <w:r>
        <w:rPr>
          <w:rStyle w:val="VerbatimChar"/>
        </w:rPr>
        <w:t xml:space="preserve">    E[Lot QR Provenance Page]</w:t>
      </w:r>
      <w:r>
        <w:br/>
      </w:r>
      <w:r>
        <w:rPr>
          <w:rStyle w:val="VerbatimChar"/>
        </w:rPr>
        <w:t xml:space="preserve">  end</w:t>
      </w:r>
      <w:r>
        <w:br/>
      </w:r>
      <w:r>
        <w:br/>
      </w:r>
      <w:r>
        <w:rPr>
          <w:rStyle w:val="VerbatimChar"/>
        </w:rPr>
        <w:t xml:space="preserve">  subgraph Core</w:t>
      </w:r>
      <w:r>
        <w:br/>
      </w:r>
      <w:r>
        <w:rPr>
          <w:rStyle w:val="VerbatimChar"/>
        </w:rPr>
        <w:t xml:space="preserve">    F[Lot Ledger]</w:t>
      </w:r>
      <w:r>
        <w:br/>
      </w:r>
      <w:r>
        <w:rPr>
          <w:rStyle w:val="VerbatimChar"/>
        </w:rPr>
        <w:t xml:space="preserve">    G[Traceability Graph]</w:t>
      </w:r>
      <w:r>
        <w:br/>
      </w:r>
      <w:r>
        <w:rPr>
          <w:rStyle w:val="VerbatimChar"/>
        </w:rPr>
        <w:t xml:space="preserve">    H[Document Vault + Checksums]</w:t>
      </w:r>
      <w:r>
        <w:br/>
      </w:r>
      <w:r>
        <w:rPr>
          <w:rStyle w:val="VerbatimChar"/>
        </w:rPr>
        <w:t xml:space="preserve">    I[Inquiry + Deal Pipeline]</w:t>
      </w:r>
      <w:r>
        <w:br/>
      </w:r>
      <w:r>
        <w:rPr>
          <w:rStyle w:val="VerbatimChar"/>
        </w:rPr>
        <w:t xml:space="preserve">    J[Order Routing Engine]</w:t>
      </w:r>
      <w:r>
        <w:br/>
      </w:r>
      <w:r>
        <w:rPr>
          <w:rStyle w:val="VerbatimChar"/>
        </w:rPr>
        <w:t xml:space="preserve">    K[Payments + Payouts + Reserves]</w:t>
      </w:r>
      <w:r>
        <w:br/>
      </w:r>
      <w:r>
        <w:rPr>
          <w:rStyle w:val="VerbatimChar"/>
        </w:rPr>
        <w:t xml:space="preserve">    L[Compliance Pack Generator]</w:t>
      </w:r>
      <w:r>
        <w:br/>
      </w:r>
      <w:r>
        <w:rPr>
          <w:rStyle w:val="VerbatimChar"/>
        </w:rPr>
        <w:t xml:space="preserve">  end</w:t>
      </w:r>
      <w:r>
        <w:br/>
      </w:r>
      <w:r>
        <w:br/>
      </w:r>
      <w:r>
        <w:rPr>
          <w:rStyle w:val="VerbatimChar"/>
        </w:rPr>
        <w:t xml:space="preserve">  subgraph Integrations</w:t>
      </w:r>
      <w:r>
        <w:br/>
      </w:r>
      <w:r>
        <w:rPr>
          <w:rStyle w:val="VerbatimChar"/>
        </w:rPr>
        <w:t xml:space="preserve">    M[3PL/WMS]</w:t>
      </w:r>
      <w:r>
        <w:br/>
      </w:r>
      <w:r>
        <w:rPr>
          <w:rStyle w:val="VerbatimChar"/>
        </w:rPr>
        <w:t xml:space="preserve">    N[Carrier Tracking]</w:t>
      </w:r>
      <w:r>
        <w:br/>
      </w:r>
      <w:r>
        <w:rPr>
          <w:rStyle w:val="VerbatimChar"/>
        </w:rPr>
        <w:t xml:space="preserve">  end</w:t>
      </w:r>
      <w:r>
        <w:br/>
      </w:r>
      <w:r>
        <w:br/>
      </w:r>
      <w:r>
        <w:rPr>
          <w:rStyle w:val="VerbatimChar"/>
        </w:rPr>
        <w:t xml:space="preserve">  subgraph AI</w:t>
      </w:r>
      <w:r>
        <w:br/>
      </w:r>
      <w:r>
        <w:rPr>
          <w:rStyle w:val="VerbatimChar"/>
        </w:rPr>
        <w:t xml:space="preserve">    O[Ranking + Explainability]</w:t>
      </w:r>
      <w:r>
        <w:br/>
      </w:r>
      <w:r>
        <w:rPr>
          <w:rStyle w:val="VerbatimChar"/>
        </w:rPr>
        <w:t xml:space="preserve">    P[Doc Intelligence]</w:t>
      </w:r>
      <w:r>
        <w:br/>
      </w:r>
      <w:r>
        <w:rPr>
          <w:rStyle w:val="VerbatimChar"/>
        </w:rPr>
        <w:t xml:space="preserve">    Q[EUDR Readiness Scoring]</w:t>
      </w:r>
      <w:r>
        <w:br/>
      </w:r>
      <w:r>
        <w:rPr>
          <w:rStyle w:val="VerbatimChar"/>
        </w:rPr>
        <w:t xml:space="preserve">    R[Quality Risk Flags]</w:t>
      </w:r>
      <w:r>
        <w:br/>
      </w:r>
      <w:r>
        <w:rPr>
          <w:rStyle w:val="VerbatimChar"/>
        </w:rPr>
        <w:t xml:space="preserve">  end</w:t>
      </w:r>
      <w:r>
        <w:br/>
      </w:r>
      <w:r>
        <w:br/>
      </w:r>
      <w:r>
        <w:rPr>
          <w:rStyle w:val="VerbatimChar"/>
        </w:rPr>
        <w:t xml:space="preserve">  A --&gt; F</w:t>
      </w:r>
      <w:r>
        <w:br/>
      </w:r>
      <w:r>
        <w:rPr>
          <w:rStyle w:val="VerbatimChar"/>
        </w:rPr>
        <w:t xml:space="preserve">  A --&gt; H</w:t>
      </w:r>
      <w:r>
        <w:br/>
      </w:r>
      <w:r>
        <w:rPr>
          <w:rStyle w:val="VerbatimChar"/>
        </w:rPr>
        <w:t xml:space="preserve">  B --&gt; F</w:t>
      </w:r>
      <w:r>
        <w:br/>
      </w:r>
      <w:r>
        <w:rPr>
          <w:rStyle w:val="VerbatimChar"/>
        </w:rPr>
        <w:t xml:space="preserve">  B --&gt; I</w:t>
      </w:r>
      <w:r>
        <w:br/>
      </w:r>
      <w:r>
        <w:rPr>
          <w:rStyle w:val="VerbatimChar"/>
        </w:rPr>
        <w:t xml:space="preserve">  C --&gt; I</w:t>
      </w:r>
      <w:r>
        <w:br/>
      </w:r>
      <w:r>
        <w:rPr>
          <w:rStyle w:val="VerbatimChar"/>
        </w:rPr>
        <w:t xml:space="preserve">  F --&gt; G</w:t>
      </w:r>
      <w:r>
        <w:br/>
      </w:r>
      <w:r>
        <w:rPr>
          <w:rStyle w:val="VerbatimChar"/>
        </w:rPr>
        <w:t xml:space="preserve">  H --&gt; L</w:t>
      </w:r>
      <w:r>
        <w:br/>
      </w:r>
      <w:r>
        <w:rPr>
          <w:rStyle w:val="VerbatimChar"/>
        </w:rPr>
        <w:t xml:space="preserve">  F --&gt; L</w:t>
      </w:r>
      <w:r>
        <w:br/>
      </w:r>
      <w:r>
        <w:rPr>
          <w:rStyle w:val="VerbatimChar"/>
        </w:rPr>
        <w:t xml:space="preserve">  D --&gt; E</w:t>
      </w:r>
      <w:r>
        <w:br/>
      </w:r>
      <w:r>
        <w:rPr>
          <w:rStyle w:val="VerbatimChar"/>
        </w:rPr>
        <w:t xml:space="preserve">  E --&gt; F</w:t>
      </w:r>
      <w:r>
        <w:br/>
      </w:r>
      <w:r>
        <w:br/>
      </w:r>
      <w:r>
        <w:rPr>
          <w:rStyle w:val="VerbatimChar"/>
        </w:rPr>
        <w:t xml:space="preserve">  I --&gt; J --&gt; K</w:t>
      </w:r>
      <w:r>
        <w:br/>
      </w:r>
      <w:r>
        <w:rPr>
          <w:rStyle w:val="VerbatimChar"/>
        </w:rPr>
        <w:t xml:space="preserve">  J --&gt; M --&gt; N</w:t>
      </w:r>
      <w:r>
        <w:br/>
      </w:r>
      <w:r>
        <w:br/>
      </w:r>
      <w:r>
        <w:rPr>
          <w:rStyle w:val="VerbatimChar"/>
        </w:rPr>
        <w:t xml:space="preserve">  F --&gt; O</w:t>
      </w:r>
      <w:r>
        <w:br/>
      </w:r>
      <w:r>
        <w:rPr>
          <w:rStyle w:val="VerbatimChar"/>
        </w:rPr>
        <w:t xml:space="preserve">  H --&gt; P</w:t>
      </w:r>
      <w:r>
        <w:br/>
      </w:r>
      <w:r>
        <w:rPr>
          <w:rStyle w:val="VerbatimChar"/>
        </w:rPr>
        <w:t xml:space="preserve">  G --&gt; Q</w:t>
      </w:r>
      <w:r>
        <w:br/>
      </w:r>
      <w:r>
        <w:rPr>
          <w:rStyle w:val="VerbatimChar"/>
        </w:rPr>
        <w:t xml:space="preserve">  F --&gt; R</w:t>
      </w:r>
    </w:p>
    <w:bookmarkEnd w:id="42"/>
    <w:bookmarkEnd w:id="43"/>
    <w:bookmarkStart w:id="51" w:name="operating-models-and-economics"/>
    <w:p>
      <w:pPr>
        <w:pStyle w:val="Heading2"/>
      </w:pPr>
      <w:r>
        <w:t xml:space="preserve">Operating models and economics</w:t>
      </w:r>
    </w:p>
    <w:p>
      <w:pPr>
        <w:pStyle w:val="FirstParagraph"/>
      </w:pPr>
      <w:r>
        <w:t xml:space="preserve">You will eventually support three operating models. The product must encode them, but your MVP should implement only the first end-to-end.</w:t>
      </w:r>
    </w:p>
    <w:bookmarkStart w:id="47" w:name="model-feasibility-and-comparison"/>
    <w:p>
      <w:pPr>
        <w:pStyle w:val="Heading3"/>
      </w:pPr>
      <w:r>
        <w:t xml:space="preserve">Model feasibility and comparison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Best-fit segment</w:t>
            </w:r>
          </w:p>
        </w:tc>
        <w:tc>
          <w:tcPr/>
          <w:p>
            <w:pPr>
              <w:pStyle w:val="Compact"/>
              <w:jc w:val="right"/>
            </w:pPr>
            <w:r>
              <w:t xml:space="preserve">Capital intensity</w:t>
            </w:r>
          </w:p>
        </w:tc>
        <w:tc>
          <w:tcPr/>
          <w:p>
            <w:pPr>
              <w:pStyle w:val="Compact"/>
            </w:pPr>
            <w:r>
              <w:t xml:space="preserve">Pros</w:t>
            </w:r>
          </w:p>
        </w:tc>
        <w:tc>
          <w:tcPr/>
          <w:p>
            <w:pPr>
              <w:pStyle w:val="Compact"/>
            </w:pPr>
            <w:r>
              <w:t xml:space="preserve">Cons</w:t>
            </w:r>
          </w:p>
        </w:tc>
        <w:tc>
          <w:tcPr/>
          <w:p>
            <w:pPr>
              <w:pStyle w:val="Compact"/>
            </w:pPr>
            <w:r>
              <w:t xml:space="preserve">Compliance exposure</w:t>
            </w:r>
          </w:p>
        </w:tc>
        <w:tc>
          <w:tcPr/>
          <w:p>
            <w:pPr>
              <w:pStyle w:val="Compact"/>
            </w:pPr>
            <w:r>
              <w:t xml:space="preserve">Cashflow profile</w:t>
            </w:r>
          </w:p>
        </w:tc>
      </w:tr>
      <w:tr>
        <w:tc>
          <w:tcPr/>
          <w:p>
            <w:pPr>
              <w:pStyle w:val="Compact"/>
            </w:pPr>
            <w:r>
              <w:t xml:space="preserve">Charge-on-order marketplace</w:t>
            </w:r>
          </w:p>
        </w:tc>
        <w:tc>
          <w:tcPr/>
          <w:p>
            <w:pPr>
              <w:pStyle w:val="Compact"/>
            </w:pPr>
            <w:r>
              <w:t xml:space="preserve">B2B</w:t>
            </w:r>
          </w:p>
        </w:tc>
        <w:tc>
          <w:tcPr/>
          <w:p>
            <w:pPr>
              <w:pStyle w:val="Compact"/>
              <w:jc w:val="right"/>
            </w:pPr>
            <w:r>
              <w:t xml:space="preserve">lowest</w:t>
            </w:r>
          </w:p>
        </w:tc>
        <w:tc>
          <w:tcPr/>
          <w:p>
            <w:pPr>
              <w:pStyle w:val="Compact"/>
            </w:pPr>
            <w:r>
              <w:t xml:space="preserve">fastest to validate; minimal inventory risk; easiest to keep platform “agent”</w:t>
            </w:r>
          </w:p>
        </w:tc>
        <w:tc>
          <w:tcPr/>
          <w:p>
            <w:pPr>
              <w:pStyle w:val="Compact"/>
            </w:pPr>
            <w:r>
              <w:t xml:space="preserve">less physical QC control unless you add inspections</w:t>
            </w:r>
          </w:p>
        </w:tc>
        <w:tc>
          <w:tcPr/>
          <w:p>
            <w:pPr>
              <w:pStyle w:val="Compact"/>
            </w:pPr>
            <w:r>
              <w:t xml:space="preserve">lowest if buyer is U.S. owner/consignee (FSVP importer) and platform avoids title.</w:t>
            </w:r>
            <w:r>
              <w:t xml:space="preserve"> </w:t>
            </w:r>
            <w:hyperlink r:id="rId25">
              <w:r>
                <w:rPr>
                  <w:rStyle w:val="Hyperlink"/>
                </w:rPr>
                <w:t xml:space="preserve">[6]</w:t>
              </w:r>
            </w:hyperlink>
          </w:p>
        </w:tc>
        <w:tc>
          <w:tcPr/>
          <w:p>
            <w:pPr>
              <w:pStyle w:val="Compact"/>
            </w:pPr>
            <w:r>
              <w:t xml:space="preserve">often positive if you collect then remit with reserves</w:t>
            </w:r>
          </w:p>
        </w:tc>
      </w:tr>
      <w:tr>
        <w:tc>
          <w:tcPr/>
          <w:p>
            <w:pPr>
              <w:pStyle w:val="Compact"/>
            </w:pPr>
            <w:r>
              <w:t xml:space="preserve">Dropship India→consumer</w:t>
            </w:r>
          </w:p>
        </w:tc>
        <w:tc>
          <w:tcPr/>
          <w:p>
            <w:pPr>
              <w:pStyle w:val="Compact"/>
            </w:pPr>
            <w:r>
              <w:t xml:space="preserve">B2C</w:t>
            </w:r>
          </w:p>
        </w:tc>
        <w:tc>
          <w:tcPr/>
          <w:p>
            <w:pPr>
              <w:pStyle w:val="Compact"/>
              <w:jc w:val="right"/>
            </w:pPr>
            <w:r>
              <w:t xml:space="preserve">low inventory but high per-order ops</w:t>
            </w:r>
          </w:p>
        </w:tc>
        <w:tc>
          <w:tcPr/>
          <w:p>
            <w:pPr>
              <w:pStyle w:val="Compact"/>
            </w:pPr>
            <w:r>
              <w:t xml:space="preserve">quick consumer launch</w:t>
            </w:r>
          </w:p>
        </w:tc>
        <w:tc>
          <w:tcPr/>
          <w:p>
            <w:pPr>
              <w:pStyle w:val="Compact"/>
            </w:pPr>
            <w:r>
              <w:t xml:space="preserve">border friction; high refund risk; hard to guarantee freshness</w:t>
            </w:r>
          </w:p>
        </w:tc>
        <w:tc>
          <w:tcPr/>
          <w:p>
            <w:pPr>
              <w:pStyle w:val="Compact"/>
            </w:pPr>
            <w:r>
              <w:t xml:space="preserve">high: U.S. Prior Notice applies to all imported food.</w:t>
            </w:r>
            <w:r>
              <w:t xml:space="preserve"> </w:t>
            </w:r>
            <w:hyperlink r:id="rId44">
              <w:r>
                <w:rPr>
                  <w:rStyle w:val="Hyperlink"/>
                </w:rPr>
                <w:t xml:space="preserve">[22]</w:t>
              </w:r>
            </w:hyperlink>
            <w:r>
              <w:t xml:space="preserve"> </w:t>
            </w:r>
            <w:r>
              <w:t xml:space="preserve">EU VAT requires import declarations and IOSS ≤€150; all imports subject to VAT.</w:t>
            </w:r>
            <w:r>
              <w:t xml:space="preserve"> </w:t>
            </w:r>
            <w:hyperlink r:id="rId21">
              <w:r>
                <w:rPr>
                  <w:rStyle w:val="Hyperlink"/>
                </w:rPr>
                <w:t xml:space="preserve">[23]</w:t>
              </w:r>
            </w:hyperlink>
          </w:p>
        </w:tc>
        <w:tc>
          <w:tcPr/>
          <w:p>
            <w:pPr>
              <w:pStyle w:val="Compact"/>
            </w:pPr>
            <w:r>
              <w:t xml:space="preserve">volatile; chargebacks and refunds threaten margin</w:t>
            </w:r>
          </w:p>
        </w:tc>
      </w:tr>
      <w:tr>
        <w:tc>
          <w:tcPr/>
          <w:p>
            <w:pPr>
              <w:pStyle w:val="Compact"/>
            </w:pPr>
            <w:r>
              <w:t xml:space="preserve">Consignment / in-market</w:t>
            </w:r>
          </w:p>
        </w:tc>
        <w:tc>
          <w:tcPr/>
          <w:p>
            <w:pPr>
              <w:pStyle w:val="Compact"/>
            </w:pPr>
            <w:r>
              <w:t xml:space="preserve">B2B+B2C</w:t>
            </w:r>
          </w:p>
        </w:tc>
        <w:tc>
          <w:tcPr/>
          <w:p>
            <w:pPr>
              <w:pStyle w:val="Compact"/>
              <w:jc w:val="right"/>
            </w:pPr>
            <w:r>
              <w:t xml:space="preserve">medium</w:t>
            </w:r>
          </w:p>
        </w:tc>
        <w:tc>
          <w:tcPr/>
          <w:p>
            <w:pPr>
              <w:pStyle w:val="Compact"/>
            </w:pPr>
            <w:r>
              <w:t xml:space="preserve">best QC + customer experience; consolidated shipping</w:t>
            </w:r>
          </w:p>
        </w:tc>
        <w:tc>
          <w:tcPr/>
          <w:p>
            <w:pPr>
              <w:pStyle w:val="Compact"/>
            </w:pPr>
            <w:r>
              <w:t xml:space="preserve">warehousing + inventory accounting; supplier reluctance</w:t>
            </w:r>
          </w:p>
        </w:tc>
        <w:tc>
          <w:tcPr/>
          <w:p>
            <w:pPr>
              <w:pStyle w:val="Compact"/>
            </w:pPr>
            <w:r>
              <w:t xml:space="preserve">medium–high: EU customs clearance often requires EORI.</w:t>
            </w:r>
            <w:r>
              <w:t xml:space="preserve"> </w:t>
            </w:r>
            <w:hyperlink r:id="rId45">
              <w:r>
                <w:rPr>
                  <w:rStyle w:val="Hyperlink"/>
                </w:rPr>
                <w:t xml:space="preserve">[24]</w:t>
              </w:r>
            </w:hyperlink>
            <w:r>
              <w:t xml:space="preserve"> </w:t>
            </w:r>
            <w:r>
              <w:t xml:space="preserve">EU labeling responsibility attaches to operator/ importer depending on structure.</w:t>
            </w:r>
            <w:r>
              <w:t xml:space="preserve"> </w:t>
            </w:r>
            <w:hyperlink r:id="rId27">
              <w:r>
                <w:rPr>
                  <w:rStyle w:val="Hyperlink"/>
                </w:rPr>
                <w:t xml:space="preserve">[8]</w:t>
              </w:r>
            </w:hyperlink>
          </w:p>
        </w:tc>
        <w:tc>
          <w:tcPr/>
          <w:p>
            <w:pPr>
              <w:pStyle w:val="Compact"/>
            </w:pPr>
            <w:r>
              <w:t xml:space="preserve">smoother than dropship but needs working-capital buffer</w:t>
            </w:r>
          </w:p>
        </w:tc>
      </w:tr>
    </w:tbl>
    <w:p>
      <w:pPr>
        <w:pStyle w:val="BodyText"/>
      </w:pPr>
      <w:r>
        <w:t xml:space="preserve">A structural headwind specifically for EU parcel-led dropship is EU customs reform: the Commission has publicly stated that parcels below €150 are currently exempt from customs duties and that removing the threshold aims to level the playing field, implying a tightening environment for low-value cross-border parcel economics.</w:t>
      </w:r>
      <w:r>
        <w:t xml:space="preserve"> </w:t>
      </w:r>
      <w:hyperlink r:id="rId46">
        <w:r>
          <w:rPr>
            <w:rStyle w:val="Hyperlink"/>
          </w:rPr>
          <w:t xml:space="preserve">[25]</w:t>
        </w:r>
      </w:hyperlink>
    </w:p>
    <w:bookmarkEnd w:id="47"/>
    <w:bookmarkStart w:id="48" w:name="X07a913753d0fb789c16581588d2601a71e19e29"/>
    <w:p>
      <w:pPr>
        <w:pStyle w:val="Heading3"/>
      </w:pPr>
      <w:r>
        <w:t xml:space="preserve">Operational flows and supply-chain diagrams</w:t>
      </w:r>
    </w:p>
    <w:p>
      <w:pPr>
        <w:pStyle w:val="FirstParagraph"/>
      </w:pPr>
      <w:r>
        <w:rPr>
          <w:b/>
          <w:bCs/>
        </w:rPr>
        <w:t xml:space="preserve">Charge-on-order marketplace</w:t>
      </w:r>
    </w:p>
    <w:p>
      <w:pPr>
        <w:pStyle w:val="SourceCode"/>
      </w:pPr>
      <w:r>
        <w:rPr>
          <w:rStyle w:val="VerbatimChar"/>
        </w:rPr>
        <w:t xml:space="preserve">flowchart LR</w:t>
      </w:r>
      <w:r>
        <w:br/>
      </w:r>
      <w:r>
        <w:rPr>
          <w:rStyle w:val="VerbatimChar"/>
        </w:rPr>
        <w:t xml:space="preserve">  A[Supplier/exporter in India lists lots + docs] --&gt; B[Platform lot ledger + doc vault]</w:t>
      </w:r>
      <w:r>
        <w:br/>
      </w:r>
      <w:r>
        <w:rPr>
          <w:rStyle w:val="VerbatimChar"/>
        </w:rPr>
        <w:t xml:space="preserve">  C[US/EU buyer searches + requests sample/quote] --&gt; B</w:t>
      </w:r>
      <w:r>
        <w:br/>
      </w:r>
      <w:r>
        <w:rPr>
          <w:rStyle w:val="VerbatimChar"/>
        </w:rPr>
        <w:t xml:space="preserve">  C --&gt; D[Order execution + terms]</w:t>
      </w:r>
      <w:r>
        <w:br/>
      </w:r>
      <w:r>
        <w:rPr>
          <w:rStyle w:val="VerbatimChar"/>
        </w:rPr>
        <w:t xml:space="preserve">  D --&gt; E[Shipment under agreed Incoterm]</w:t>
      </w:r>
      <w:r>
        <w:br/>
      </w:r>
      <w:r>
        <w:rPr>
          <w:rStyle w:val="VerbatimChar"/>
        </w:rPr>
        <w:t xml:space="preserve">  E --&gt; F[Buyer import clearance + compliance]</w:t>
      </w:r>
      <w:r>
        <w:br/>
      </w:r>
      <w:r>
        <w:rPr>
          <w:rStyle w:val="VerbatimChar"/>
        </w:rPr>
        <w:t xml:space="preserve">  F --&gt; G[Buyer intake QC + acceptance]</w:t>
      </w:r>
      <w:r>
        <w:br/>
      </w:r>
      <w:r>
        <w:rPr>
          <w:rStyle w:val="VerbatimChar"/>
        </w:rPr>
        <w:t xml:space="preserve">  G --&gt; H[Settlement]</w:t>
      </w:r>
      <w:r>
        <w:br/>
      </w:r>
      <w:r>
        <w:rPr>
          <w:rStyle w:val="VerbatimChar"/>
        </w:rPr>
        <w:t xml:space="preserve">  H --&gt; I[Payout to supplier net of commission + reserve release]</w:t>
      </w:r>
    </w:p>
    <w:p>
      <w:pPr>
        <w:pStyle w:val="FirstParagraph"/>
      </w:pPr>
      <w:r>
        <w:rPr>
          <w:b/>
          <w:bCs/>
        </w:rPr>
        <w:t xml:space="preserve">Dropship India→consumer</w:t>
      </w:r>
    </w:p>
    <w:p>
      <w:pPr>
        <w:pStyle w:val="SourceCode"/>
      </w:pPr>
      <w:r>
        <w:rPr>
          <w:rStyle w:val="VerbatimChar"/>
        </w:rPr>
        <w:t xml:space="preserve">flowchart LR</w:t>
      </w:r>
      <w:r>
        <w:br/>
      </w:r>
      <w:r>
        <w:rPr>
          <w:rStyle w:val="VerbatimChar"/>
        </w:rPr>
        <w:t xml:space="preserve">  A[Consumer order] --&gt; B[Payment capture]</w:t>
      </w:r>
      <w:r>
        <w:br/>
      </w:r>
      <w:r>
        <w:rPr>
          <w:rStyle w:val="VerbatimChar"/>
        </w:rPr>
        <w:t xml:space="preserve">  B --&gt; C[Supplier fulfilment from India]</w:t>
      </w:r>
      <w:r>
        <w:br/>
      </w:r>
      <w:r>
        <w:rPr>
          <w:rStyle w:val="VerbatimChar"/>
        </w:rPr>
        <w:t xml:space="preserve">  C --&gt; D[Parcel export + carrier]</w:t>
      </w:r>
      <w:r>
        <w:br/>
      </w:r>
      <w:r>
        <w:rPr>
          <w:rStyle w:val="VerbatimChar"/>
        </w:rPr>
        <w:t xml:space="preserve">  D --&gt; E[Border processing: customs declaration + VAT collection]</w:t>
      </w:r>
      <w:r>
        <w:br/>
      </w:r>
      <w:r>
        <w:rPr>
          <w:rStyle w:val="VerbatimChar"/>
        </w:rPr>
        <w:t xml:space="preserve">  E --&gt; F[Delivery]</w:t>
      </w:r>
      <w:r>
        <w:br/>
      </w:r>
      <w:r>
        <w:rPr>
          <w:rStyle w:val="VerbatimChar"/>
        </w:rPr>
        <w:t xml:space="preserve">  F --&gt; G[Refund/chargeback + support]</w:t>
      </w:r>
    </w:p>
    <w:p>
      <w:pPr>
        <w:pStyle w:val="FirstParagraph"/>
      </w:pPr>
      <w:r>
        <w:rPr>
          <w:b/>
          <w:bCs/>
        </w:rPr>
        <w:t xml:space="preserve">Consignment / in-market</w:t>
      </w:r>
    </w:p>
    <w:p>
      <w:pPr>
        <w:pStyle w:val="SourceCode"/>
      </w:pPr>
      <w:r>
        <w:rPr>
          <w:rStyle w:val="VerbatimChar"/>
        </w:rPr>
        <w:t xml:space="preserve">flowchart LR</w:t>
      </w:r>
      <w:r>
        <w:br/>
      </w:r>
      <w:r>
        <w:rPr>
          <w:rStyle w:val="VerbatimChar"/>
        </w:rPr>
        <w:t xml:space="preserve">  A[Supplier bulk ships] --&gt; B[Import clearance into US/EU]</w:t>
      </w:r>
      <w:r>
        <w:br/>
      </w:r>
      <w:r>
        <w:rPr>
          <w:rStyle w:val="VerbatimChar"/>
        </w:rPr>
        <w:t xml:space="preserve">  B --&gt; C[Inventory at 3PL/WMS]</w:t>
      </w:r>
      <w:r>
        <w:br/>
      </w:r>
      <w:r>
        <w:rPr>
          <w:rStyle w:val="VerbatimChar"/>
        </w:rPr>
        <w:t xml:space="preserve">  D[Buyer/consumer order] --&gt; E[Platform order routing]</w:t>
      </w:r>
      <w:r>
        <w:br/>
      </w:r>
      <w:r>
        <w:rPr>
          <w:rStyle w:val="VerbatimChar"/>
        </w:rPr>
        <w:t xml:space="preserve">  E --&gt; C</w:t>
      </w:r>
      <w:r>
        <w:br/>
      </w:r>
      <w:r>
        <w:rPr>
          <w:rStyle w:val="VerbatimChar"/>
        </w:rPr>
        <w:t xml:space="preserve">  C --&gt; F[Pick/pack/ship]</w:t>
      </w:r>
      <w:r>
        <w:br/>
      </w:r>
      <w:r>
        <w:rPr>
          <w:rStyle w:val="VerbatimChar"/>
        </w:rPr>
        <w:t xml:space="preserve">  F --&gt; G[Delivery]</w:t>
      </w:r>
      <w:r>
        <w:br/>
      </w:r>
      <w:r>
        <w:rPr>
          <w:rStyle w:val="VerbatimChar"/>
        </w:rPr>
        <w:t xml:space="preserve">  G --&gt; H[Incident/return handling]</w:t>
      </w:r>
      <w:r>
        <w:br/>
      </w:r>
      <w:r>
        <w:rPr>
          <w:rStyle w:val="VerbatimChar"/>
        </w:rPr>
        <w:t xml:space="preserve">  E --&gt; I[Periodic sell-through settlements]</w:t>
      </w:r>
    </w:p>
    <w:bookmarkEnd w:id="48"/>
    <w:bookmarkStart w:id="49" w:name="Xcb362ad746d6c81060e3f5d5faf9bb1023c48de"/>
    <w:p>
      <w:pPr>
        <w:pStyle w:val="Heading3"/>
      </w:pPr>
      <w:r>
        <w:t xml:space="preserve">Unit economics and cashflow, with explicit assumptions</w:t>
      </w:r>
    </w:p>
    <w:p>
      <w:pPr>
        <w:pStyle w:val="FirstParagraph"/>
      </w:pPr>
      <w:r>
        <w:t xml:space="preserve">The correct way to model this business is by</w:t>
      </w:r>
      <w:r>
        <w:t xml:space="preserve"> </w:t>
      </w:r>
      <w:r>
        <w:rPr>
          <w:b/>
          <w:bCs/>
        </w:rPr>
        <w:t xml:space="preserve">cost-to-serve per transaction</w:t>
      </w:r>
      <w:r>
        <w:t xml:space="preserve"> </w:t>
      </w:r>
      <w:r>
        <w:t xml:space="preserve">plus working-capital drag and dispute loss rates.</w:t>
      </w:r>
    </w:p>
    <w:p>
      <w:pPr>
        <w:pStyle w:val="BodyText"/>
      </w:pPr>
      <w:r>
        <w:t xml:space="preserve">Assumptions for illustrative modeling (replace with pilot data):</w:t>
      </w:r>
      <w:r>
        <w:t xml:space="preserve"> </w:t>
      </w:r>
      <w:r>
        <w:t xml:space="preserve">- B2B marketplace take rate: 4%–10% of GMV (depends on whether you offer inspections, financing, compliance tooling).</w:t>
      </w:r>
      <w:r>
        <w:t xml:space="preserve"> </w:t>
      </w:r>
      <w:r>
        <w:t xml:space="preserve">- Marketplace dispute/chargeback reserve: 1%–3% of GMV held for 30–60 days (policy choice).</w:t>
      </w:r>
      <w:r>
        <w:t xml:space="preserve"> </w:t>
      </w:r>
      <w:r>
        <w:t xml:space="preserve">- Dropship refund rate: materially higher than B2B; EU border “refused delivery” risk increases if VAT/duties surprises appear (common operational behavior under non-IOSS pathways; the EU guidance anticipates mechanisms to ensure VAT collection and customs declaration data).</w:t>
      </w:r>
      <w:r>
        <w:t xml:space="preserve"> </w:t>
      </w:r>
      <w:hyperlink r:id="rId23">
        <w:r>
          <w:rPr>
            <w:rStyle w:val="Hyperlink"/>
          </w:rPr>
          <w:t xml:space="preserve">[26]</w:t>
        </w:r>
      </w:hyperlink>
    </w:p>
    <w:p>
      <w:pPr>
        <w:pStyle w:val="BodyText"/>
      </w:pPr>
      <w:r>
        <w:t xml:space="preserve">Cash timing by model (conceptual):</w:t>
      </w:r>
    </w:p>
    <w:p>
      <w:pPr>
        <w:pStyle w:val="SourceCode"/>
      </w:pPr>
      <w:r>
        <w:rPr>
          <w:rStyle w:val="VerbatimChar"/>
        </w:rPr>
        <w:t xml:space="preserve">xychart-beta</w:t>
      </w:r>
      <w:r>
        <w:br/>
      </w:r>
      <w:r>
        <w:rPr>
          <w:rStyle w:val="VerbatimChar"/>
        </w:rPr>
        <w:t xml:space="preserve">  title "Illustrative net cash timing by operating model"</w:t>
      </w:r>
      <w:r>
        <w:br/>
      </w:r>
      <w:r>
        <w:rPr>
          <w:rStyle w:val="VerbatimChar"/>
        </w:rPr>
        <w:t xml:space="preserve">  x-axis ["Order day","Week 1","Week 2","Week 4","Week 8"]</w:t>
      </w:r>
      <w:r>
        <w:br/>
      </w:r>
      <w:r>
        <w:rPr>
          <w:rStyle w:val="VerbatimChar"/>
        </w:rPr>
        <w:t xml:space="preserve">  y-axis "Relative net cash" -10 --&gt; 10</w:t>
      </w:r>
      <w:r>
        <w:br/>
      </w:r>
      <w:r>
        <w:rPr>
          <w:rStyle w:val="VerbatimChar"/>
        </w:rPr>
        <w:t xml:space="preserve">  line "Marketplace" [4,6,6,5,5]</w:t>
      </w:r>
      <w:r>
        <w:br/>
      </w:r>
      <w:r>
        <w:rPr>
          <w:rStyle w:val="VerbatimChar"/>
        </w:rPr>
        <w:t xml:space="preserve">  line "Dropship" [2,-3,-2,1,0]</w:t>
      </w:r>
      <w:r>
        <w:br/>
      </w:r>
      <w:r>
        <w:rPr>
          <w:rStyle w:val="VerbatimChar"/>
        </w:rPr>
        <w:t xml:space="preserve">  line "Consignment" [-6,-4,-1,2,4]</w:t>
      </w:r>
    </w:p>
    <w:bookmarkEnd w:id="49"/>
    <w:bookmarkStart w:id="50" w:name="Xc21256b8cccba6227fe19251e6d647847c898d3"/>
    <w:p>
      <w:pPr>
        <w:pStyle w:val="Heading3"/>
      </w:pPr>
      <w:r>
        <w:t xml:space="preserve">Capital estimates with explicit assumptions</w:t>
      </w:r>
    </w:p>
    <w:p>
      <w:pPr>
        <w:pStyle w:val="FirstParagraph"/>
      </w:pPr>
      <w:r>
        <w:t xml:space="preserve">All ranges are in USD and include a buffer for legal/compliance design and early ops. Assumptions are noted per scenario.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What’s included</w:t>
            </w:r>
          </w:p>
        </w:tc>
        <w:tc>
          <w:tcPr/>
          <w:p>
            <w:pPr>
              <w:pStyle w:val="Compact"/>
              <w:jc w:val="right"/>
            </w:pPr>
            <w:r>
              <w:t xml:space="preserve">Capital range</w:t>
            </w:r>
          </w:p>
        </w:tc>
        <w:tc>
          <w:tcPr/>
          <w:p>
            <w:pPr>
              <w:pStyle w:val="Compact"/>
            </w:pPr>
            <w:r>
              <w:t xml:space="preserve">Key drivers</w:t>
            </w:r>
          </w:p>
        </w:tc>
      </w:tr>
      <w:tr>
        <w:tc>
          <w:tcPr/>
          <w:p>
            <w:pPr>
              <w:pStyle w:val="Compact"/>
            </w:pPr>
            <w:r>
              <w:t xml:space="preserve">Lean MVP</w:t>
            </w:r>
          </w:p>
        </w:tc>
        <w:tc>
          <w:tcPr/>
          <w:p>
            <w:pPr>
              <w:pStyle w:val="Compact"/>
            </w:pPr>
            <w:r>
              <w:t xml:space="preserve">marketplace only; portals + lot ledger + doc vault + inquiry workflow; no inventory; founder builds</w:t>
            </w:r>
          </w:p>
        </w:tc>
        <w:tc>
          <w:tcPr/>
          <w:p>
            <w:pPr>
              <w:pStyle w:val="Compact"/>
              <w:jc w:val="right"/>
            </w:pPr>
            <w:r>
              <w:t xml:space="preserve">$150k–$400k</w:t>
            </w:r>
          </w:p>
        </w:tc>
        <w:tc>
          <w:tcPr/>
          <w:p>
            <w:pPr>
              <w:pStyle w:val="Compact"/>
            </w:pPr>
            <w:r>
              <w:t xml:space="preserve">legal/contracts, basic compliance consulting, supplier onboarding travel/samples, engineering time opportunity cost, minimal reserves</w:t>
            </w:r>
          </w:p>
        </w:tc>
      </w:tr>
      <w:tr>
        <w:tc>
          <w:tcPr/>
          <w:p>
            <w:pPr>
              <w:pStyle w:val="Compact"/>
            </w:pPr>
            <w:r>
              <w:t xml:space="preserve">Standard launch</w:t>
            </w:r>
          </w:p>
        </w:tc>
        <w:tc>
          <w:tcPr/>
          <w:p>
            <w:pPr>
              <w:pStyle w:val="Compact"/>
            </w:pPr>
            <w:r>
              <w:t xml:space="preserve">lean MVP + one-region in-market pilot (US) with basic WMS/3PL and QC SOP; limited inventory/consignment</w:t>
            </w:r>
          </w:p>
        </w:tc>
        <w:tc>
          <w:tcPr/>
          <w:p>
            <w:pPr>
              <w:pStyle w:val="Compact"/>
              <w:jc w:val="right"/>
            </w:pPr>
            <w:r>
              <w:t xml:space="preserve">$600k–$1.3M</w:t>
            </w:r>
          </w:p>
        </w:tc>
        <w:tc>
          <w:tcPr/>
          <w:p>
            <w:pPr>
              <w:pStyle w:val="Compact"/>
            </w:pPr>
            <w:r>
              <w:t xml:space="preserve">working capital (freight + storage), QC staffing, support operations, integrations, higher dispute reserve</w:t>
            </w:r>
          </w:p>
        </w:tc>
      </w:tr>
      <w:tr>
        <w:tc>
          <w:tcPr/>
          <w:p>
            <w:pPr>
              <w:pStyle w:val="Compact"/>
            </w:pPr>
            <w:r>
              <w:t xml:space="preserve">Growth/scale</w:t>
            </w:r>
          </w:p>
        </w:tc>
        <w:tc>
          <w:tcPr/>
          <w:p>
            <w:pPr>
              <w:pStyle w:val="Compact"/>
            </w:pPr>
            <w:r>
              <w:t xml:space="preserve">US + EU footprint; deeper compliance automation + EUDR readiness capture; sales team build; larger reserves</w:t>
            </w:r>
          </w:p>
        </w:tc>
        <w:tc>
          <w:tcPr/>
          <w:p>
            <w:pPr>
              <w:pStyle w:val="Compact"/>
              <w:jc w:val="right"/>
            </w:pPr>
            <w:r>
              <w:t xml:space="preserve">$2.0M–$4.0M</w:t>
            </w:r>
          </w:p>
        </w:tc>
        <w:tc>
          <w:tcPr/>
          <w:p>
            <w:pPr>
              <w:pStyle w:val="Compact"/>
            </w:pPr>
            <w:r>
              <w:t xml:space="preserve">headcount, EU customs/VAT complexity, EORI/import setup for consignment, EUDR data pipeline, larger working capital buffer</w:t>
            </w:r>
            <w:r>
              <w:t xml:space="preserve"> </w:t>
            </w:r>
            <w:hyperlink r:id="rId45">
              <w:r>
                <w:rPr>
                  <w:rStyle w:val="Hyperlink"/>
                </w:rPr>
                <w:t xml:space="preserve">[27]</w:t>
              </w:r>
            </w:hyperlink>
          </w:p>
        </w:tc>
      </w:tr>
    </w:tbl>
    <w:bookmarkEnd w:id="50"/>
    <w:bookmarkEnd w:id="51"/>
    <w:bookmarkStart w:id="65" w:name="compliance-and-quality-systems"/>
    <w:p>
      <w:pPr>
        <w:pStyle w:val="Heading2"/>
      </w:pPr>
      <w:r>
        <w:t xml:space="preserve">Compliance and quality systems</w:t>
      </w:r>
    </w:p>
    <w:p>
      <w:pPr>
        <w:pStyle w:val="FirstParagraph"/>
      </w:pPr>
      <w:r>
        <w:t xml:space="preserve">This section translates regulation into product requirements and SOPs.</w:t>
      </w:r>
    </w:p>
    <w:bookmarkStart w:id="53" w:name="united-states-import-constraints"/>
    <w:p>
      <w:pPr>
        <w:pStyle w:val="Heading3"/>
      </w:pPr>
      <w:r>
        <w:t xml:space="preserve">United States import constraints</w:t>
      </w:r>
    </w:p>
    <w:p>
      <w:pPr>
        <w:pStyle w:val="Compact"/>
        <w:numPr>
          <w:ilvl w:val="0"/>
          <w:numId w:val="1005"/>
        </w:numPr>
      </w:pPr>
      <w:r>
        <w:rPr>
          <w:b/>
          <w:bCs/>
        </w:rPr>
        <w:t xml:space="preserve">FSVP importer definition</w:t>
      </w:r>
      <w:r>
        <w:t xml:space="preserve">: the FDA states that for FSVP purposes the importer is the U.S. owner or consignee at entry (or the U.S. agent/representative if no U.S. owner/consignee exists), and importers must develop and follow an FSVP for each food and foreign supplier.</w:t>
      </w:r>
      <w:r>
        <w:t xml:space="preserve"> </w:t>
      </w:r>
      <w:hyperlink r:id="rId25">
        <w:r>
          <w:rPr>
            <w:rStyle w:val="Hyperlink"/>
          </w:rPr>
          <w:t xml:space="preserve">[6]</w:t>
        </w:r>
      </w:hyperlink>
      <w:r>
        <w:br/>
      </w:r>
      <w:r>
        <w:rPr>
          <w:b/>
          <w:bCs/>
        </w:rPr>
        <w:t xml:space="preserve">Product implication:</w:t>
      </w:r>
      <w:r>
        <w:t xml:space="preserve"> </w:t>
      </w:r>
      <w:r>
        <w:t xml:space="preserve">your order object must explicitly encode who is owner/consignee/importer; your platform contracts must avoid accidental title transfer in the marketplace model.</w:t>
      </w:r>
    </w:p>
    <w:p>
      <w:pPr>
        <w:pStyle w:val="Compact"/>
        <w:numPr>
          <w:ilvl w:val="0"/>
          <w:numId w:val="1005"/>
        </w:numPr>
      </w:pPr>
      <w:r>
        <w:rPr>
          <w:b/>
          <w:bCs/>
        </w:rPr>
        <w:t xml:space="preserve">Prior Notice</w:t>
      </w:r>
      <w:r>
        <w:t xml:space="preserve">: FDA states prior notice must be provided for all food imported or offered for import into the United States and references 21 CFR Part 1, Subpart I.</w:t>
      </w:r>
      <w:r>
        <w:t xml:space="preserve"> </w:t>
      </w:r>
      <w:hyperlink r:id="rId44">
        <w:r>
          <w:rPr>
            <w:rStyle w:val="Hyperlink"/>
          </w:rPr>
          <w:t xml:space="preserve">[28]</w:t>
        </w:r>
      </w:hyperlink>
      <w:r>
        <w:br/>
      </w:r>
      <w:r>
        <w:rPr>
          <w:b/>
          <w:bCs/>
        </w:rPr>
        <w:t xml:space="preserve">Product implication:</w:t>
      </w:r>
      <w:r>
        <w:t xml:space="preserve"> </w:t>
      </w:r>
      <w:r>
        <w:t xml:space="preserve">dropship multiplies prior notice events; bulk/marketplace concentrates and professionalizes them.</w:t>
      </w:r>
    </w:p>
    <w:p>
      <w:pPr>
        <w:pStyle w:val="Compact"/>
        <w:numPr>
          <w:ilvl w:val="0"/>
          <w:numId w:val="1005"/>
        </w:numPr>
      </w:pPr>
      <w:r>
        <w:rPr>
          <w:b/>
          <w:bCs/>
        </w:rPr>
        <w:t xml:space="preserve">Import inspection and importer responsibility</w:t>
      </w:r>
      <w:r>
        <w:t xml:space="preserve">: FDA states imported foods are subject to inspection and that importers are responsible for ensuring foods are safe and labeled per U.S. requirements; it also notes foods can be imported without prior FDA sanction if facilities are registered and prior notice is provided.</w:t>
      </w:r>
      <w:r>
        <w:t xml:space="preserve"> </w:t>
      </w:r>
      <w:hyperlink r:id="rId52">
        <w:r>
          <w:rPr>
            <w:rStyle w:val="Hyperlink"/>
          </w:rPr>
          <w:t xml:space="preserve">[29]</w:t>
        </w:r>
      </w:hyperlink>
      <w:r>
        <w:br/>
      </w:r>
      <w:r>
        <w:rPr>
          <w:b/>
          <w:bCs/>
        </w:rPr>
        <w:t xml:space="preserve">Product implication:</w:t>
      </w:r>
      <w:r>
        <w:t xml:space="preserve"> </w:t>
      </w:r>
      <w:r>
        <w:t xml:space="preserve">compliance pack generator should store facility identifiers and shipment records; dispute workflows should assume inspection delays and detentions are normal risk.</w:t>
      </w:r>
    </w:p>
    <w:bookmarkEnd w:id="53"/>
    <w:bookmarkStart w:id="56" w:name="X80cb8bae7b9d2909c9e3d30a90e0371971560c5"/>
    <w:p>
      <w:pPr>
        <w:pStyle w:val="Heading3"/>
      </w:pPr>
      <w:r>
        <w:t xml:space="preserve">European Union import and sale constraints</w:t>
      </w:r>
    </w:p>
    <w:p>
      <w:pPr>
        <w:pStyle w:val="Compact"/>
        <w:numPr>
          <w:ilvl w:val="0"/>
          <w:numId w:val="1006"/>
        </w:numPr>
      </w:pPr>
      <w:r>
        <w:rPr>
          <w:b/>
          <w:bCs/>
        </w:rPr>
        <w:t xml:space="preserve">Traceability</w:t>
      </w:r>
      <w:r>
        <w:t xml:space="preserve">: Regulation (EC) 178/2002 Article 18 requires traceability established at all stages and operators able to identify suppliers.</w:t>
      </w:r>
      <w:r>
        <w:t xml:space="preserve"> </w:t>
      </w:r>
      <w:hyperlink r:id="rId26">
        <w:r>
          <w:rPr>
            <w:rStyle w:val="Hyperlink"/>
          </w:rPr>
          <w:t xml:space="preserve">[20]</w:t>
        </w:r>
      </w:hyperlink>
      <w:r>
        <w:br/>
      </w:r>
      <w:r>
        <w:rPr>
          <w:b/>
          <w:bCs/>
        </w:rPr>
        <w:t xml:space="preserve">Product implication:</w:t>
      </w:r>
      <w:r>
        <w:t xml:space="preserve"> </w:t>
      </w:r>
      <w:r>
        <w:t xml:space="preserve">lot ledger must implement “one step back/forward” traceability edges and fast retrieval.</w:t>
      </w:r>
    </w:p>
    <w:p>
      <w:pPr>
        <w:pStyle w:val="Compact"/>
        <w:numPr>
          <w:ilvl w:val="0"/>
          <w:numId w:val="1006"/>
        </w:numPr>
      </w:pPr>
      <w:r>
        <w:rPr>
          <w:b/>
          <w:bCs/>
        </w:rPr>
        <w:t xml:space="preserve">Withdrawal and recall</w:t>
      </w:r>
      <w:r>
        <w:t xml:space="preserve">: Article 19 requires operators to withdraw non-compliant foods, inform competent authorities, and where products may have reached consumers, inform consumers and recall when necessary.</w:t>
      </w:r>
      <w:r>
        <w:t xml:space="preserve"> </w:t>
      </w:r>
      <w:hyperlink r:id="rId26">
        <w:r>
          <w:rPr>
            <w:rStyle w:val="Hyperlink"/>
          </w:rPr>
          <w:t xml:space="preserve">[30]</w:t>
        </w:r>
      </w:hyperlink>
      <w:r>
        <w:br/>
      </w:r>
      <w:r>
        <w:rPr>
          <w:b/>
          <w:bCs/>
        </w:rPr>
        <w:t xml:space="preserve">Product implication:</w:t>
      </w:r>
      <w:r>
        <w:t xml:space="preserve"> </w:t>
      </w:r>
      <w:r>
        <w:t xml:space="preserve">incident module (quarantine, downstream notifications, audit log) is not optional for EU channel readiness.</w:t>
      </w:r>
    </w:p>
    <w:p>
      <w:pPr>
        <w:pStyle w:val="Compact"/>
        <w:numPr>
          <w:ilvl w:val="0"/>
          <w:numId w:val="1006"/>
        </w:numPr>
      </w:pPr>
      <w:r>
        <w:rPr>
          <w:b/>
          <w:bCs/>
        </w:rPr>
        <w:t xml:space="preserve">Labeling responsibility</w:t>
      </w:r>
      <w:r>
        <w:t xml:space="preserve">: Regulation (EU) 1169/2011 Article 8 assigns responsibility for food information to the operator under whose name the food is marketed or—if not established in the EU—the importer.</w:t>
      </w:r>
      <w:r>
        <w:t xml:space="preserve"> </w:t>
      </w:r>
      <w:hyperlink r:id="rId27">
        <w:r>
          <w:rPr>
            <w:rStyle w:val="Hyperlink"/>
          </w:rPr>
          <w:t xml:space="preserve">[8]</w:t>
        </w:r>
      </w:hyperlink>
      <w:r>
        <w:br/>
      </w:r>
      <w:r>
        <w:rPr>
          <w:b/>
          <w:bCs/>
        </w:rPr>
        <w:t xml:space="preserve">Product implication:</w:t>
      </w:r>
      <w:r>
        <w:t xml:space="preserve"> </w:t>
      </w:r>
      <w:r>
        <w:t xml:space="preserve">EU consumer dropship under your brand increases compliance and liability burdens; treat B2C EU as a later-stage in-market model.</w:t>
      </w:r>
    </w:p>
    <w:p>
      <w:pPr>
        <w:pStyle w:val="Compact"/>
        <w:numPr>
          <w:ilvl w:val="0"/>
          <w:numId w:val="1006"/>
        </w:numPr>
      </w:pPr>
      <w:r>
        <w:rPr>
          <w:b/>
          <w:bCs/>
        </w:rPr>
        <w:t xml:space="preserve">HACCP-based procedures</w:t>
      </w:r>
      <w:r>
        <w:t xml:space="preserve">: Regulation (EC) 852/2004 Article 5 requires permanent procedures based on HACCP principles.</w:t>
      </w:r>
      <w:r>
        <w:t xml:space="preserve"> </w:t>
      </w:r>
      <w:hyperlink r:id="rId54">
        <w:r>
          <w:rPr>
            <w:rStyle w:val="Hyperlink"/>
          </w:rPr>
          <w:t xml:space="preserve">[31]</w:t>
        </w:r>
      </w:hyperlink>
      <w:r>
        <w:br/>
      </w:r>
      <w:r>
        <w:rPr>
          <w:b/>
          <w:bCs/>
        </w:rPr>
        <w:t xml:space="preserve">Product implication:</w:t>
      </w:r>
      <w:r>
        <w:t xml:space="preserve"> </w:t>
      </w:r>
      <w:r>
        <w:t xml:space="preserve">if you run/contract roasting and packing under your name, your QC SOPs and records must be auditable.</w:t>
      </w:r>
    </w:p>
    <w:p>
      <w:pPr>
        <w:pStyle w:val="Compact"/>
        <w:numPr>
          <w:ilvl w:val="0"/>
          <w:numId w:val="1006"/>
        </w:numPr>
      </w:pPr>
      <w:r>
        <w:rPr>
          <w:b/>
          <w:bCs/>
        </w:rPr>
        <w:t xml:space="preserve">Official controls</w:t>
      </w:r>
      <w:r>
        <w:t xml:space="preserve">: Regulation (EU) 2017/625 sets the framework for official controls and enforcement.</w:t>
      </w:r>
      <w:r>
        <w:t xml:space="preserve"> </w:t>
      </w:r>
      <w:hyperlink r:id="rId55">
        <w:r>
          <w:rPr>
            <w:rStyle w:val="Hyperlink"/>
          </w:rPr>
          <w:t xml:space="preserve">[32]</w:t>
        </w:r>
      </w:hyperlink>
      <w:r>
        <w:br/>
      </w:r>
      <w:r>
        <w:rPr>
          <w:b/>
          <w:bCs/>
        </w:rPr>
        <w:t xml:space="preserve">Product implication:</w:t>
      </w:r>
      <w:r>
        <w:t xml:space="preserve"> </w:t>
      </w:r>
      <w:r>
        <w:t xml:space="preserve">docs completeness + traceability reduce border disruptions and control friction.</w:t>
      </w:r>
    </w:p>
    <w:bookmarkEnd w:id="56"/>
    <w:bookmarkStart w:id="57" w:name="eudr-readiness-requirements"/>
    <w:p>
      <w:pPr>
        <w:pStyle w:val="Heading3"/>
      </w:pPr>
      <w:r>
        <w:t xml:space="preserve">EUDR readiness requirements</w:t>
      </w:r>
    </w:p>
    <w:p>
      <w:pPr>
        <w:pStyle w:val="Compact"/>
        <w:numPr>
          <w:ilvl w:val="0"/>
          <w:numId w:val="1007"/>
        </w:numPr>
      </w:pPr>
      <w:r>
        <w:t xml:space="preserve">EUDR requires due diligence systems and explicitly references access to information about sources and suppliers, including identifying country/parts thereof and including geolocation coordinates of relevant plots.</w:t>
      </w:r>
      <w:r>
        <w:t xml:space="preserve"> </w:t>
      </w:r>
      <w:hyperlink r:id="rId28">
        <w:r>
          <w:rPr>
            <w:rStyle w:val="Hyperlink"/>
          </w:rPr>
          <w:t xml:space="preserve">[33]</w:t>
        </w:r>
      </w:hyperlink>
    </w:p>
    <w:p>
      <w:pPr>
        <w:pStyle w:val="Compact"/>
        <w:numPr>
          <w:ilvl w:val="0"/>
          <w:numId w:val="1007"/>
        </w:numPr>
      </w:pPr>
      <w:r>
        <w:t xml:space="preserve">EU trade guidance confirms postponement, with large operators applying from 30 Dec 2026 and micro/small enterprises and natural persons from 30 Jun 2027.</w:t>
      </w:r>
      <w:r>
        <w:t xml:space="preserve"> </w:t>
      </w:r>
      <w:hyperlink r:id="rId29">
        <w:r>
          <w:rPr>
            <w:rStyle w:val="Hyperlink"/>
          </w:rPr>
          <w:t xml:space="preserve">[10]</w:t>
        </w:r>
      </w:hyperlink>
    </w:p>
    <w:p>
      <w:pPr>
        <w:pStyle w:val="Compact"/>
        <w:numPr>
          <w:ilvl w:val="0"/>
          <w:numId w:val="1007"/>
        </w:numPr>
      </w:pPr>
      <w:r>
        <w:t xml:space="preserve">Coffee Board’s INDICOFS scheme expects geocoordinates and farm maps/polygon data “if exporting to EU,” creating a supply-side data bridge you can leverage.</w:t>
      </w:r>
      <w:r>
        <w:t xml:space="preserve"> </w:t>
      </w:r>
      <w:hyperlink r:id="rId38">
        <w:r>
          <w:rPr>
            <w:rStyle w:val="Hyperlink"/>
          </w:rPr>
          <w:t xml:space="preserve">[16]</w:t>
        </w:r>
      </w:hyperlink>
    </w:p>
    <w:bookmarkEnd w:id="57"/>
    <w:bookmarkStart w:id="58" w:name="vatioss-and-customs-declarations"/>
    <w:p>
      <w:pPr>
        <w:pStyle w:val="Heading3"/>
      </w:pPr>
      <w:r>
        <w:t xml:space="preserve">VAT/IOSS and customs declarations</w:t>
      </w:r>
    </w:p>
    <w:p>
      <w:pPr>
        <w:pStyle w:val="Compact"/>
        <w:numPr>
          <w:ilvl w:val="0"/>
          <w:numId w:val="1008"/>
        </w:numPr>
      </w:pPr>
      <w:r>
        <w:t xml:space="preserve">EU VAT OSS portal states VAT exemption up to €22 is removed and IOSS simplifies VAT declaration/payment for distance sales of low-value goods not exceeding €150.</w:t>
      </w:r>
      <w:r>
        <w:t xml:space="preserve"> </w:t>
      </w:r>
      <w:hyperlink r:id="rId21">
        <w:r>
          <w:rPr>
            <w:rStyle w:val="Hyperlink"/>
          </w:rPr>
          <w:t xml:space="preserve">[34]</w:t>
        </w:r>
      </w:hyperlink>
    </w:p>
    <w:p>
      <w:pPr>
        <w:pStyle w:val="Compact"/>
        <w:numPr>
          <w:ilvl w:val="0"/>
          <w:numId w:val="1008"/>
        </w:numPr>
      </w:pPr>
      <w:r>
        <w:t xml:space="preserve">EU Commission low-value consignments guidance states all goods imported into the EU are subject to VAT and that a customs declaration must be lodged even for consignments ≤€150.</w:t>
      </w:r>
      <w:r>
        <w:t xml:space="preserve"> </w:t>
      </w:r>
      <w:hyperlink r:id="rId23">
        <w:r>
          <w:rPr>
            <w:rStyle w:val="Hyperlink"/>
          </w:rPr>
          <w:t xml:space="preserve">[26]</w:t>
        </w:r>
      </w:hyperlink>
      <w:r>
        <w:br/>
      </w:r>
      <w:r>
        <w:rPr>
          <w:b/>
          <w:bCs/>
        </w:rPr>
        <w:t xml:space="preserve">Product implication:</w:t>
      </w:r>
      <w:r>
        <w:t xml:space="preserve"> </w:t>
      </w:r>
      <w:r>
        <w:t xml:space="preserve">EU dropship requires VAT-aware checkout, customs datasets, and strong refusal/returns handling.</w:t>
      </w:r>
    </w:p>
    <w:bookmarkEnd w:id="58"/>
    <w:bookmarkStart w:id="59" w:name="eori"/>
    <w:p>
      <w:pPr>
        <w:pStyle w:val="Heading3"/>
      </w:pPr>
      <w:r>
        <w:t xml:space="preserve">EORI</w:t>
      </w:r>
    </w:p>
    <w:p>
      <w:pPr>
        <w:pStyle w:val="Compact"/>
        <w:numPr>
          <w:ilvl w:val="0"/>
          <w:numId w:val="1009"/>
        </w:numPr>
      </w:pPr>
      <w:r>
        <w:t xml:space="preserve">EU Commission guidance states an EORI number is mandatory for customs clearance in the EU customs territory (export/import/transit).</w:t>
      </w:r>
      <w:r>
        <w:t xml:space="preserve"> </w:t>
      </w:r>
      <w:hyperlink r:id="rId45">
        <w:r>
          <w:rPr>
            <w:rStyle w:val="Hyperlink"/>
          </w:rPr>
          <w:t xml:space="preserve">[24]</w:t>
        </w:r>
      </w:hyperlink>
      <w:r>
        <w:br/>
      </w:r>
      <w:r>
        <w:rPr>
          <w:b/>
          <w:bCs/>
        </w:rPr>
        <w:t xml:space="preserve">Operational implication:</w:t>
      </w:r>
      <w:r>
        <w:t xml:space="preserve"> </w:t>
      </w:r>
      <w:r>
        <w:t xml:space="preserve">if you become importer-of-record for consignment/in‑market EU operations, EORI becomes a gating dependency.</w:t>
      </w:r>
    </w:p>
    <w:bookmarkEnd w:id="59"/>
    <w:bookmarkStart w:id="61" w:name="X962de5cfd12459cdbdf7da94b658997b57cb177"/>
    <w:p>
      <w:pPr>
        <w:pStyle w:val="Heading3"/>
      </w:pPr>
      <w:r>
        <w:t xml:space="preserve">Incoterms as operational boundary control</w:t>
      </w:r>
    </w:p>
    <w:p>
      <w:pPr>
        <w:pStyle w:val="FirstParagraph"/>
      </w:pPr>
      <w:r>
        <w:t xml:space="preserve">Incoterms are issued by the International Chamber of Commerce</w:t>
      </w:r>
      <w:hyperlink r:id="rId24">
        <w:r>
          <w:rPr>
            <w:rStyle w:val="Hyperlink"/>
          </w:rPr>
          <w:t xml:space="preserve">[35]</w:t>
        </w:r>
      </w:hyperlink>
      <w:r>
        <w:t xml:space="preserve"> </w:t>
      </w:r>
      <w:r>
        <w:t xml:space="preserve">and define obligations, costs, and risks between seller and buyer; the ICC provides official documentation and flowcharts, and U.S. government trade guidance explains Incoterms clarify shipment, insurance, documentation, and customs responsibilities.</w:t>
      </w:r>
      <w:r>
        <w:t xml:space="preserve"> </w:t>
      </w:r>
      <w:hyperlink r:id="rId60">
        <w:r>
          <w:rPr>
            <w:rStyle w:val="Hyperlink"/>
          </w:rPr>
          <w:t xml:space="preserve">[36]</w:t>
        </w:r>
      </w:hyperlink>
      <w:r>
        <w:br/>
      </w:r>
      <w:r>
        <w:rPr>
          <w:b/>
          <w:bCs/>
        </w:rPr>
        <w:t xml:space="preserve">Product implication:</w:t>
      </w:r>
      <w:r>
        <w:t xml:space="preserve"> </w:t>
      </w:r>
      <w:r>
        <w:t xml:space="preserve">every order must store Incoterm + named place + version to avoid dispute ambiguity.</w:t>
      </w:r>
    </w:p>
    <w:bookmarkEnd w:id="61"/>
    <w:bookmarkStart w:id="64" w:name="X0036b120de9bcd4ed0d940a1008e74129172fdb"/>
    <w:p>
      <w:pPr>
        <w:pStyle w:val="Heading3"/>
      </w:pPr>
      <w:r>
        <w:t xml:space="preserve">Quality control SOPs anchored to Coffee Board sources</w:t>
      </w:r>
    </w:p>
    <w:p>
      <w:pPr>
        <w:pStyle w:val="FirstParagraph"/>
      </w:pPr>
      <w:r>
        <w:t xml:space="preserve">Coffee quality controls are not “nice to have” in cross-border trade; they reduce disputes and support safety/quality assurance.</w:t>
      </w:r>
    </w:p>
    <w:p>
      <w:pPr>
        <w:pStyle w:val="BodyText"/>
      </w:pPr>
      <w:r>
        <w:t xml:space="preserve">Baseline QC gates for Indian green coffee lots:</w:t>
      </w:r>
      <w:r>
        <w:t xml:space="preserve"> </w:t>
      </w:r>
      <w:r>
        <w:t xml:space="preserve">-</w:t>
      </w:r>
      <w:r>
        <w:t xml:space="preserve"> </w:t>
      </w:r>
      <w:r>
        <w:rPr>
          <w:b/>
          <w:bCs/>
        </w:rPr>
        <w:t xml:space="preserve">Moisture gate</w:t>
      </w:r>
      <w:r>
        <w:t xml:space="preserve">: enforce moisture standards per type; e.g., Plantation 10.5%, Arabica Cherry 11.5%, Robusta Parchment 10.5%, Robusta Cherry 11.5%, Monsooned Malabar 13.0–14.5; tolerance +0.5%.</w:t>
      </w:r>
      <w:r>
        <w:t xml:space="preserve"> </w:t>
      </w:r>
      <w:hyperlink r:id="rId22">
        <w:r>
          <w:rPr>
            <w:rStyle w:val="Hyperlink"/>
          </w:rPr>
          <w:t xml:space="preserve">[15]</w:t>
        </w:r>
      </w:hyperlink>
      <w:r>
        <w:br/>
      </w:r>
      <w:r>
        <w:t xml:space="preserve">-</w:t>
      </w:r>
      <w:r>
        <w:t xml:space="preserve"> </w:t>
      </w:r>
      <w:r>
        <w:rPr>
          <w:b/>
          <w:bCs/>
        </w:rPr>
        <w:t xml:space="preserve">Screen/sieve gate</w:t>
      </w:r>
      <w:r>
        <w:t xml:space="preserve">: store screen number and sieve retention requirements by grade where applicable.</w:t>
      </w:r>
      <w:r>
        <w:t xml:space="preserve"> </w:t>
      </w:r>
      <w:hyperlink r:id="rId22">
        <w:r>
          <w:rPr>
            <w:rStyle w:val="Hyperlink"/>
          </w:rPr>
          <w:t xml:space="preserve">[18]</w:t>
        </w:r>
      </w:hyperlink>
      <w:r>
        <w:br/>
      </w:r>
      <w:r>
        <w:t xml:space="preserve">-</w:t>
      </w:r>
      <w:r>
        <w:t xml:space="preserve"> </w:t>
      </w:r>
      <w:r>
        <w:rPr>
          <w:b/>
          <w:bCs/>
        </w:rPr>
        <w:t xml:space="preserve">Monsooned coffee gate</w:t>
      </w:r>
      <w:r>
        <w:t xml:space="preserve">: Coffee Board describes monsooned coffee is prepared at curing factories and only A grade cherry coffees are subjected to monsooning “to ensure the quality.”</w:t>
      </w:r>
      <w:r>
        <w:t xml:space="preserve"> </w:t>
      </w:r>
      <w:hyperlink r:id="rId62">
        <w:r>
          <w:rPr>
            <w:rStyle w:val="Hyperlink"/>
          </w:rPr>
          <w:t xml:space="preserve">[37]</w:t>
        </w:r>
      </w:hyperlink>
    </w:p>
    <w:p>
      <w:pPr>
        <w:pStyle w:val="BodyText"/>
      </w:pPr>
      <w:r>
        <w:t xml:space="preserve">Coffee Board lab capabilities that should inform your QC SOP and “COA triggers”:</w:t>
      </w:r>
      <w:r>
        <w:t xml:space="preserve"> </w:t>
      </w:r>
      <w:r>
        <w:t xml:space="preserve">- The Coffee Board’s quality/support labs provide sensory/roasting analysis and structured quality evaluation reports for export coffees; the services list references cupping facilities and quality evaluation reporting.</w:t>
      </w:r>
      <w:r>
        <w:t xml:space="preserve"> </w:t>
      </w:r>
      <w:hyperlink r:id="rId39">
        <w:r>
          <w:rPr>
            <w:rStyle w:val="Hyperlink"/>
          </w:rPr>
          <w:t xml:space="preserve">[38]</w:t>
        </w:r>
      </w:hyperlink>
      <w:r>
        <w:br/>
      </w:r>
      <w:r>
        <w:t xml:space="preserve">- Coffee Board’s research/quality division describes work on analytical methods for residues and contaminants (mycotoxins, pesticide residues, heavy metals) and training programs.</w:t>
      </w:r>
      <w:r>
        <w:t xml:space="preserve"> </w:t>
      </w:r>
      <w:hyperlink r:id="rId63">
        <w:r>
          <w:rPr>
            <w:rStyle w:val="Hyperlink"/>
          </w:rPr>
          <w:t xml:space="preserve">[39]</w:t>
        </w:r>
      </w:hyperlink>
    </w:p>
    <w:p>
      <w:pPr>
        <w:pStyle w:val="BodyText"/>
      </w:pPr>
      <w:r>
        <w:t xml:space="preserve">Recommended SOP set (MVP-friendly but scalable):</w:t>
      </w:r>
      <w:r>
        <w:t xml:space="preserve"> </w:t>
      </w:r>
      <w:r>
        <w:t xml:space="preserve">- Pre‑listing sample requirement for first-time suppliers (cup + moisture).</w:t>
      </w:r>
      <w:r>
        <w:t xml:space="preserve"> </w:t>
      </w:r>
      <w:r>
        <w:t xml:space="preserve">- Pre‑shipment sample protocol for new lots or material processing changes.</w:t>
      </w:r>
      <w:r>
        <w:t xml:space="preserve"> </w:t>
      </w:r>
      <w:r>
        <w:t xml:space="preserve">- Intake QC checklist recorded in ledger (buyer-side in marketplace mode; platform-side in consignment mode).</w:t>
      </w:r>
      <w:r>
        <w:t xml:space="preserve"> </w:t>
      </w:r>
      <w:r>
        <w:t xml:space="preserve">- COA triggers: high-value lots, EU buyers requesting EUDR-heavy documentation, or lots flagged by risk engine.</w:t>
      </w:r>
    </w:p>
    <w:bookmarkEnd w:id="64"/>
    <w:bookmarkEnd w:id="65"/>
    <w:bookmarkStart w:id="74" w:name="mvp-delivery-blueprint-and-prd-artifacts"/>
    <w:p>
      <w:pPr>
        <w:pStyle w:val="Heading2"/>
      </w:pPr>
      <w:r>
        <w:t xml:space="preserve">MVP delivery blueprint and PRD artifacts</w:t>
      </w:r>
    </w:p>
    <w:p>
      <w:pPr>
        <w:pStyle w:val="FirstParagraph"/>
      </w:pPr>
      <w:r>
        <w:t xml:space="preserve">This section is the “do exactly this” plan: PRD scope plus a 4-week build blueprint.</w:t>
      </w:r>
    </w:p>
    <w:bookmarkStart w:id="66" w:name="mvp-prd-scope"/>
    <w:p>
      <w:pPr>
        <w:pStyle w:val="Heading3"/>
      </w:pPr>
      <w:r>
        <w:t xml:space="preserve">MVP PRD scope</w:t>
      </w:r>
    </w:p>
    <w:p>
      <w:pPr>
        <w:pStyle w:val="FirstParagraph"/>
      </w:pPr>
      <w:r>
        <w:rPr>
          <w:b/>
          <w:bCs/>
        </w:rPr>
        <w:t xml:space="preserve">MVP objective:</w:t>
      </w:r>
      <w:r>
        <w:t xml:space="preserve"> </w:t>
      </w:r>
      <w:r>
        <w:t xml:space="preserve">enable verified suppliers to list lots, enable B2B buyers to discover lots and request samples/quotes, and enable the operator (you) to manage and settle deals with a minimal compliance pack.</w:t>
      </w:r>
    </w:p>
    <w:p>
      <w:pPr>
        <w:pStyle w:val="BodyText"/>
      </w:pPr>
      <w:r>
        <w:rPr>
          <w:b/>
          <w:bCs/>
        </w:rPr>
        <w:t xml:space="preserve">MVP in-scope</w:t>
      </w:r>
      <w:r>
        <w:t xml:space="preserve"> </w:t>
      </w:r>
      <w:r>
        <w:t xml:space="preserve">- Supplier onboarding (manual verification), profile creation, lot listing.</w:t>
      </w:r>
      <w:r>
        <w:t xml:space="preserve"> </w:t>
      </w:r>
      <w:r>
        <w:t xml:space="preserve">- Document vault (upload; checklist validation states).</w:t>
      </w:r>
      <w:r>
        <w:t xml:space="preserve"> </w:t>
      </w:r>
      <w:r>
        <w:t xml:space="preserve">- B2B catalog search + filters + lot detail pages.</w:t>
      </w:r>
      <w:r>
        <w:t xml:space="preserve"> </w:t>
      </w:r>
      <w:r>
        <w:t xml:space="preserve">- Inquiry system (sample request / quote request) + buyer qualification capture.</w:t>
      </w:r>
      <w:r>
        <w:t xml:space="preserve"> </w:t>
      </w:r>
      <w:r>
        <w:t xml:space="preserve">- Admin console (approve suppliers/lots, manage inquiry pipeline).</w:t>
      </w:r>
      <w:r>
        <w:t xml:space="preserve"> </w:t>
      </w:r>
      <w:r>
        <w:t xml:space="preserve">- Minimum compliance pack export (lot data + attached docs + QC checklist summary).</w:t>
      </w:r>
    </w:p>
    <w:p>
      <w:pPr>
        <w:pStyle w:val="BodyText"/>
      </w:pPr>
      <w:r>
        <w:rPr>
          <w:b/>
          <w:bCs/>
        </w:rPr>
        <w:t xml:space="preserve">MVP out-of-scope</w:t>
      </w:r>
      <w:r>
        <w:t xml:space="preserve"> </w:t>
      </w:r>
      <w:r>
        <w:t xml:space="preserve">- Fully automated customs filings.</w:t>
      </w:r>
      <w:r>
        <w:t xml:space="preserve"> </w:t>
      </w:r>
      <w:r>
        <w:t xml:space="preserve">- End-to-end payments/payouts automation (you can start manual or invoice).</w:t>
      </w:r>
      <w:r>
        <w:t xml:space="preserve"> </w:t>
      </w:r>
      <w:r>
        <w:t xml:space="preserve">- Full 3PL/WMS integration (only a stub for consignment).</w:t>
      </w:r>
      <w:r>
        <w:t xml:space="preserve"> </w:t>
      </w:r>
      <w:r>
        <w:t xml:space="preserve">- Production ML models (use rules + rankings; capture data for later training).</w:t>
      </w:r>
    </w:p>
    <w:bookmarkEnd w:id="66"/>
    <w:bookmarkStart w:id="67" w:name="four-week-mvp-blueprint"/>
    <w:p>
      <w:pPr>
        <w:pStyle w:val="Heading3"/>
      </w:pPr>
      <w:r>
        <w:t xml:space="preserve">Four-week MVP blueprint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Week</w:t>
            </w:r>
          </w:p>
        </w:tc>
        <w:tc>
          <w:tcPr/>
          <w:p>
            <w:pPr>
              <w:pStyle w:val="Compact"/>
            </w:pPr>
            <w:r>
              <w:t xml:space="preserve">Build deliverables</w:t>
            </w:r>
          </w:p>
        </w:tc>
        <w:tc>
          <w:tcPr/>
          <w:p>
            <w:pPr>
              <w:pStyle w:val="Compact"/>
            </w:pPr>
            <w:r>
              <w:t xml:space="preserve">Ops/GTM deliverables</w:t>
            </w:r>
          </w:p>
        </w:tc>
        <w:tc>
          <w:tcPr/>
          <w:p>
            <w:pPr>
              <w:pStyle w:val="Compact"/>
            </w:pPr>
            <w:r>
              <w:t xml:space="preserve">Definition of done</w:t>
            </w:r>
          </w:p>
        </w:tc>
      </w:tr>
      <w:tr>
        <w:tc>
          <w:tcPr/>
          <w:p>
            <w:pPr>
              <w:pStyle w:val="Compact"/>
            </w:pPr>
            <w:r>
              <w:t xml:space="preserve">Week one</w:t>
            </w:r>
          </w:p>
        </w:tc>
        <w:tc>
          <w:tcPr/>
          <w:p>
            <w:pPr>
              <w:pStyle w:val="Compact"/>
            </w:pPr>
            <w:r>
              <w:t xml:space="preserve">Data model (Supplier/Lot/Document/Inquiry/QC); basic auth; admin approvals</w:t>
            </w:r>
          </w:p>
        </w:tc>
        <w:tc>
          <w:tcPr/>
          <w:p>
            <w:pPr>
              <w:pStyle w:val="Compact"/>
            </w:pPr>
            <w:r>
              <w:t xml:space="preserve">Supplier recruitment list; outreach templates; doc checklist aligned to Coffee Board export workflow</w:t>
            </w:r>
          </w:p>
        </w:tc>
        <w:tc>
          <w:tcPr/>
          <w:p>
            <w:pPr>
              <w:pStyle w:val="Compact"/>
            </w:pPr>
            <w:r>
              <w:t xml:space="preserve">3 suppliers onboarded in staging; 10 test lots listed; admin can approve/reject</w:t>
            </w:r>
            <w:r>
              <w:t xml:space="preserve"> </w:t>
            </w:r>
            <w:hyperlink r:id="rId24">
              <w:r>
                <w:rPr>
                  <w:rStyle w:val="Hyperlink"/>
                </w:rPr>
                <w:t xml:space="preserve">[17]</w:t>
              </w:r>
            </w:hyperlink>
          </w:p>
        </w:tc>
      </w:tr>
      <w:tr>
        <w:tc>
          <w:tcPr/>
          <w:p>
            <w:pPr>
              <w:pStyle w:val="Compact"/>
            </w:pPr>
            <w:r>
              <w:t xml:space="preserve">Week two</w:t>
            </w:r>
          </w:p>
        </w:tc>
        <w:tc>
          <w:tcPr/>
          <w:p>
            <w:pPr>
              <w:pStyle w:val="Compact"/>
            </w:pPr>
            <w:r>
              <w:t xml:space="preserve">Supplier portal v1 (create/edit lots; upload docs); doc status (“missing/received/verified”)</w:t>
            </w:r>
          </w:p>
        </w:tc>
        <w:tc>
          <w:tcPr/>
          <w:p>
            <w:pPr>
              <w:pStyle w:val="Compact"/>
            </w:pPr>
            <w:r>
              <w:t xml:space="preserve">First sample intake SOP drafted using moisture standards</w:t>
            </w:r>
          </w:p>
        </w:tc>
        <w:tc>
          <w:tcPr/>
          <w:p>
            <w:pPr>
              <w:pStyle w:val="Compact"/>
            </w:pPr>
            <w:r>
              <w:t xml:space="preserve">Suppliers can self-serve lot listing; moisture field required; docs attach to lot</w:t>
            </w:r>
            <w:r>
              <w:t xml:space="preserve"> </w:t>
            </w:r>
            <w:hyperlink r:id="rId22">
              <w:r>
                <w:rPr>
                  <w:rStyle w:val="Hyperlink"/>
                </w:rPr>
                <w:t xml:space="preserve">[40]</w:t>
              </w:r>
            </w:hyperlink>
          </w:p>
        </w:tc>
      </w:tr>
      <w:tr>
        <w:tc>
          <w:tcPr/>
          <w:p>
            <w:pPr>
              <w:pStyle w:val="Compact"/>
            </w:pPr>
            <w:r>
              <w:t xml:space="preserve">Week three</w:t>
            </w:r>
          </w:p>
        </w:tc>
        <w:tc>
          <w:tcPr/>
          <w:p>
            <w:pPr>
              <w:pStyle w:val="Compact"/>
            </w:pPr>
            <w:r>
              <w:t xml:space="preserve">Buyer portal v1 (catalog search/filter, lot detail page); inquiry forms; admin pipeline board</w:t>
            </w:r>
          </w:p>
        </w:tc>
        <w:tc>
          <w:tcPr/>
          <w:p>
            <w:pPr>
              <w:pStyle w:val="Compact"/>
            </w:pPr>
            <w:r>
              <w:t xml:space="preserve">Recruit 10–15 B2B buyers and schedule tastings</w:t>
            </w:r>
          </w:p>
        </w:tc>
        <w:tc>
          <w:tcPr/>
          <w:p>
            <w:pPr>
              <w:pStyle w:val="Compact"/>
            </w:pPr>
            <w:r>
              <w:t xml:space="preserve">Buyer can discover lots, submit sample/quote inquiry; admin can assign inquiry owner and status</w:t>
            </w:r>
          </w:p>
        </w:tc>
      </w:tr>
      <w:tr>
        <w:tc>
          <w:tcPr/>
          <w:p>
            <w:pPr>
              <w:pStyle w:val="Compact"/>
            </w:pPr>
            <w:r>
              <w:t xml:space="preserve">Week four</w:t>
            </w:r>
          </w:p>
        </w:tc>
        <w:tc>
          <w:tcPr/>
          <w:p>
            <w:pPr>
              <w:pStyle w:val="Compact"/>
            </w:pPr>
            <w:r>
              <w:t xml:space="preserve">Compliance pack v1 export; audit logs; notifications; basic analytics events</w:t>
            </w:r>
          </w:p>
        </w:tc>
        <w:tc>
          <w:tcPr/>
          <w:p>
            <w:pPr>
              <w:pStyle w:val="Compact"/>
            </w:pPr>
            <w:r>
              <w:t xml:space="preserve">Run at least 3 sample shipments; close 1 pilot transaction (manual settlement OK)</w:t>
            </w:r>
          </w:p>
        </w:tc>
        <w:tc>
          <w:tcPr/>
          <w:p>
            <w:pPr>
              <w:pStyle w:val="Compact"/>
            </w:pPr>
            <w:r>
              <w:t xml:space="preserve">1 executed transaction or signed LOI + scheduled order; ≥20 buyer inquiries logged</w:t>
            </w:r>
          </w:p>
        </w:tc>
      </w:tr>
    </w:tbl>
    <w:bookmarkEnd w:id="67"/>
    <w:bookmarkStart w:id="68" w:name="Xb8bc4aa9dd1cfe24ef2f2fd34fc13281089d3ed"/>
    <w:p>
      <w:pPr>
        <w:pStyle w:val="Heading3"/>
      </w:pPr>
      <w:r>
        <w:t xml:space="preserve">Twelve-month roadmap with funding tranches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Milestones</w:t>
            </w:r>
          </w:p>
        </w:tc>
        <w:tc>
          <w:tcPr/>
          <w:p>
            <w:pPr>
              <w:pStyle w:val="Compact"/>
            </w:pPr>
            <w:r>
              <w:t xml:space="preserve">KPIs</w:t>
            </w:r>
          </w:p>
        </w:tc>
        <w:tc>
          <w:tcPr/>
          <w:p>
            <w:pPr>
              <w:pStyle w:val="Compact"/>
            </w:pPr>
            <w:r>
              <w:t xml:space="preserve">Funding rationale</w:t>
            </w:r>
          </w:p>
        </w:tc>
      </w:tr>
      <w:tr>
        <w:tc>
          <w:tcPr/>
          <w:p>
            <w:pPr>
              <w:pStyle w:val="Compact"/>
            </w:pPr>
            <w:r>
              <w:t xml:space="preserve">Months 1–3</w:t>
            </w:r>
          </w:p>
        </w:tc>
        <w:tc>
          <w:tcPr/>
          <w:p>
            <w:pPr>
              <w:pStyle w:val="Compact"/>
            </w:pPr>
            <w:r>
              <w:t xml:space="preserve">MVP live; documented seller verification; compliance pack v1</w:t>
            </w:r>
          </w:p>
        </w:tc>
        <w:tc>
          <w:tcPr/>
          <w:p>
            <w:pPr>
              <w:pStyle w:val="Compact"/>
            </w:pPr>
            <w:r>
              <w:t xml:space="preserve">10–20 suppliers, 30–60 lots, 20+ qualified inquiries</w:t>
            </w:r>
          </w:p>
        </w:tc>
        <w:tc>
          <w:tcPr/>
          <w:p>
            <w:pPr>
              <w:pStyle w:val="Compact"/>
            </w:pPr>
            <w:r>
              <w:t xml:space="preserve">bootstrapped/angel to reach “verified supply graph”</w:t>
            </w:r>
          </w:p>
        </w:tc>
      </w:tr>
      <w:tr>
        <w:tc>
          <w:tcPr/>
          <w:p>
            <w:pPr>
              <w:pStyle w:val="Compact"/>
            </w:pPr>
            <w:r>
              <w:t xml:space="preserve">Months 4–6</w:t>
            </w:r>
          </w:p>
        </w:tc>
        <w:tc>
          <w:tcPr/>
          <w:p>
            <w:pPr>
              <w:pStyle w:val="Compact"/>
            </w:pPr>
            <w:r>
              <w:t xml:space="preserve">Paid pilots; reserve/payout automation; buyer accounts; doc intelligence v1</w:t>
            </w:r>
          </w:p>
        </w:tc>
        <w:tc>
          <w:tcPr/>
          <w:p>
            <w:pPr>
              <w:pStyle w:val="Compact"/>
            </w:pPr>
            <w:r>
              <w:t xml:space="preserve">3–5 executed orders; repeat inquiries; dispute rate &lt;5%</w:t>
            </w:r>
          </w:p>
        </w:tc>
        <w:tc>
          <w:tcPr/>
          <w:p>
            <w:pPr>
              <w:pStyle w:val="Compact"/>
            </w:pPr>
            <w:r>
              <w:t xml:space="preserve">pre-seed once repeatable GMV exists; investor narrative anchored to compliance+data</w:t>
            </w:r>
          </w:p>
        </w:tc>
      </w:tr>
      <w:tr>
        <w:tc>
          <w:tcPr/>
          <w:p>
            <w:pPr>
              <w:pStyle w:val="Compact"/>
            </w:pPr>
            <w:r>
              <w:t xml:space="preserve">Months 7–9</w:t>
            </w:r>
          </w:p>
        </w:tc>
        <w:tc>
          <w:tcPr/>
          <w:p>
            <w:pPr>
              <w:pStyle w:val="Compact"/>
            </w:pPr>
            <w:r>
              <w:t xml:space="preserve">Matching/ranking v2; EUDR field capture pilots; optional inspection service partnerships</w:t>
            </w:r>
          </w:p>
        </w:tc>
        <w:tc>
          <w:tcPr/>
          <w:p>
            <w:pPr>
              <w:pStyle w:val="Compact"/>
            </w:pPr>
            <w:r>
              <w:t xml:space="preserve">conversion lift from ranking; ≥50% suppliers with geo data at least point-level</w:t>
            </w:r>
          </w:p>
        </w:tc>
        <w:tc>
          <w:tcPr/>
          <w:p>
            <w:pPr>
              <w:pStyle w:val="Compact"/>
            </w:pPr>
            <w:r>
              <w:t xml:space="preserve">bridge/extension to expand supply and EU buyer readiness</w:t>
            </w:r>
            <w:r>
              <w:t xml:space="preserve"> </w:t>
            </w:r>
            <w:hyperlink r:id="rId28">
              <w:r>
                <w:rPr>
                  <w:rStyle w:val="Hyperlink"/>
                </w:rPr>
                <w:t xml:space="preserve">[14]</w:t>
              </w:r>
            </w:hyperlink>
          </w:p>
        </w:tc>
      </w:tr>
      <w:tr>
        <w:tc>
          <w:tcPr/>
          <w:p>
            <w:pPr>
              <w:pStyle w:val="Compact"/>
            </w:pPr>
            <w:r>
              <w:t xml:space="preserve">Months 10–12</w:t>
            </w:r>
          </w:p>
        </w:tc>
        <w:tc>
          <w:tcPr/>
          <w:p>
            <w:pPr>
              <w:pStyle w:val="Compact"/>
            </w:pPr>
            <w:r>
              <w:t xml:space="preserve">Consignment or in-market hub pilot (US first); incident module v1</w:t>
            </w:r>
          </w:p>
        </w:tc>
        <w:tc>
          <w:tcPr/>
          <w:p>
            <w:pPr>
              <w:pStyle w:val="Compact"/>
            </w:pPr>
            <w:r>
              <w:t xml:space="preserve">reduced claims; improved on-time delivery; documented SOP compliance</w:t>
            </w:r>
          </w:p>
        </w:tc>
        <w:tc>
          <w:tcPr/>
          <w:p>
            <w:pPr>
              <w:pStyle w:val="Compact"/>
            </w:pPr>
            <w:r>
              <w:t xml:space="preserve">seed to scale ops + sales; prepare for EU expansion with EORI/VAT planning</w:t>
            </w:r>
            <w:r>
              <w:t xml:space="preserve"> </w:t>
            </w:r>
            <w:hyperlink r:id="rId45">
              <w:r>
                <w:rPr>
                  <w:rStyle w:val="Hyperlink"/>
                </w:rPr>
                <w:t xml:space="preserve">[41]</w:t>
              </w:r>
            </w:hyperlink>
          </w:p>
        </w:tc>
      </w:tr>
    </w:tbl>
    <w:bookmarkEnd w:id="68"/>
    <w:bookmarkStart w:id="69" w:name="staffing-plan-and-budget-by-role"/>
    <w:p>
      <w:pPr>
        <w:pStyle w:val="Heading3"/>
      </w:pPr>
      <w:r>
        <w:t xml:space="preserve">Staffing plan and budget by role</w:t>
      </w:r>
    </w:p>
    <w:p>
      <w:pPr>
        <w:pStyle w:val="FirstParagraph"/>
      </w:pPr>
      <w:r>
        <w:t xml:space="preserve">Illustrative annual fully-loaded ranges (US-based assumptions; you can mix contractors/offshore to reduce burn):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When</w:t>
            </w:r>
          </w:p>
        </w:tc>
        <w:tc>
          <w:tcPr/>
          <w:p>
            <w:pPr>
              <w:pStyle w:val="Compact"/>
              <w:jc w:val="right"/>
            </w:pPr>
            <w:r>
              <w:t xml:space="preserve">Annual range (USD)</w:t>
            </w:r>
          </w:p>
        </w:tc>
        <w:tc>
          <w:tcPr/>
          <w:p>
            <w:pPr>
              <w:pStyle w:val="Compact"/>
            </w:pPr>
            <w:r>
              <w:t xml:space="preserve">Why</w:t>
            </w:r>
          </w:p>
        </w:tc>
      </w:tr>
      <w:tr>
        <w:tc>
          <w:tcPr/>
          <w:p>
            <w:pPr>
              <w:pStyle w:val="Compact"/>
            </w:pPr>
            <w:r>
              <w:t xml:space="preserve">Founder (product + engineering)</w:t>
            </w:r>
          </w:p>
        </w:tc>
        <w:tc>
          <w:tcPr/>
          <w:p>
            <w:pPr>
              <w:pStyle w:val="Compact"/>
            </w:pPr>
            <w:r>
              <w:t xml:space="preserve">day one</w:t>
            </w:r>
          </w:p>
        </w:tc>
        <w:tc>
          <w:tcPr/>
          <w:p>
            <w:pPr>
              <w:pStyle w:val="Compact"/>
              <w:jc w:val="right"/>
            </w:pPr>
            <w:r>
              <w:t xml:space="preserve">$0–$180k</w:t>
            </w:r>
          </w:p>
        </w:tc>
        <w:tc>
          <w:tcPr/>
          <w:p>
            <w:pPr>
              <w:pStyle w:val="Compact"/>
            </w:pPr>
            <w:r>
              <w:t xml:space="preserve">speed + coherence</w:t>
            </w:r>
          </w:p>
        </w:tc>
      </w:tr>
      <w:tr>
        <w:tc>
          <w:tcPr/>
          <w:p>
            <w:pPr>
              <w:pStyle w:val="Compact"/>
            </w:pPr>
            <w:r>
              <w:t xml:space="preserve">Full-stack engineer</w:t>
            </w:r>
          </w:p>
        </w:tc>
        <w:tc>
          <w:tcPr/>
          <w:p>
            <w:pPr>
              <w:pStyle w:val="Compact"/>
            </w:pPr>
            <w:r>
              <w:t xml:space="preserve">months 2–6</w:t>
            </w:r>
          </w:p>
        </w:tc>
        <w:tc>
          <w:tcPr/>
          <w:p>
            <w:pPr>
              <w:pStyle w:val="Compact"/>
              <w:jc w:val="right"/>
            </w:pPr>
            <w:r>
              <w:t xml:space="preserve">$140k–$220k</w:t>
            </w:r>
          </w:p>
        </w:tc>
        <w:tc>
          <w:tcPr/>
          <w:p>
            <w:pPr>
              <w:pStyle w:val="Compact"/>
            </w:pPr>
            <w:r>
              <w:t xml:space="preserve">portal + ledger + workflow scale</w:t>
            </w:r>
          </w:p>
        </w:tc>
      </w:tr>
      <w:tr>
        <w:tc>
          <w:tcPr/>
          <w:p>
            <w:pPr>
              <w:pStyle w:val="Compact"/>
            </w:pPr>
            <w:r>
              <w:t xml:space="preserve">Ops &amp; compliance lead</w:t>
            </w:r>
          </w:p>
        </w:tc>
        <w:tc>
          <w:tcPr/>
          <w:p>
            <w:pPr>
              <w:pStyle w:val="Compact"/>
            </w:pPr>
            <w:r>
              <w:t xml:space="preserve">months 2–6</w:t>
            </w:r>
          </w:p>
        </w:tc>
        <w:tc>
          <w:tcPr/>
          <w:p>
            <w:pPr>
              <w:pStyle w:val="Compact"/>
              <w:jc w:val="right"/>
            </w:pPr>
            <w:r>
              <w:t xml:space="preserve">$120k–$200k</w:t>
            </w:r>
          </w:p>
        </w:tc>
        <w:tc>
          <w:tcPr/>
          <w:p>
            <w:pPr>
              <w:pStyle w:val="Compact"/>
            </w:pPr>
            <w:r>
              <w:t xml:space="preserve">docs, disputes, shipment milestones, QC SOP execution</w:t>
            </w:r>
          </w:p>
        </w:tc>
      </w:tr>
      <w:tr>
        <w:tc>
          <w:tcPr/>
          <w:p>
            <w:pPr>
              <w:pStyle w:val="Compact"/>
            </w:pPr>
            <w:r>
              <w:t xml:space="preserve">B2B sales lead</w:t>
            </w:r>
          </w:p>
        </w:tc>
        <w:tc>
          <w:tcPr/>
          <w:p>
            <w:pPr>
              <w:pStyle w:val="Compact"/>
            </w:pPr>
            <w:r>
              <w:t xml:space="preserve">months 3–6</w:t>
            </w:r>
          </w:p>
        </w:tc>
        <w:tc>
          <w:tcPr/>
          <w:p>
            <w:pPr>
              <w:pStyle w:val="Compact"/>
              <w:jc w:val="right"/>
            </w:pPr>
            <w:r>
              <w:t xml:space="preserve">$120k–$220k</w:t>
            </w:r>
          </w:p>
        </w:tc>
        <w:tc>
          <w:tcPr/>
          <w:p>
            <w:pPr>
              <w:pStyle w:val="Compact"/>
            </w:pPr>
            <w:r>
              <w:t xml:space="preserve">roaster/importer pipeline and repeat orders</w:t>
            </w:r>
          </w:p>
        </w:tc>
      </w:tr>
      <w:tr>
        <w:tc>
          <w:tcPr/>
          <w:p>
            <w:pPr>
              <w:pStyle w:val="Compact"/>
            </w:pPr>
            <w:r>
              <w:t xml:space="preserve">Data/ML engineer</w:t>
            </w:r>
          </w:p>
        </w:tc>
        <w:tc>
          <w:tcPr/>
          <w:p>
            <w:pPr>
              <w:pStyle w:val="Compact"/>
            </w:pPr>
            <w:r>
              <w:t xml:space="preserve">months 6–12</w:t>
            </w:r>
          </w:p>
        </w:tc>
        <w:tc>
          <w:tcPr/>
          <w:p>
            <w:pPr>
              <w:pStyle w:val="Compact"/>
              <w:jc w:val="right"/>
            </w:pPr>
            <w:r>
              <w:t xml:space="preserve">$160k–$260k</w:t>
            </w:r>
          </w:p>
        </w:tc>
        <w:tc>
          <w:tcPr/>
          <w:p>
            <w:pPr>
              <w:pStyle w:val="Compact"/>
            </w:pPr>
            <w:r>
              <w:t xml:space="preserve">matching, doc intelligence, readiness scoring</w:t>
            </w:r>
          </w:p>
        </w:tc>
      </w:tr>
      <w:tr>
        <w:tc>
          <w:tcPr/>
          <w:p>
            <w:pPr>
              <w:pStyle w:val="Compact"/>
            </w:pPr>
            <w:r>
              <w:t xml:space="preserve">Coffee quality specialist</w:t>
            </w:r>
          </w:p>
        </w:tc>
        <w:tc>
          <w:tcPr/>
          <w:p>
            <w:pPr>
              <w:pStyle w:val="Compact"/>
            </w:pPr>
            <w:r>
              <w:t xml:space="preserve">months 6–12</w:t>
            </w:r>
          </w:p>
        </w:tc>
        <w:tc>
          <w:tcPr/>
          <w:p>
            <w:pPr>
              <w:pStyle w:val="Compact"/>
              <w:jc w:val="right"/>
            </w:pPr>
            <w:r>
              <w:t xml:space="preserve">$90k–$160k</w:t>
            </w:r>
          </w:p>
        </w:tc>
        <w:tc>
          <w:tcPr/>
          <w:p>
            <w:pPr>
              <w:pStyle w:val="Compact"/>
            </w:pPr>
            <w:r>
              <w:t xml:space="preserve">moisture/cupping gates; supplier QA enablement aligned to Coffee Board specs</w:t>
            </w:r>
            <w:r>
              <w:t xml:space="preserve"> </w:t>
            </w:r>
            <w:hyperlink r:id="rId22">
              <w:r>
                <w:rPr>
                  <w:rStyle w:val="Hyperlink"/>
                </w:rPr>
                <w:t xml:space="preserve">[12]</w:t>
              </w:r>
            </w:hyperlink>
          </w:p>
        </w:tc>
      </w:tr>
    </w:tbl>
    <w:bookmarkEnd w:id="69"/>
    <w:bookmarkStart w:id="70" w:name="X20e52560ff9a6c20b0b622f6f89407cb10b4b26"/>
    <w:p>
      <w:pPr>
        <w:pStyle w:val="Heading3"/>
      </w:pPr>
      <w:r>
        <w:t xml:space="preserve">Supplier incentives and sample contract clauses</w:t>
      </w:r>
    </w:p>
    <w:p>
      <w:pPr>
        <w:pStyle w:val="FirstParagraph"/>
      </w:pPr>
      <w:r>
        <w:t xml:space="preserve">Supplier incentives must be concrete:</w:t>
      </w:r>
      <w:r>
        <w:t xml:space="preserve"> </w:t>
      </w:r>
      <w:r>
        <w:t xml:space="preserve">- Faster discoverability and buyer access through standardized lots and verified documentation aligned to Coffee Board export processes.</w:t>
      </w:r>
      <w:r>
        <w:t xml:space="preserve"> </w:t>
      </w:r>
      <w:hyperlink r:id="rId24">
        <w:r>
          <w:rPr>
            <w:rStyle w:val="Hyperlink"/>
          </w:rPr>
          <w:t xml:space="preserve">[17]</w:t>
        </w:r>
      </w:hyperlink>
      <w:r>
        <w:br/>
      </w:r>
      <w:r>
        <w:t xml:space="preserve">- Premium placement for INDICOFS/EUDR-ready suppliers who provide geocoordinates/farm polygons.</w:t>
      </w:r>
      <w:r>
        <w:t xml:space="preserve"> </w:t>
      </w:r>
      <w:hyperlink r:id="rId38">
        <w:r>
          <w:rPr>
            <w:rStyle w:val="Hyperlink"/>
          </w:rPr>
          <w:t xml:space="preserve">[42]</w:t>
        </w:r>
      </w:hyperlink>
      <w:r>
        <w:br/>
      </w:r>
      <w:r>
        <w:t xml:space="preserve">- Optional “QC support” pathway using Coffee Board lab services or equivalent.</w:t>
      </w:r>
      <w:r>
        <w:t xml:space="preserve"> </w:t>
      </w:r>
      <w:hyperlink r:id="rId39">
        <w:r>
          <w:rPr>
            <w:rStyle w:val="Hyperlink"/>
          </w:rPr>
          <w:t xml:space="preserve">[43]</w:t>
        </w:r>
      </w:hyperlink>
    </w:p>
    <w:p>
      <w:pPr>
        <w:pStyle w:val="BodyText"/>
      </w:pPr>
      <w:r>
        <w:t xml:space="preserve">Sample clause table (conceptual; not legal advice):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Clause</w:t>
            </w:r>
          </w:p>
        </w:tc>
        <w:tc>
          <w:tcPr/>
          <w:p>
            <w:pPr>
              <w:pStyle w:val="Compact"/>
            </w:pPr>
            <w:r>
              <w:t xml:space="preserve">Recommended clause concept</w:t>
            </w:r>
          </w:p>
        </w:tc>
        <w:tc>
          <w:tcPr/>
          <w:p>
            <w:pPr>
              <w:pStyle w:val="Compact"/>
            </w:pPr>
            <w:r>
              <w:t xml:space="preserve">Why it matters</w:t>
            </w:r>
          </w:p>
        </w:tc>
      </w:tr>
      <w:tr>
        <w:tc>
          <w:tcPr/>
          <w:p>
            <w:pPr>
              <w:pStyle w:val="Compact"/>
            </w:pPr>
            <w:r>
              <w:t xml:space="preserve">Title transfer</w:t>
            </w:r>
          </w:p>
        </w:tc>
        <w:tc>
          <w:tcPr/>
          <w:p>
            <w:pPr>
              <w:pStyle w:val="Compact"/>
            </w:pPr>
            <w:r>
              <w:t xml:space="preserve">Platform is agent; supplier sells to buyer; platform never takes title unless explicitly agreed</w:t>
            </w:r>
          </w:p>
        </w:tc>
        <w:tc>
          <w:tcPr/>
          <w:p>
            <w:pPr>
              <w:pStyle w:val="Compact"/>
            </w:pPr>
            <w:r>
              <w:t xml:space="preserve">avoids becoming default FSVP importer by ownership/consignee leakage</w:t>
            </w:r>
            <w:r>
              <w:t xml:space="preserve"> </w:t>
            </w:r>
            <w:hyperlink r:id="rId25">
              <w:r>
                <w:rPr>
                  <w:rStyle w:val="Hyperlink"/>
                </w:rPr>
                <w:t xml:space="preserve">[6]</w:t>
              </w:r>
            </w:hyperlink>
          </w:p>
        </w:tc>
      </w:tr>
      <w:tr>
        <w:tc>
          <w:tcPr/>
          <w:p>
            <w:pPr>
              <w:pStyle w:val="Compact"/>
            </w:pPr>
            <w:r>
              <w:t xml:space="preserve">MOQ &amp; availability</w:t>
            </w:r>
          </w:p>
        </w:tc>
        <w:tc>
          <w:tcPr/>
          <w:p>
            <w:pPr>
              <w:pStyle w:val="Compact"/>
            </w:pPr>
            <w:r>
              <w:t xml:space="preserve">MOQ and availability windows are binding; substitution requires buyer approval</w:t>
            </w:r>
          </w:p>
        </w:tc>
        <w:tc>
          <w:tcPr/>
          <w:p>
            <w:pPr>
              <w:pStyle w:val="Compact"/>
            </w:pPr>
            <w:r>
              <w:t xml:space="preserve">reduces failed orders and improves buyer trust</w:t>
            </w:r>
          </w:p>
        </w:tc>
      </w:tr>
      <w:tr>
        <w:tc>
          <w:tcPr/>
          <w:p>
            <w:pPr>
              <w:pStyle w:val="Compact"/>
            </w:pPr>
            <w:r>
              <w:t xml:space="preserve">Payment terms</w:t>
            </w:r>
          </w:p>
        </w:tc>
        <w:tc>
          <w:tcPr/>
          <w:p>
            <w:pPr>
              <w:pStyle w:val="Compact"/>
            </w:pPr>
            <w:r>
              <w:t xml:space="preserve">milestone-based payout with reserve hold (e.g., X% at shipment, remainder after acceptance window)</w:t>
            </w:r>
          </w:p>
        </w:tc>
        <w:tc>
          <w:tcPr/>
          <w:p>
            <w:pPr>
              <w:pStyle w:val="Compact"/>
            </w:pPr>
            <w:r>
              <w:t xml:space="preserve">protects platform against disputes/chargebacks</w:t>
            </w:r>
          </w:p>
        </w:tc>
      </w:tr>
      <w:tr>
        <w:tc>
          <w:tcPr/>
          <w:p>
            <w:pPr>
              <w:pStyle w:val="Compact"/>
            </w:pPr>
            <w:r>
              <w:t xml:space="preserve">Traceability &amp; data rights</w:t>
            </w:r>
          </w:p>
        </w:tc>
        <w:tc>
          <w:tcPr/>
          <w:p>
            <w:pPr>
              <w:pStyle w:val="Compact"/>
            </w:pPr>
            <w:r>
              <w:t xml:space="preserve">supplier grants license to use lot data and traceability fields for compliance packs and analytics</w:t>
            </w:r>
          </w:p>
        </w:tc>
        <w:tc>
          <w:tcPr/>
          <w:p>
            <w:pPr>
              <w:pStyle w:val="Compact"/>
            </w:pPr>
            <w:r>
              <w:t xml:space="preserve">supports EU traceability requirements and EUDR readiness</w:t>
            </w:r>
            <w:r>
              <w:t xml:space="preserve"> </w:t>
            </w:r>
            <w:hyperlink r:id="rId26">
              <w:r>
                <w:rPr>
                  <w:rStyle w:val="Hyperlink"/>
                </w:rPr>
                <w:t xml:space="preserve">[13]</w:t>
              </w:r>
            </w:hyperlink>
          </w:p>
        </w:tc>
      </w:tr>
      <w:tr>
        <w:tc>
          <w:tcPr/>
          <w:p>
            <w:pPr>
              <w:pStyle w:val="Compact"/>
            </w:pPr>
            <w:r>
              <w:t xml:space="preserve">Recall cooperation</w:t>
            </w:r>
          </w:p>
        </w:tc>
        <w:tc>
          <w:tcPr/>
          <w:p>
            <w:pPr>
              <w:pStyle w:val="Compact"/>
            </w:pPr>
            <w:r>
              <w:t xml:space="preserve">supplier must cooperate in incident investigations and withdrawals/recalls</w:t>
            </w:r>
          </w:p>
        </w:tc>
        <w:tc>
          <w:tcPr/>
          <w:p>
            <w:pPr>
              <w:pStyle w:val="Compact"/>
            </w:pPr>
            <w:r>
              <w:t xml:space="preserve">EU Article 19 requires withdrawal/recall actions when necessary</w:t>
            </w:r>
            <w:r>
              <w:t xml:space="preserve"> </w:t>
            </w:r>
            <w:hyperlink r:id="rId26">
              <w:r>
                <w:rPr>
                  <w:rStyle w:val="Hyperlink"/>
                </w:rPr>
                <w:t xml:space="preserve">[30]</w:t>
              </w:r>
            </w:hyperlink>
          </w:p>
        </w:tc>
      </w:tr>
      <w:tr>
        <w:tc>
          <w:tcPr/>
          <w:p>
            <w:pPr>
              <w:pStyle w:val="Compact"/>
            </w:pPr>
            <w:r>
              <w:t xml:space="preserve">Document obligations</w:t>
            </w:r>
          </w:p>
        </w:tc>
        <w:tc>
          <w:tcPr/>
          <w:p>
            <w:pPr>
              <w:pStyle w:val="Compact"/>
            </w:pPr>
            <w:r>
              <w:t xml:space="preserve">supplier must provide required docs per checklist; late/missing docs trigger listing suspension</w:t>
            </w:r>
          </w:p>
        </w:tc>
        <w:tc>
          <w:tcPr/>
          <w:p>
            <w:pPr>
              <w:pStyle w:val="Compact"/>
            </w:pPr>
            <w:r>
              <w:t xml:space="preserve">aligns to Coffee Board post-shipment document expectations</w:t>
            </w:r>
            <w:r>
              <w:t xml:space="preserve"> </w:t>
            </w:r>
            <w:hyperlink r:id="rId24">
              <w:r>
                <w:rPr>
                  <w:rStyle w:val="Hyperlink"/>
                </w:rPr>
                <w:t xml:space="preserve">[17]</w:t>
              </w:r>
            </w:hyperlink>
          </w:p>
        </w:tc>
      </w:tr>
    </w:tbl>
    <w:bookmarkEnd w:id="70"/>
    <w:bookmarkStart w:id="71" w:name="go-to-market-and-onboarding-playbook"/>
    <w:p>
      <w:pPr>
        <w:pStyle w:val="Heading3"/>
      </w:pPr>
      <w:r>
        <w:t xml:space="preserve">Go-to-market and onboarding playbook</w:t>
      </w:r>
    </w:p>
    <w:p>
      <w:pPr>
        <w:pStyle w:val="FirstParagraph"/>
      </w:pPr>
      <w:r>
        <w:t xml:space="preserve">GTM should be staged to create liquidity:</w:t>
      </w:r>
      <w:r>
        <w:t xml:space="preserve"> </w:t>
      </w:r>
      <w:r>
        <w:t xml:space="preserve">- Supply-first: onboard exporters/curators who can comply with permit/COO workflows and post-shipment documentation.</w:t>
      </w:r>
      <w:r>
        <w:t xml:space="preserve"> </w:t>
      </w:r>
      <w:hyperlink r:id="rId24">
        <w:r>
          <w:rPr>
            <w:rStyle w:val="Hyperlink"/>
          </w:rPr>
          <w:t xml:space="preserve">[4]</w:t>
        </w:r>
      </w:hyperlink>
      <w:r>
        <w:br/>
      </w:r>
      <w:r>
        <w:t xml:space="preserve">- Demand-first within B2B: target roasters/importers already buying green coffee; the platform sells “reduced discovery + reduced due diligence friction,” not “cheaper beans.”</w:t>
      </w:r>
      <w:r>
        <w:t xml:space="preserve"> </w:t>
      </w:r>
      <w:r>
        <w:t xml:space="preserve">- EU differentiation: market EUDR readiness and traceability completeness as EUDR timeline approaches.</w:t>
      </w:r>
      <w:r>
        <w:t xml:space="preserve"> </w:t>
      </w:r>
      <w:hyperlink r:id="rId29">
        <w:r>
          <w:rPr>
            <w:rStyle w:val="Hyperlink"/>
          </w:rPr>
          <w:t xml:space="preserve">[44]</w:t>
        </w:r>
      </w:hyperlink>
    </w:p>
    <w:p>
      <w:pPr>
        <w:pStyle w:val="BodyText"/>
      </w:pPr>
      <w:r>
        <w:t xml:space="preserve">Operational onboarding steps (minimum):</w:t>
      </w:r>
      <w:r>
        <w:t xml:space="preserve"> </w:t>
      </w:r>
      <w:r>
        <w:t xml:space="preserve">1. Supplier eligibility check (export readiness + doc checklist).</w:t>
      </w:r>
      <w:r>
        <w:t xml:space="preserve"> </w:t>
      </w:r>
      <w:r>
        <w:t xml:space="preserve">2. First-lot sample and moisture gate.</w:t>
      </w:r>
      <w:r>
        <w:t xml:space="preserve"> </w:t>
      </w:r>
      <w:r>
        <w:t xml:space="preserve">3. Listing activation tiers: Listed → Verified docs → EUDR-ready (geo/polygon fields).</w:t>
      </w:r>
      <w:r>
        <w:t xml:space="preserve"> </w:t>
      </w:r>
      <w:r>
        <w:t xml:space="preserve">4. First shipment success program (guided pack, milestone tracking).</w:t>
      </w:r>
    </w:p>
    <w:bookmarkEnd w:id="71"/>
    <w:bookmarkStart w:id="72" w:name="X44055baa55e4e9c3b59e857ac1ba862672c11aa"/>
    <w:p>
      <w:pPr>
        <w:pStyle w:val="Heading3"/>
      </w:pPr>
      <w:r>
        <w:t xml:space="preserve">Fundraising strategy and investor pitch readiness checklist</w:t>
      </w:r>
    </w:p>
    <w:p>
      <w:pPr>
        <w:pStyle w:val="FirstParagraph"/>
      </w:pPr>
      <w:r>
        <w:t xml:space="preserve">Investors will underwrite (a) supply, (b) demand, and (c) compliance competence.</w:t>
      </w:r>
    </w:p>
    <w:p>
      <w:pPr>
        <w:pStyle w:val="BodyText"/>
      </w:pPr>
      <w:r>
        <w:t xml:space="preserve">Pitch readiness checklist (evidence-based):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Minimum proof</w:t>
            </w:r>
          </w:p>
        </w:tc>
        <w:tc>
          <w:tcPr/>
          <w:p>
            <w:pPr>
              <w:pStyle w:val="Compact"/>
            </w:pPr>
            <w:r>
              <w:t xml:space="preserve">Why it wins</w:t>
            </w:r>
          </w:p>
        </w:tc>
      </w:tr>
      <w:tr>
        <w:tc>
          <w:tcPr/>
          <w:p>
            <w:pPr>
              <w:pStyle w:val="Compact"/>
            </w:pPr>
            <w:r>
              <w:t xml:space="preserve">Marketplace viability</w:t>
            </w:r>
          </w:p>
        </w:tc>
        <w:tc>
          <w:tcPr/>
          <w:p>
            <w:pPr>
              <w:pStyle w:val="Compact"/>
            </w:pPr>
            <w:r>
              <w:t xml:space="preserve">paid pilots + repeat buyer intent</w:t>
            </w:r>
          </w:p>
        </w:tc>
        <w:tc>
          <w:tcPr/>
          <w:p>
            <w:pPr>
              <w:pStyle w:val="Compact"/>
            </w:pPr>
            <w:r>
              <w:t xml:space="preserve">proves liquidity</w:t>
            </w:r>
          </w:p>
        </w:tc>
      </w:tr>
      <w:tr>
        <w:tc>
          <w:tcPr/>
          <w:p>
            <w:pPr>
              <w:pStyle w:val="Compact"/>
            </w:pPr>
            <w:r>
              <w:t xml:space="preserve">Compliance literacy</w:t>
            </w:r>
          </w:p>
        </w:tc>
        <w:tc>
          <w:tcPr/>
          <w:p>
            <w:pPr>
              <w:pStyle w:val="Compact"/>
            </w:pPr>
            <w:r>
              <w:t xml:space="preserve">clear importer/consignee posture by model + doc pack demo</w:t>
            </w:r>
          </w:p>
        </w:tc>
        <w:tc>
          <w:tcPr/>
          <w:p>
            <w:pPr>
              <w:pStyle w:val="Compact"/>
            </w:pPr>
            <w:r>
              <w:t xml:space="preserve">avoids hidden regulatory blowups; aligns to FSVP definition and EU labeling duties</w:t>
            </w:r>
            <w:r>
              <w:t xml:space="preserve"> </w:t>
            </w:r>
            <w:hyperlink r:id="rId25">
              <w:r>
                <w:rPr>
                  <w:rStyle w:val="Hyperlink"/>
                </w:rPr>
                <w:t xml:space="preserve">[45]</w:t>
              </w:r>
            </w:hyperlink>
          </w:p>
        </w:tc>
      </w:tr>
      <w:tr>
        <w:tc>
          <w:tcPr/>
          <w:p>
            <w:pPr>
              <w:pStyle w:val="Compact"/>
            </w:pPr>
            <w:r>
              <w:t xml:space="preserve">Traceability system</w:t>
            </w:r>
          </w:p>
        </w:tc>
        <w:tc>
          <w:tcPr/>
          <w:p>
            <w:pPr>
              <w:pStyle w:val="Compact"/>
            </w:pPr>
            <w:r>
              <w:t xml:space="preserve">live lot ledger with Article 18 traceability edges and incident workflow stub</w:t>
            </w:r>
          </w:p>
        </w:tc>
        <w:tc>
          <w:tcPr/>
          <w:p>
            <w:pPr>
              <w:pStyle w:val="Compact"/>
            </w:pPr>
            <w:r>
              <w:t xml:space="preserve">EU traceability and Article 19 withdrawal/recall duties demand systems, not spreadsheets</w:t>
            </w:r>
            <w:r>
              <w:t xml:space="preserve"> </w:t>
            </w:r>
            <w:hyperlink r:id="rId26">
              <w:r>
                <w:rPr>
                  <w:rStyle w:val="Hyperlink"/>
                </w:rPr>
                <w:t xml:space="preserve">[7]</w:t>
              </w:r>
            </w:hyperlink>
          </w:p>
        </w:tc>
      </w:tr>
      <w:tr>
        <w:tc>
          <w:tcPr/>
          <w:p>
            <w:pPr>
              <w:pStyle w:val="Compact"/>
            </w:pPr>
            <w:r>
              <w:t xml:space="preserve">EUDR roadmap</w:t>
            </w:r>
          </w:p>
        </w:tc>
        <w:tc>
          <w:tcPr/>
          <w:p>
            <w:pPr>
              <w:pStyle w:val="Compact"/>
            </w:pPr>
            <w:r>
              <w:t xml:space="preserve">geolocation pipeline and supplier readiness scoring</w:t>
            </w:r>
          </w:p>
        </w:tc>
        <w:tc>
          <w:tcPr/>
          <w:p>
            <w:pPr>
              <w:pStyle w:val="Compact"/>
            </w:pPr>
            <w:r>
              <w:t xml:space="preserve">EUDR explicitly expects geolocation coordinates; official delay timeline is known</w:t>
            </w:r>
            <w:r>
              <w:t xml:space="preserve"> </w:t>
            </w:r>
            <w:hyperlink r:id="rId28">
              <w:r>
                <w:rPr>
                  <w:rStyle w:val="Hyperlink"/>
                </w:rPr>
                <w:t xml:space="preserve">[14]</w:t>
              </w:r>
            </w:hyperlink>
          </w:p>
        </w:tc>
      </w:tr>
      <w:tr>
        <w:tc>
          <w:tcPr/>
          <w:p>
            <w:pPr>
              <w:pStyle w:val="Compact"/>
            </w:pPr>
            <w:r>
              <w:t xml:space="preserve">Unit economics</w:t>
            </w:r>
          </w:p>
        </w:tc>
        <w:tc>
          <w:tcPr/>
          <w:p>
            <w:pPr>
              <w:pStyle w:val="Compact"/>
            </w:pPr>
            <w:r>
              <w:t xml:space="preserve">take-rate model + cost-to-serve + dispute reserve assumptions</w:t>
            </w:r>
          </w:p>
        </w:tc>
        <w:tc>
          <w:tcPr/>
          <w:p>
            <w:pPr>
              <w:pStyle w:val="Compact"/>
            </w:pPr>
            <w:r>
              <w:t xml:space="preserve">translates to profitability story</w:t>
            </w:r>
          </w:p>
        </w:tc>
      </w:tr>
      <w:tr>
        <w:tc>
          <w:tcPr/>
          <w:p>
            <w:pPr>
              <w:pStyle w:val="Compact"/>
            </w:pPr>
            <w:r>
              <w:t xml:space="preserve">Expansion path</w:t>
            </w:r>
          </w:p>
        </w:tc>
        <w:tc>
          <w:tcPr/>
          <w:p>
            <w:pPr>
              <w:pStyle w:val="Compact"/>
            </w:pPr>
            <w:r>
              <w:t xml:space="preserve">consignment/in‑market pilot plan</w:t>
            </w:r>
          </w:p>
        </w:tc>
        <w:tc>
          <w:tcPr/>
          <w:p>
            <w:pPr>
              <w:pStyle w:val="Compact"/>
            </w:pPr>
            <w:r>
              <w:t xml:space="preserve">shows path to consumer product and improved QC</w:t>
            </w:r>
          </w:p>
        </w:tc>
      </w:tr>
    </w:tbl>
    <w:bookmarkEnd w:id="72"/>
    <w:bookmarkStart w:id="73" w:name="risks-and-mitigations"/>
    <w:p>
      <w:pPr>
        <w:pStyle w:val="Heading3"/>
      </w:pPr>
      <w:r>
        <w:t xml:space="preserve">Risks and mitigations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t xml:space="preserve">Importer role leakage</w:t>
            </w:r>
          </w:p>
        </w:tc>
        <w:tc>
          <w:tcPr/>
          <w:p>
            <w:pPr>
              <w:pStyle w:val="Compact"/>
            </w:pPr>
            <w:r>
              <w:t xml:space="preserve">you inherit FSVP duties unintentionally</w:t>
            </w:r>
          </w:p>
        </w:tc>
        <w:tc>
          <w:tcPr/>
          <w:p>
            <w:pPr>
              <w:pStyle w:val="Compact"/>
            </w:pPr>
            <w:r>
              <w:t xml:space="preserve">enforce title/consignee rules; encode role per order; legal review of templates</w:t>
            </w:r>
            <w:r>
              <w:t xml:space="preserve"> </w:t>
            </w:r>
            <w:hyperlink r:id="rId25">
              <w:r>
                <w:rPr>
                  <w:rStyle w:val="Hyperlink"/>
                </w:rPr>
                <w:t xml:space="preserve">[6]</w:t>
              </w:r>
            </w:hyperlink>
          </w:p>
        </w:tc>
      </w:tr>
      <w:tr>
        <w:tc>
          <w:tcPr/>
          <w:p>
            <w:pPr>
              <w:pStyle w:val="Compact"/>
            </w:pPr>
            <w:r>
              <w:t xml:space="preserve">Dropship complexity</w:t>
            </w:r>
          </w:p>
        </w:tc>
        <w:tc>
          <w:tcPr/>
          <w:p>
            <w:pPr>
              <w:pStyle w:val="Compact"/>
            </w:pPr>
            <w:r>
              <w:t xml:space="preserve">VAT/customs + returns overwhelm margin</w:t>
            </w:r>
          </w:p>
        </w:tc>
        <w:tc>
          <w:tcPr/>
          <w:p>
            <w:pPr>
              <w:pStyle w:val="Compact"/>
            </w:pPr>
            <w:r>
              <w:t xml:space="preserve">keep dropship experimental; prioritize B2B marketplace then consignment hubs</w:t>
            </w:r>
            <w:r>
              <w:t xml:space="preserve"> </w:t>
            </w:r>
            <w:hyperlink r:id="rId23">
              <w:r>
                <w:rPr>
                  <w:rStyle w:val="Hyperlink"/>
                </w:rPr>
                <w:t xml:space="preserve">[46]</w:t>
              </w:r>
            </w:hyperlink>
          </w:p>
        </w:tc>
      </w:tr>
      <w:tr>
        <w:tc>
          <w:tcPr/>
          <w:p>
            <w:pPr>
              <w:pStyle w:val="Compact"/>
            </w:pPr>
            <w:r>
              <w:t xml:space="preserve">Quality disputes</w:t>
            </w:r>
          </w:p>
        </w:tc>
        <w:tc>
          <w:tcPr/>
          <w:p>
            <w:pPr>
              <w:pStyle w:val="Compact"/>
            </w:pPr>
            <w:r>
              <w:t xml:space="preserve">claims erode trust</w:t>
            </w:r>
          </w:p>
        </w:tc>
        <w:tc>
          <w:tcPr/>
          <w:p>
            <w:pPr>
              <w:pStyle w:val="Compact"/>
            </w:pPr>
            <w:r>
              <w:t xml:space="preserve">codify moisture/QC gates using Coffee Board standards; offer inspection/QC services</w:t>
            </w:r>
            <w:r>
              <w:t xml:space="preserve"> </w:t>
            </w:r>
            <w:hyperlink r:id="rId22">
              <w:r>
                <w:rPr>
                  <w:rStyle w:val="Hyperlink"/>
                </w:rPr>
                <w:t xml:space="preserve">[12]</w:t>
              </w:r>
            </w:hyperlink>
          </w:p>
        </w:tc>
      </w:tr>
      <w:tr>
        <w:tc>
          <w:tcPr/>
          <w:p>
            <w:pPr>
              <w:pStyle w:val="Compact"/>
            </w:pPr>
            <w:r>
              <w:t xml:space="preserve">EUDR readiness gap</w:t>
            </w:r>
          </w:p>
        </w:tc>
        <w:tc>
          <w:tcPr/>
          <w:p>
            <w:pPr>
              <w:pStyle w:val="Compact"/>
            </w:pPr>
            <w:r>
              <w:t xml:space="preserve">EU buyers avoid non-compliant supply</w:t>
            </w:r>
          </w:p>
        </w:tc>
        <w:tc>
          <w:tcPr/>
          <w:p>
            <w:pPr>
              <w:pStyle w:val="Compact"/>
            </w:pPr>
            <w:r>
              <w:t xml:space="preserve">incentivize geo/polygon fields; tiered ranking; partner for mapping tools</w:t>
            </w:r>
            <w:r>
              <w:t xml:space="preserve"> </w:t>
            </w:r>
            <w:hyperlink r:id="rId38">
              <w:r>
                <w:rPr>
                  <w:rStyle w:val="Hyperlink"/>
                </w:rPr>
                <w:t xml:space="preserve">[42]</w:t>
              </w:r>
            </w:hyperlink>
          </w:p>
        </w:tc>
      </w:tr>
      <w:tr>
        <w:tc>
          <w:tcPr/>
          <w:p>
            <w:pPr>
              <w:pStyle w:val="Compact"/>
            </w:pPr>
            <w:r>
              <w:t xml:space="preserve">Supplier churn</w:t>
            </w:r>
          </w:p>
        </w:tc>
        <w:tc>
          <w:tcPr/>
          <w:p>
            <w:pPr>
              <w:pStyle w:val="Compact"/>
            </w:pPr>
            <w:r>
              <w:t xml:space="preserve">marketplace empties</w:t>
            </w:r>
          </w:p>
        </w:tc>
        <w:tc>
          <w:tcPr/>
          <w:p>
            <w:pPr>
              <w:pStyle w:val="Compact"/>
            </w:pPr>
            <w:r>
              <w:t xml:space="preserve">offer demand visibility, faster buyer access, and premium placement for verified/evidence-rich suppliers</w:t>
            </w:r>
            <w:r>
              <w:t xml:space="preserve"> </w:t>
            </w:r>
            <w:hyperlink r:id="rId24">
              <w:r>
                <w:rPr>
                  <w:rStyle w:val="Hyperlink"/>
                </w:rPr>
                <w:t xml:space="preserve">[47]</w:t>
              </w:r>
            </w:hyperlink>
          </w:p>
        </w:tc>
      </w:tr>
    </w:tbl>
    <w:p>
      <w:pPr>
        <w:pStyle w:val="BodyText"/>
      </w:pPr>
      <w:r>
        <w:t xml:space="preserve">This PRD and blueprint define exactly what you are building:</w:t>
      </w:r>
      <w:r>
        <w:t xml:space="preserve"> </w:t>
      </w:r>
      <w:r>
        <w:rPr>
          <w:b/>
          <w:bCs/>
        </w:rPr>
        <w:t xml:space="preserve">a verifiable-lot marketplace for Indian coffee</w:t>
      </w:r>
      <w:r>
        <w:t xml:space="preserve">, designed so the MVP can ship in four weeks, generate real procurement signals, and build a defensible compliance-ready data moat that becomes more valuable as EU traceability and EUDR expectations tighten.</w:t>
      </w:r>
      <w:r>
        <w:t xml:space="preserve"> </w:t>
      </w:r>
      <w:hyperlink r:id="rId26">
        <w:r>
          <w:rPr>
            <w:rStyle w:val="Hyperlink"/>
          </w:rPr>
          <w:t xml:space="preserve">[48]</w:t>
        </w:r>
      </w:hyperlink>
    </w:p>
    <w:bookmarkEnd w:id="73"/>
    <w:bookmarkEnd w:id="74"/>
    <w:bookmarkEnd w:id="75"/>
    <w:bookmarkEnd w:id="76"/>
    <w:p>
      <w:r>
        <w:pict>
          <v:rect style="width:0;height:1.5pt" o:hralign="center" o:hrstd="t" o:hr="t"/>
        </w:pict>
      </w:r>
    </w:p>
    <w:bookmarkStart w:id="77" w:name="citations"/>
    <w:p>
      <w:pPr>
        <w:pStyle w:val="FirstParagraph"/>
      </w:pPr>
      <w:hyperlink r:id="rId21">
        <w:r>
          <w:rPr>
            <w:rStyle w:val="Hyperlink"/>
          </w:rPr>
          <w:t xml:space="preserve">[1]</w:t>
        </w:r>
      </w:hyperlink>
      <w:r>
        <w:t xml:space="preserve"> </w:t>
      </w:r>
      <w:hyperlink r:id="rId21">
        <w:r>
          <w:rPr>
            <w:rStyle w:val="Hyperlink"/>
          </w:rPr>
          <w:t xml:space="preserve">[23]</w:t>
        </w:r>
      </w:hyperlink>
      <w:r>
        <w:t xml:space="preserve"> </w:t>
      </w:r>
      <w:hyperlink r:id="rId21">
        <w:r>
          <w:rPr>
            <w:rStyle w:val="Hyperlink"/>
          </w:rPr>
          <w:t xml:space="preserve">[34]</w:t>
        </w:r>
      </w:hyperlink>
      <w:r>
        <w:t xml:space="preserve"> </w:t>
      </w:r>
      <w:r>
        <w:t xml:space="preserve">https://vat-one-stop-shop.ec.europa.eu/index_en</w:t>
      </w:r>
    </w:p>
    <w:p>
      <w:pPr>
        <w:pStyle w:val="BodyText"/>
      </w:pPr>
      <w:hyperlink r:id="rId21">
        <w:r>
          <w:rPr>
            <w:rStyle w:val="Hyperlink"/>
          </w:rPr>
          <w:t xml:space="preserve">https://vat-one-stop-shop.ec.europa.eu/index_en</w:t>
        </w:r>
      </w:hyperlink>
    </w:p>
    <w:p>
      <w:pPr>
        <w:pStyle w:val="BodyText"/>
      </w:pPr>
      <w:hyperlink r:id="rId22">
        <w:r>
          <w:rPr>
            <w:rStyle w:val="Hyperlink"/>
          </w:rPr>
          <w:t xml:space="preserve">[2]</w:t>
        </w:r>
      </w:hyperlink>
      <w:r>
        <w:t xml:space="preserve"> </w:t>
      </w:r>
      <w:hyperlink r:id="rId22">
        <w:r>
          <w:rPr>
            <w:rStyle w:val="Hyperlink"/>
          </w:rPr>
          <w:t xml:space="preserve">[12]</w:t>
        </w:r>
      </w:hyperlink>
      <w:r>
        <w:t xml:space="preserve"> </w:t>
      </w:r>
      <w:hyperlink r:id="rId22">
        <w:r>
          <w:rPr>
            <w:rStyle w:val="Hyperlink"/>
          </w:rPr>
          <w:t xml:space="preserve">[15]</w:t>
        </w:r>
      </w:hyperlink>
      <w:r>
        <w:t xml:space="preserve"> </w:t>
      </w:r>
      <w:hyperlink r:id="rId22">
        <w:r>
          <w:rPr>
            <w:rStyle w:val="Hyperlink"/>
          </w:rPr>
          <w:t xml:space="preserve">[18]</w:t>
        </w:r>
      </w:hyperlink>
      <w:r>
        <w:t xml:space="preserve"> </w:t>
      </w:r>
      <w:hyperlink r:id="rId22">
        <w:r>
          <w:rPr>
            <w:rStyle w:val="Hyperlink"/>
          </w:rPr>
          <w:t xml:space="preserve">[40]</w:t>
        </w:r>
      </w:hyperlink>
      <w:r>
        <w:t xml:space="preserve"> </w:t>
      </w:r>
      <w:r>
        <w:t xml:space="preserve">https://coffeeboard.gov.in/Indian%20Coffee/coffee%20karma.pdf</w:t>
      </w:r>
    </w:p>
    <w:p>
      <w:pPr>
        <w:pStyle w:val="BodyText"/>
      </w:pPr>
      <w:hyperlink r:id="rId22">
        <w:r>
          <w:rPr>
            <w:rStyle w:val="Hyperlink"/>
          </w:rPr>
          <w:t xml:space="preserve">https://coffeeboard.gov.in/Indian%20Coffee/coffee%20karma.pdf</w:t>
        </w:r>
      </w:hyperlink>
    </w:p>
    <w:p>
      <w:pPr>
        <w:pStyle w:val="BodyText"/>
      </w:pPr>
      <w:hyperlink r:id="rId23">
        <w:r>
          <w:rPr>
            <w:rStyle w:val="Hyperlink"/>
          </w:rPr>
          <w:t xml:space="preserve">[3]</w:t>
        </w:r>
      </w:hyperlink>
      <w:r>
        <w:t xml:space="preserve"> </w:t>
      </w:r>
      <w:hyperlink r:id="rId23">
        <w:r>
          <w:rPr>
            <w:rStyle w:val="Hyperlink"/>
          </w:rPr>
          <w:t xml:space="preserve">[26]</w:t>
        </w:r>
      </w:hyperlink>
      <w:r>
        <w:t xml:space="preserve"> </w:t>
      </w:r>
      <w:hyperlink r:id="rId23">
        <w:r>
          <w:rPr>
            <w:rStyle w:val="Hyperlink"/>
          </w:rPr>
          <w:t xml:space="preserve">[46]</w:t>
        </w:r>
      </w:hyperlink>
      <w:r>
        <w:t xml:space="preserve"> </w:t>
      </w:r>
      <w:r>
        <w:t xml:space="preserve">https://vat-one-stop-shop.ec.europa.eu/system/files/2022-01/guidance_on_import_and_export_of_low_value_consignments_en.pdf</w:t>
      </w:r>
    </w:p>
    <w:p>
      <w:pPr>
        <w:pStyle w:val="BodyText"/>
      </w:pPr>
      <w:hyperlink r:id="rId23">
        <w:r>
          <w:rPr>
            <w:rStyle w:val="Hyperlink"/>
          </w:rPr>
          <w:t xml:space="preserve">https://vat-one-stop-shop.ec.europa.eu/system/files/2022-01/guidance_on_import_and_export_of_low_value_consignments_en.pdf</w:t>
        </w:r>
      </w:hyperlink>
    </w:p>
    <w:p>
      <w:pPr>
        <w:pStyle w:val="BodyText"/>
      </w:pPr>
      <w:hyperlink r:id="rId24">
        <w:r>
          <w:rPr>
            <w:rStyle w:val="Hyperlink"/>
          </w:rPr>
          <w:t xml:space="preserve">[4]</w:t>
        </w:r>
      </w:hyperlink>
      <w:r>
        <w:t xml:space="preserve"> </w:t>
      </w:r>
      <w:hyperlink r:id="rId24">
        <w:r>
          <w:rPr>
            <w:rStyle w:val="Hyperlink"/>
          </w:rPr>
          <w:t xml:space="preserve">[5]</w:t>
        </w:r>
      </w:hyperlink>
      <w:r>
        <w:t xml:space="preserve"> </w:t>
      </w:r>
      <w:hyperlink r:id="rId24">
        <w:r>
          <w:rPr>
            <w:rStyle w:val="Hyperlink"/>
          </w:rPr>
          <w:t xml:space="preserve">[11]</w:t>
        </w:r>
      </w:hyperlink>
      <w:r>
        <w:t xml:space="preserve"> </w:t>
      </w:r>
      <w:hyperlink r:id="rId24">
        <w:r>
          <w:rPr>
            <w:rStyle w:val="Hyperlink"/>
          </w:rPr>
          <w:t xml:space="preserve">[17]</w:t>
        </w:r>
      </w:hyperlink>
      <w:r>
        <w:t xml:space="preserve"> </w:t>
      </w:r>
      <w:hyperlink r:id="rId24">
        <w:r>
          <w:rPr>
            <w:rStyle w:val="Hyperlink"/>
          </w:rPr>
          <w:t xml:space="preserve">[35]</w:t>
        </w:r>
      </w:hyperlink>
      <w:r>
        <w:t xml:space="preserve"> </w:t>
      </w:r>
      <w:hyperlink r:id="rId24">
        <w:r>
          <w:rPr>
            <w:rStyle w:val="Hyperlink"/>
          </w:rPr>
          <w:t xml:space="preserve">[47]</w:t>
        </w:r>
      </w:hyperlink>
      <w:r>
        <w:t xml:space="preserve"> </w:t>
      </w:r>
      <w:r>
        <w:t xml:space="preserve">https://coffeeboard.gov.in/Exporter.aspx</w:t>
      </w:r>
    </w:p>
    <w:p>
      <w:pPr>
        <w:pStyle w:val="BodyText"/>
      </w:pPr>
      <w:hyperlink r:id="rId24">
        <w:r>
          <w:rPr>
            <w:rStyle w:val="Hyperlink"/>
          </w:rPr>
          <w:t xml:space="preserve">https://coffeeboard.gov.in/Exporter.aspx</w:t>
        </w:r>
      </w:hyperlink>
    </w:p>
    <w:p>
      <w:pPr>
        <w:pStyle w:val="BodyText"/>
      </w:pPr>
      <w:hyperlink r:id="rId25">
        <w:r>
          <w:rPr>
            <w:rStyle w:val="Hyperlink"/>
          </w:rPr>
          <w:t xml:space="preserve">[6]</w:t>
        </w:r>
      </w:hyperlink>
      <w:r>
        <w:t xml:space="preserve"> </w:t>
      </w:r>
      <w:hyperlink r:id="rId25">
        <w:r>
          <w:rPr>
            <w:rStyle w:val="Hyperlink"/>
          </w:rPr>
          <w:t xml:space="preserve">[45]</w:t>
        </w:r>
      </w:hyperlink>
      <w:r>
        <w:t xml:space="preserve"> </w:t>
      </w:r>
      <w:r>
        <w:t xml:space="preserve">https://www.fda.gov/food/food-safety-modernization-act-fsma/fsma-final-rule-foreign-supplier-verification-programs-fsvp-importers-food-humans-and-animals</w:t>
      </w:r>
    </w:p>
    <w:p>
      <w:pPr>
        <w:pStyle w:val="BodyText"/>
      </w:pPr>
      <w:hyperlink r:id="rId25">
        <w:r>
          <w:rPr>
            <w:rStyle w:val="Hyperlink"/>
          </w:rPr>
          <w:t xml:space="preserve">https://www.fda.gov/food/food-safety-modernization-act-fsma/fsma-final-rule-foreign-supplier-verification-programs-fsvp-importers-food-humans-and-animals</w:t>
        </w:r>
      </w:hyperlink>
    </w:p>
    <w:p>
      <w:pPr>
        <w:pStyle w:val="BodyText"/>
      </w:pPr>
      <w:hyperlink r:id="rId26">
        <w:r>
          <w:rPr>
            <w:rStyle w:val="Hyperlink"/>
          </w:rPr>
          <w:t xml:space="preserve">[7]</w:t>
        </w:r>
      </w:hyperlink>
      <w:r>
        <w:t xml:space="preserve"> </w:t>
      </w:r>
      <w:hyperlink r:id="rId26">
        <w:r>
          <w:rPr>
            <w:rStyle w:val="Hyperlink"/>
          </w:rPr>
          <w:t xml:space="preserve">[13]</w:t>
        </w:r>
      </w:hyperlink>
      <w:r>
        <w:t xml:space="preserve"> </w:t>
      </w:r>
      <w:hyperlink r:id="rId26">
        <w:r>
          <w:rPr>
            <w:rStyle w:val="Hyperlink"/>
          </w:rPr>
          <w:t xml:space="preserve">[20]</w:t>
        </w:r>
      </w:hyperlink>
      <w:r>
        <w:t xml:space="preserve"> </w:t>
      </w:r>
      <w:hyperlink r:id="rId26">
        <w:r>
          <w:rPr>
            <w:rStyle w:val="Hyperlink"/>
          </w:rPr>
          <w:t xml:space="preserve">[30]</w:t>
        </w:r>
      </w:hyperlink>
      <w:r>
        <w:t xml:space="preserve"> </w:t>
      </w:r>
      <w:hyperlink r:id="rId26">
        <w:r>
          <w:rPr>
            <w:rStyle w:val="Hyperlink"/>
          </w:rPr>
          <w:t xml:space="preserve">[48]</w:t>
        </w:r>
      </w:hyperlink>
      <w:r>
        <w:t xml:space="preserve"> </w:t>
      </w:r>
      <w:r>
        <w:t xml:space="preserve">https://eur-lex.europa.eu/legal-content/EN/TXT/PDF/?uri=CELEX%3A02002R0178-20220701</w:t>
      </w:r>
    </w:p>
    <w:p>
      <w:pPr>
        <w:pStyle w:val="BodyText"/>
      </w:pPr>
      <w:hyperlink r:id="rId26">
        <w:r>
          <w:rPr>
            <w:rStyle w:val="Hyperlink"/>
          </w:rPr>
          <w:t xml:space="preserve">https://eur-lex.europa.eu/legal-content/EN/TXT/PDF/?uri=CELEX%3A02002R0178-20220701</w:t>
        </w:r>
      </w:hyperlink>
    </w:p>
    <w:p>
      <w:pPr>
        <w:pStyle w:val="BodyText"/>
      </w:pPr>
      <w:hyperlink r:id="rId27">
        <w:r>
          <w:rPr>
            <w:rStyle w:val="Hyperlink"/>
          </w:rPr>
          <w:t xml:space="preserve">[8]</w:t>
        </w:r>
      </w:hyperlink>
      <w:r>
        <w:t xml:space="preserve"> </w:t>
      </w:r>
      <w:r>
        <w:t xml:space="preserve">https://eur-lex.europa.eu/legal-content/EN/TXT/HTML/?uri=CELEX%3A02011R1169-20180101</w:t>
      </w:r>
    </w:p>
    <w:p>
      <w:pPr>
        <w:pStyle w:val="BodyText"/>
      </w:pPr>
      <w:hyperlink r:id="rId27">
        <w:r>
          <w:rPr>
            <w:rStyle w:val="Hyperlink"/>
          </w:rPr>
          <w:t xml:space="preserve">https://eur-lex.europa.eu/legal-content/EN/TXT/HTML/?uri=CELEX%3A02011R1169-20180101</w:t>
        </w:r>
      </w:hyperlink>
    </w:p>
    <w:p>
      <w:pPr>
        <w:pStyle w:val="BodyText"/>
      </w:pPr>
      <w:hyperlink r:id="rId28">
        <w:r>
          <w:rPr>
            <w:rStyle w:val="Hyperlink"/>
          </w:rPr>
          <w:t xml:space="preserve">[9]</w:t>
        </w:r>
      </w:hyperlink>
      <w:r>
        <w:t xml:space="preserve"> </w:t>
      </w:r>
      <w:hyperlink r:id="rId28">
        <w:r>
          <w:rPr>
            <w:rStyle w:val="Hyperlink"/>
          </w:rPr>
          <w:t xml:space="preserve">[14]</w:t>
        </w:r>
      </w:hyperlink>
      <w:r>
        <w:t xml:space="preserve"> </w:t>
      </w:r>
      <w:hyperlink r:id="rId28">
        <w:r>
          <w:rPr>
            <w:rStyle w:val="Hyperlink"/>
          </w:rPr>
          <w:t xml:space="preserve">[21]</w:t>
        </w:r>
      </w:hyperlink>
      <w:r>
        <w:t xml:space="preserve"> </w:t>
      </w:r>
      <w:hyperlink r:id="rId28">
        <w:r>
          <w:rPr>
            <w:rStyle w:val="Hyperlink"/>
          </w:rPr>
          <w:t xml:space="preserve">[33]</w:t>
        </w:r>
      </w:hyperlink>
      <w:r>
        <w:t xml:space="preserve"> </w:t>
      </w:r>
      <w:r>
        <w:t xml:space="preserve">https://eur-lex.europa.eu/legal-content/EN/TXT/PDF/?uri=CELEX%3A32023R1115</w:t>
      </w:r>
    </w:p>
    <w:p>
      <w:pPr>
        <w:pStyle w:val="BodyText"/>
      </w:pPr>
      <w:hyperlink r:id="rId28">
        <w:r>
          <w:rPr>
            <w:rStyle w:val="Hyperlink"/>
          </w:rPr>
          <w:t xml:space="preserve">https://eur-lex.europa.eu/legal-content/EN/TXT/PDF/?uri=CELEX%3A32023R1115</w:t>
        </w:r>
      </w:hyperlink>
    </w:p>
    <w:p>
      <w:pPr>
        <w:pStyle w:val="BodyText"/>
      </w:pPr>
      <w:hyperlink r:id="rId29">
        <w:r>
          <w:rPr>
            <w:rStyle w:val="Hyperlink"/>
          </w:rPr>
          <w:t xml:space="preserve">[10]</w:t>
        </w:r>
      </w:hyperlink>
      <w:r>
        <w:t xml:space="preserve"> </w:t>
      </w:r>
      <w:hyperlink r:id="rId29">
        <w:r>
          <w:rPr>
            <w:rStyle w:val="Hyperlink"/>
          </w:rPr>
          <w:t xml:space="preserve">[44]</w:t>
        </w:r>
      </w:hyperlink>
      <w:r>
        <w:t xml:space="preserve"> </w:t>
      </w:r>
      <w:r>
        <w:t xml:space="preserve">https://trade.ec.europa.eu/access-to-markets/en/news/delay-until-december-2026-and-other-developments-implementation-eudr-regulation</w:t>
      </w:r>
    </w:p>
    <w:p>
      <w:pPr>
        <w:pStyle w:val="BodyText"/>
      </w:pPr>
      <w:hyperlink r:id="rId29">
        <w:r>
          <w:rPr>
            <w:rStyle w:val="Hyperlink"/>
          </w:rPr>
          <w:t xml:space="preserve">https://trade.ec.europa.eu/access-to-markets/en/news/delay-until-december-2026-and-other-developments-implementation-eudr-regulation</w:t>
        </w:r>
      </w:hyperlink>
    </w:p>
    <w:p>
      <w:pPr>
        <w:pStyle w:val="BodyText"/>
      </w:pPr>
      <w:hyperlink r:id="rId38">
        <w:r>
          <w:rPr>
            <w:rStyle w:val="Hyperlink"/>
          </w:rPr>
          <w:t xml:space="preserve">[16]</w:t>
        </w:r>
      </w:hyperlink>
      <w:r>
        <w:t xml:space="preserve"> </w:t>
      </w:r>
      <w:hyperlink r:id="rId38">
        <w:r>
          <w:rPr>
            <w:rStyle w:val="Hyperlink"/>
          </w:rPr>
          <w:t xml:space="preserve">[42]</w:t>
        </w:r>
      </w:hyperlink>
      <w:r>
        <w:t xml:space="preserve"> </w:t>
      </w:r>
      <w:r>
        <w:t xml:space="preserve">https://coffeeboard.gov.in/Indian%20Coffee/Indian%20Coffee%20Sustainability%20Standard%20%20Certification%20Scheme.pdf</w:t>
      </w:r>
    </w:p>
    <w:p>
      <w:pPr>
        <w:pStyle w:val="BodyText"/>
      </w:pPr>
      <w:hyperlink r:id="rId38">
        <w:r>
          <w:rPr>
            <w:rStyle w:val="Hyperlink"/>
          </w:rPr>
          <w:t xml:space="preserve">https://coffeeboard.gov.in/Indian%20Coffee/Indian%20Coffee%20Sustainability%20Standard%20%20Certification%20Scheme.pdf</w:t>
        </w:r>
      </w:hyperlink>
    </w:p>
    <w:p>
      <w:pPr>
        <w:pStyle w:val="BodyText"/>
      </w:pPr>
      <w:hyperlink r:id="rId39">
        <w:r>
          <w:rPr>
            <w:rStyle w:val="Hyperlink"/>
          </w:rPr>
          <w:t xml:space="preserve">[19]</w:t>
        </w:r>
      </w:hyperlink>
      <w:r>
        <w:t xml:space="preserve"> </w:t>
      </w:r>
      <w:hyperlink r:id="rId39">
        <w:r>
          <w:rPr>
            <w:rStyle w:val="Hyperlink"/>
          </w:rPr>
          <w:t xml:space="preserve">[38]</w:t>
        </w:r>
      </w:hyperlink>
      <w:r>
        <w:t xml:space="preserve"> </w:t>
      </w:r>
      <w:hyperlink r:id="rId39">
        <w:r>
          <w:rPr>
            <w:rStyle w:val="Hyperlink"/>
          </w:rPr>
          <w:t xml:space="preserve">[43]</w:t>
        </w:r>
      </w:hyperlink>
      <w:r>
        <w:t xml:space="preserve"> </w:t>
      </w:r>
      <w:r>
        <w:t xml:space="preserve">https://coffeeboard.gov.in/Indian%20Coffee/TIES_list_Services.pdf</w:t>
      </w:r>
    </w:p>
    <w:p>
      <w:pPr>
        <w:pStyle w:val="BodyText"/>
      </w:pPr>
      <w:hyperlink r:id="rId39">
        <w:r>
          <w:rPr>
            <w:rStyle w:val="Hyperlink"/>
          </w:rPr>
          <w:t xml:space="preserve">https://coffeeboard.gov.in/Indian%20Coffee/TIES_list_Services.pdf</w:t>
        </w:r>
      </w:hyperlink>
    </w:p>
    <w:p>
      <w:pPr>
        <w:pStyle w:val="BodyText"/>
      </w:pPr>
      <w:hyperlink r:id="rId44">
        <w:r>
          <w:rPr>
            <w:rStyle w:val="Hyperlink"/>
          </w:rPr>
          <w:t xml:space="preserve">[22]</w:t>
        </w:r>
      </w:hyperlink>
      <w:r>
        <w:t xml:space="preserve"> </w:t>
      </w:r>
      <w:hyperlink r:id="rId44">
        <w:r>
          <w:rPr>
            <w:rStyle w:val="Hyperlink"/>
          </w:rPr>
          <w:t xml:space="preserve">[28]</w:t>
        </w:r>
      </w:hyperlink>
      <w:r>
        <w:t xml:space="preserve"> </w:t>
      </w:r>
      <w:r>
        <w:t xml:space="preserve">https://www.fda.gov/industry/prior-notice-imported-foods/filing-prior-notice-imported-foods</w:t>
      </w:r>
    </w:p>
    <w:p>
      <w:pPr>
        <w:pStyle w:val="BodyText"/>
      </w:pPr>
      <w:hyperlink r:id="rId44">
        <w:r>
          <w:rPr>
            <w:rStyle w:val="Hyperlink"/>
          </w:rPr>
          <w:t xml:space="preserve">https://www.fda.gov/industry/prior-notice-imported-foods/filing-prior-notice-imported-foods</w:t>
        </w:r>
      </w:hyperlink>
    </w:p>
    <w:p>
      <w:pPr>
        <w:pStyle w:val="BodyText"/>
      </w:pPr>
      <w:hyperlink r:id="rId45">
        <w:r>
          <w:rPr>
            <w:rStyle w:val="Hyperlink"/>
          </w:rPr>
          <w:t xml:space="preserve">[24]</w:t>
        </w:r>
      </w:hyperlink>
      <w:r>
        <w:t xml:space="preserve"> </w:t>
      </w:r>
      <w:hyperlink r:id="rId45">
        <w:r>
          <w:rPr>
            <w:rStyle w:val="Hyperlink"/>
          </w:rPr>
          <w:t xml:space="preserve">[27]</w:t>
        </w:r>
      </w:hyperlink>
      <w:r>
        <w:t xml:space="preserve"> </w:t>
      </w:r>
      <w:hyperlink r:id="rId45">
        <w:r>
          <w:rPr>
            <w:rStyle w:val="Hyperlink"/>
          </w:rPr>
          <w:t xml:space="preserve">[41]</w:t>
        </w:r>
      </w:hyperlink>
      <w:r>
        <w:t xml:space="preserve"> </w:t>
      </w:r>
      <w:r>
        <w:t xml:space="preserve">https://taxation-customs.ec.europa.eu/customs/customs-procedures-import-and-export/customs-operations/economic-operators-registration-and-identification-number-eori_en</w:t>
      </w:r>
    </w:p>
    <w:p>
      <w:pPr>
        <w:pStyle w:val="BodyText"/>
      </w:pPr>
      <w:hyperlink r:id="rId45">
        <w:r>
          <w:rPr>
            <w:rStyle w:val="Hyperlink"/>
          </w:rPr>
          <w:t xml:space="preserve">https://taxation-customs.ec.europa.eu/customs/customs-procedures-import-and-export/customs-operations/economic-operators-registration-and-identification-number-eori_en</w:t>
        </w:r>
      </w:hyperlink>
    </w:p>
    <w:p>
      <w:pPr>
        <w:pStyle w:val="BodyText"/>
      </w:pPr>
      <w:hyperlink r:id="rId46">
        <w:r>
          <w:rPr>
            <w:rStyle w:val="Hyperlink"/>
          </w:rPr>
          <w:t xml:space="preserve">[25]</w:t>
        </w:r>
      </w:hyperlink>
      <w:r>
        <w:t xml:space="preserve"> </w:t>
      </w:r>
      <w:r>
        <w:t xml:space="preserve">https://taxation-customs.ec.europa.eu/news/e-commerce-150-eur-customs-duty-exemption-threshold-be-removed-2026-2025-11-13_en</w:t>
      </w:r>
    </w:p>
    <w:p>
      <w:pPr>
        <w:pStyle w:val="BodyText"/>
      </w:pPr>
      <w:hyperlink r:id="rId46">
        <w:r>
          <w:rPr>
            <w:rStyle w:val="Hyperlink"/>
          </w:rPr>
          <w:t xml:space="preserve">https://taxation-customs.ec.europa.eu/news/e-commerce-150-eur-customs-duty-exemption-threshold-be-removed-2026-2025-11-13_en</w:t>
        </w:r>
      </w:hyperlink>
    </w:p>
    <w:p>
      <w:pPr>
        <w:pStyle w:val="BodyText"/>
      </w:pPr>
      <w:hyperlink r:id="rId52">
        <w:r>
          <w:rPr>
            <w:rStyle w:val="Hyperlink"/>
          </w:rPr>
          <w:t xml:space="preserve">[29]</w:t>
        </w:r>
      </w:hyperlink>
      <w:r>
        <w:t xml:space="preserve"> </w:t>
      </w:r>
      <w:r>
        <w:t xml:space="preserve">https://www.fda.gov/food/food-imports-exports/importing-food-products-united-states</w:t>
      </w:r>
    </w:p>
    <w:p>
      <w:pPr>
        <w:pStyle w:val="BodyText"/>
      </w:pPr>
      <w:hyperlink r:id="rId52">
        <w:r>
          <w:rPr>
            <w:rStyle w:val="Hyperlink"/>
          </w:rPr>
          <w:t xml:space="preserve">https://www.fda.gov/food/food-imports-exports/importing-food-products-united-states</w:t>
        </w:r>
      </w:hyperlink>
    </w:p>
    <w:p>
      <w:pPr>
        <w:pStyle w:val="BodyText"/>
      </w:pPr>
      <w:hyperlink r:id="rId54">
        <w:r>
          <w:rPr>
            <w:rStyle w:val="Hyperlink"/>
          </w:rPr>
          <w:t xml:space="preserve">[31]</w:t>
        </w:r>
      </w:hyperlink>
      <w:r>
        <w:t xml:space="preserve"> </w:t>
      </w:r>
      <w:r>
        <w:t xml:space="preserve">https://eur-lex.europa.eu/legal-content/EN/TXT/PDF/?uri=CELEX%3A02004R0852-20210324</w:t>
      </w:r>
    </w:p>
    <w:p>
      <w:pPr>
        <w:pStyle w:val="BodyText"/>
      </w:pPr>
      <w:hyperlink r:id="rId54">
        <w:r>
          <w:rPr>
            <w:rStyle w:val="Hyperlink"/>
          </w:rPr>
          <w:t xml:space="preserve">https://eur-lex.europa.eu/legal-content/EN/TXT/PDF/?uri=CELEX%3A02004R0852-20210324</w:t>
        </w:r>
      </w:hyperlink>
    </w:p>
    <w:p>
      <w:pPr>
        <w:pStyle w:val="BodyText"/>
      </w:pPr>
      <w:hyperlink r:id="rId55">
        <w:r>
          <w:rPr>
            <w:rStyle w:val="Hyperlink"/>
          </w:rPr>
          <w:t xml:space="preserve">[32]</w:t>
        </w:r>
      </w:hyperlink>
      <w:r>
        <w:t xml:space="preserve"> </w:t>
      </w:r>
      <w:r>
        <w:t xml:space="preserve">https://eur-lex.europa.eu/eli/reg/2017/625/oj/eng</w:t>
      </w:r>
    </w:p>
    <w:p>
      <w:pPr>
        <w:pStyle w:val="BodyText"/>
      </w:pPr>
      <w:hyperlink r:id="rId55">
        <w:r>
          <w:rPr>
            <w:rStyle w:val="Hyperlink"/>
          </w:rPr>
          <w:t xml:space="preserve">https://eur-lex.europa.eu/eli/reg/2017/625/oj/eng</w:t>
        </w:r>
      </w:hyperlink>
    </w:p>
    <w:p>
      <w:pPr>
        <w:pStyle w:val="BodyText"/>
      </w:pPr>
      <w:hyperlink r:id="rId60">
        <w:r>
          <w:rPr>
            <w:rStyle w:val="Hyperlink"/>
          </w:rPr>
          <w:t xml:space="preserve">[36]</w:t>
        </w:r>
      </w:hyperlink>
      <w:r>
        <w:t xml:space="preserve"> </w:t>
      </w:r>
      <w:r>
        <w:t xml:space="preserve">https://iccwbo.org/business-solutions/incoterms-rules/</w:t>
      </w:r>
    </w:p>
    <w:p>
      <w:pPr>
        <w:pStyle w:val="BodyText"/>
      </w:pPr>
      <w:hyperlink r:id="rId60">
        <w:r>
          <w:rPr>
            <w:rStyle w:val="Hyperlink"/>
          </w:rPr>
          <w:t xml:space="preserve">https://iccwbo.org/business-solutions/incoterms-rules/</w:t>
        </w:r>
      </w:hyperlink>
    </w:p>
    <w:p>
      <w:pPr>
        <w:pStyle w:val="BodyText"/>
      </w:pPr>
      <w:hyperlink r:id="rId62">
        <w:r>
          <w:rPr>
            <w:rStyle w:val="Hyperlink"/>
          </w:rPr>
          <w:t xml:space="preserve">[37]</w:t>
        </w:r>
      </w:hyperlink>
      <w:r>
        <w:t xml:space="preserve"> </w:t>
      </w:r>
      <w:r>
        <w:t xml:space="preserve">https://coffeeboard.gov.in/Specialitycoffee.aspx</w:t>
      </w:r>
    </w:p>
    <w:p>
      <w:pPr>
        <w:pStyle w:val="BodyText"/>
      </w:pPr>
      <w:hyperlink r:id="rId62">
        <w:r>
          <w:rPr>
            <w:rStyle w:val="Hyperlink"/>
          </w:rPr>
          <w:t xml:space="preserve">https://coffeeboard.gov.in/Specialitycoffee.aspx</w:t>
        </w:r>
      </w:hyperlink>
    </w:p>
    <w:p>
      <w:pPr>
        <w:pStyle w:val="BodyText"/>
      </w:pPr>
      <w:hyperlink r:id="rId63">
        <w:r>
          <w:rPr>
            <w:rStyle w:val="Hyperlink"/>
          </w:rPr>
          <w:t xml:space="preserve">[39]</w:t>
        </w:r>
      </w:hyperlink>
      <w:r>
        <w:t xml:space="preserve"> </w:t>
      </w:r>
      <w:r>
        <w:t xml:space="preserve">https://coffeeboard.gov.in/research.aspx</w:t>
      </w:r>
    </w:p>
    <w:p>
      <w:pPr>
        <w:pStyle w:val="BodyText"/>
      </w:pPr>
      <w:hyperlink r:id="rId63">
        <w:r>
          <w:rPr>
            <w:rStyle w:val="Hyperlink"/>
          </w:rPr>
          <w:t xml:space="preserve">https://coffeeboard.gov.in/research.aspx</w:t>
        </w:r>
      </w:hyperlink>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coffeeboard.gov.in/Exporter.aspx" TargetMode="External" /><Relationship Type="http://schemas.openxmlformats.org/officeDocument/2006/relationships/hyperlink" Id="rId38" Target="https://coffeeboard.gov.in/Indian%20Coffee/Indian%20Coffee%20Sustainability%20Standard%20%20Certification%20Scheme.pdf" TargetMode="External" /><Relationship Type="http://schemas.openxmlformats.org/officeDocument/2006/relationships/hyperlink" Id="rId39" Target="https://coffeeboard.gov.in/Indian%20Coffee/TIES_list_Services.pdf" TargetMode="External" /><Relationship Type="http://schemas.openxmlformats.org/officeDocument/2006/relationships/hyperlink" Id="rId22" Target="https://coffeeboard.gov.in/Indian%20Coffee/coffee%20karma.pdf" TargetMode="External" /><Relationship Type="http://schemas.openxmlformats.org/officeDocument/2006/relationships/hyperlink" Id="rId62" Target="https://coffeeboard.gov.in/Specialitycoffee.aspx" TargetMode="External" /><Relationship Type="http://schemas.openxmlformats.org/officeDocument/2006/relationships/hyperlink" Id="rId63" Target="https://coffeeboard.gov.in/research.aspx" TargetMode="External" /><Relationship Type="http://schemas.openxmlformats.org/officeDocument/2006/relationships/hyperlink" Id="rId55" Target="https://eur-lex.europa.eu/eli/reg/2017/625/oj/eng" TargetMode="External" /><Relationship Type="http://schemas.openxmlformats.org/officeDocument/2006/relationships/hyperlink" Id="rId27" Target="https://eur-lex.europa.eu/legal-content/EN/TXT/HTML/?uri=CELEX%3A02011R1169-20180101" TargetMode="External" /><Relationship Type="http://schemas.openxmlformats.org/officeDocument/2006/relationships/hyperlink" Id="rId26" Target="https://eur-lex.europa.eu/legal-content/EN/TXT/PDF/?uri=CELEX%3A02002R0178-20220701" TargetMode="External" /><Relationship Type="http://schemas.openxmlformats.org/officeDocument/2006/relationships/hyperlink" Id="rId54" Target="https://eur-lex.europa.eu/legal-content/EN/TXT/PDF/?uri=CELEX%3A02004R0852-20210324" TargetMode="External" /><Relationship Type="http://schemas.openxmlformats.org/officeDocument/2006/relationships/hyperlink" Id="rId28" Target="https://eur-lex.europa.eu/legal-content/EN/TXT/PDF/?uri=CELEX%3A32023R1115" TargetMode="External" /><Relationship Type="http://schemas.openxmlformats.org/officeDocument/2006/relationships/hyperlink" Id="rId60" Target="https://iccwbo.org/business-solutions/incoterms-rules/" TargetMode="External" /><Relationship Type="http://schemas.openxmlformats.org/officeDocument/2006/relationships/hyperlink" Id="rId45" Target="https://taxation-customs.ec.europa.eu/customs/customs-procedures-import-and-export/customs-operations/economic-operators-registration-and-identification-number-eori_en" TargetMode="External" /><Relationship Type="http://schemas.openxmlformats.org/officeDocument/2006/relationships/hyperlink" Id="rId46" Target="https://taxation-customs.ec.europa.eu/news/e-commerce-150-eur-customs-duty-exemption-threshold-be-removed-2026-2025-11-13_en" TargetMode="External" /><Relationship Type="http://schemas.openxmlformats.org/officeDocument/2006/relationships/hyperlink" Id="rId29" Target="https://trade.ec.europa.eu/access-to-markets/en/news/delay-until-december-2026-and-other-developments-implementation-eudr-regulation" TargetMode="External" /><Relationship Type="http://schemas.openxmlformats.org/officeDocument/2006/relationships/hyperlink" Id="rId21" Target="https://vat-one-stop-shop.ec.europa.eu/index_en" TargetMode="External" /><Relationship Type="http://schemas.openxmlformats.org/officeDocument/2006/relationships/hyperlink" Id="rId23" Target="https://vat-one-stop-shop.ec.europa.eu/system/files/2022-01/guidance_on_import_and_export_of_low_value_consignments_en.pdf" TargetMode="External" /><Relationship Type="http://schemas.openxmlformats.org/officeDocument/2006/relationships/hyperlink" Id="rId52" Target="https://www.fda.gov/food/food-imports-exports/importing-food-products-united-states" TargetMode="External" /><Relationship Type="http://schemas.openxmlformats.org/officeDocument/2006/relationships/hyperlink" Id="rId25" Target="https://www.fda.gov/food/food-safety-modernization-act-fsma/fsma-final-rule-foreign-supplier-verification-programs-fsvp-importers-food-humans-and-animals" TargetMode="External" /><Relationship Type="http://schemas.openxmlformats.org/officeDocument/2006/relationships/hyperlink" Id="rId44" Target="https://www.fda.gov/industry/prior-notice-imported-foods/filing-prior-notice-imported-foods" TargetMode="External" /></Relationships>
</file>

<file path=word/_rels/footnotes.xml.rels><?xml version="1.0" encoding="UTF-8"?><Relationships xmlns="http://schemas.openxmlformats.org/package/2006/relationships"><Relationship Type="http://schemas.openxmlformats.org/officeDocument/2006/relationships/hyperlink" Id="rId24" Target="https://coffeeboard.gov.in/Exporter.aspx" TargetMode="External" /><Relationship Type="http://schemas.openxmlformats.org/officeDocument/2006/relationships/hyperlink" Id="rId38" Target="https://coffeeboard.gov.in/Indian%20Coffee/Indian%20Coffee%20Sustainability%20Standard%20%20Certification%20Scheme.pdf" TargetMode="External" /><Relationship Type="http://schemas.openxmlformats.org/officeDocument/2006/relationships/hyperlink" Id="rId39" Target="https://coffeeboard.gov.in/Indian%20Coffee/TIES_list_Services.pdf" TargetMode="External" /><Relationship Type="http://schemas.openxmlformats.org/officeDocument/2006/relationships/hyperlink" Id="rId22" Target="https://coffeeboard.gov.in/Indian%20Coffee/coffee%20karma.pdf" TargetMode="External" /><Relationship Type="http://schemas.openxmlformats.org/officeDocument/2006/relationships/hyperlink" Id="rId62" Target="https://coffeeboard.gov.in/Specialitycoffee.aspx" TargetMode="External" /><Relationship Type="http://schemas.openxmlformats.org/officeDocument/2006/relationships/hyperlink" Id="rId63" Target="https://coffeeboard.gov.in/research.aspx" TargetMode="External" /><Relationship Type="http://schemas.openxmlformats.org/officeDocument/2006/relationships/hyperlink" Id="rId55" Target="https://eur-lex.europa.eu/eli/reg/2017/625/oj/eng" TargetMode="External" /><Relationship Type="http://schemas.openxmlformats.org/officeDocument/2006/relationships/hyperlink" Id="rId27" Target="https://eur-lex.europa.eu/legal-content/EN/TXT/HTML/?uri=CELEX%3A02011R1169-20180101" TargetMode="External" /><Relationship Type="http://schemas.openxmlformats.org/officeDocument/2006/relationships/hyperlink" Id="rId26" Target="https://eur-lex.europa.eu/legal-content/EN/TXT/PDF/?uri=CELEX%3A02002R0178-20220701" TargetMode="External" /><Relationship Type="http://schemas.openxmlformats.org/officeDocument/2006/relationships/hyperlink" Id="rId54" Target="https://eur-lex.europa.eu/legal-content/EN/TXT/PDF/?uri=CELEX%3A02004R0852-20210324" TargetMode="External" /><Relationship Type="http://schemas.openxmlformats.org/officeDocument/2006/relationships/hyperlink" Id="rId28" Target="https://eur-lex.europa.eu/legal-content/EN/TXT/PDF/?uri=CELEX%3A32023R1115" TargetMode="External" /><Relationship Type="http://schemas.openxmlformats.org/officeDocument/2006/relationships/hyperlink" Id="rId60" Target="https://iccwbo.org/business-solutions/incoterms-rules/" TargetMode="External" /><Relationship Type="http://schemas.openxmlformats.org/officeDocument/2006/relationships/hyperlink" Id="rId45" Target="https://taxation-customs.ec.europa.eu/customs/customs-procedures-import-and-export/customs-operations/economic-operators-registration-and-identification-number-eori_en" TargetMode="External" /><Relationship Type="http://schemas.openxmlformats.org/officeDocument/2006/relationships/hyperlink" Id="rId46" Target="https://taxation-customs.ec.europa.eu/news/e-commerce-150-eur-customs-duty-exemption-threshold-be-removed-2026-2025-11-13_en" TargetMode="External" /><Relationship Type="http://schemas.openxmlformats.org/officeDocument/2006/relationships/hyperlink" Id="rId29" Target="https://trade.ec.europa.eu/access-to-markets/en/news/delay-until-december-2026-and-other-developments-implementation-eudr-regulation" TargetMode="External" /><Relationship Type="http://schemas.openxmlformats.org/officeDocument/2006/relationships/hyperlink" Id="rId21" Target="https://vat-one-stop-shop.ec.europa.eu/index_en" TargetMode="External" /><Relationship Type="http://schemas.openxmlformats.org/officeDocument/2006/relationships/hyperlink" Id="rId23" Target="https://vat-one-stop-shop.ec.europa.eu/system/files/2022-01/guidance_on_import_and_export_of_low_value_consignments_en.pdf" TargetMode="External" /><Relationship Type="http://schemas.openxmlformats.org/officeDocument/2006/relationships/hyperlink" Id="rId52" Target="https://www.fda.gov/food/food-imports-exports/importing-food-products-united-states" TargetMode="External" /><Relationship Type="http://schemas.openxmlformats.org/officeDocument/2006/relationships/hyperlink" Id="rId25" Target="https://www.fda.gov/food/food-safety-modernization-act-fsma/fsma-final-rule-foreign-supplier-verification-programs-fsvp-importers-food-humans-and-animals" TargetMode="External" /><Relationship Type="http://schemas.openxmlformats.org/officeDocument/2006/relationships/hyperlink" Id="rId44" Target="https://www.fda.gov/industry/prior-notice-imported-foods/filing-prior-notice-imported-foo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2026-03-17T00:44:30Z</dcterms:created>
  <dcterms:modified xsi:type="dcterms:W3CDTF">2026-03-17T00:44:30Z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