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5517500af8b473b8c617c3fb94556e700cbf288"/>
    <w:p>
      <w:pPr>
        <w:pStyle w:val="Heading1"/>
      </w:pPr>
      <w:r>
        <w:t xml:space="preserve">AI-Native Marketplace Blueprint for Indian Coffee Into US and EU Markets</w:t>
      </w:r>
    </w:p>
    <w:bookmarkStart w:id="29" w:name="executive-summary"/>
    <w:p>
      <w:pPr>
        <w:pStyle w:val="Heading2"/>
      </w:pPr>
      <w:r>
        <w:t xml:space="preserve">Executive summary</w:t>
      </w:r>
    </w:p>
    <w:p>
      <w:pPr>
        <w:pStyle w:val="FirstParagraph"/>
      </w:pPr>
      <w:r>
        <w:t xml:space="preserve">This blueprint describes a full “startup-grade” product and operating design for an AI-native platform that connects Indian coffee suppliers to US and EU buyers. It is structured so you can</w:t>
      </w:r>
      <w:r>
        <w:t xml:space="preserve"> </w:t>
      </w:r>
      <w:r>
        <w:rPr>
          <w:b/>
          <w:bCs/>
        </w:rPr>
        <w:t xml:space="preserve">build the platform first</w:t>
      </w:r>
      <w:r>
        <w:t xml:space="preserve">, onboard supply, run paid pilots, and then raise capital with a credible compliance and unit-economics story.</w:t>
      </w:r>
    </w:p>
    <w:p>
      <w:pPr>
        <w:pStyle w:val="BodyText"/>
      </w:pPr>
      <w:r>
        <w:t xml:space="preserve">The core recommendation is to launch as a</w:t>
      </w:r>
      <w:r>
        <w:t xml:space="preserve"> </w:t>
      </w:r>
      <w:r>
        <w:rPr>
          <w:b/>
          <w:bCs/>
        </w:rPr>
        <w:t xml:space="preserve">B2B-first, charge-on-order marketplace</w:t>
      </w:r>
      <w:r>
        <w:t xml:space="preserve"> </w:t>
      </w:r>
      <w:r>
        <w:t xml:space="preserve">(commission collected only on executed orders) where</w:t>
      </w:r>
      <w:r>
        <w:t xml:space="preserve"> </w:t>
      </w:r>
      <w:r>
        <w:rPr>
          <w:b/>
          <w:bCs/>
        </w:rPr>
        <w:t xml:space="preserve">the buyer is the importer/consignee</w:t>
      </w:r>
      <w:r>
        <w:t xml:space="preserve"> </w:t>
      </w:r>
      <w:r>
        <w:t xml:space="preserve">and the platform</w:t>
      </w:r>
      <w:r>
        <w:t xml:space="preserve"> </w:t>
      </w:r>
      <w:r>
        <w:rPr>
          <w:b/>
          <w:bCs/>
        </w:rPr>
        <w:t xml:space="preserve">does not take title</w:t>
      </w:r>
      <w:r>
        <w:t xml:space="preserve">. This structure is the most feasible early because it minimizes regulatory “role leakage” into being the default importer and reduces working-capital needs. On the US side, the FDA’s FSVP rule defines the “importer” (for FSVP purposes) as the</w:t>
      </w:r>
      <w:r>
        <w:t xml:space="preserve"> </w:t>
      </w:r>
      <w:r>
        <w:rPr>
          <w:b/>
          <w:bCs/>
        </w:rPr>
        <w:t xml:space="preserve">U.S. owner or consignee</w:t>
      </w:r>
      <w:r>
        <w:t xml:space="preserve"> </w:t>
      </w:r>
      <w:r>
        <w:t xml:space="preserve">of the food at entry (or, if none, the U.S. agent/representative confirmed by a signed statement of consent).</w:t>
      </w:r>
      <w:r>
        <w:t xml:space="preserve"> </w:t>
      </w:r>
      <w:hyperlink r:id="rId21">
        <w:r>
          <w:rPr>
            <w:rStyle w:val="Hyperlink"/>
          </w:rPr>
          <w:t xml:space="preserve">[1]</w:t>
        </w:r>
      </w:hyperlink>
      <w:r>
        <w:t xml:space="preserve"> </w:t>
      </w:r>
      <w:r>
        <w:t xml:space="preserve">On the EU side, the Food Information regulation assigns responsibility for mandatory food information to the operator under whose name the food is marketed, or—if not established in the EU—the importer into the EU market, meaning consumer-facing models can quickly make you the compliance “owner” unless carefully structured.</w:t>
      </w:r>
      <w:r>
        <w:t xml:space="preserve"> </w:t>
      </w:r>
      <w:hyperlink r:id="rId22">
        <w:r>
          <w:rPr>
            <w:rStyle w:val="Hyperlink"/>
          </w:rPr>
          <w:t xml:space="preserve">[2]</w:t>
        </w:r>
      </w:hyperlink>
    </w:p>
    <w:p>
      <w:pPr>
        <w:pStyle w:val="BodyText"/>
      </w:pPr>
      <w:r>
        <w:t xml:space="preserve">The platform’s durable moat is a</w:t>
      </w:r>
      <w:r>
        <w:t xml:space="preserve"> </w:t>
      </w:r>
      <w:r>
        <w:rPr>
          <w:b/>
          <w:bCs/>
        </w:rPr>
        <w:t xml:space="preserve">lot ledger</w:t>
      </w:r>
      <w:r>
        <w:t xml:space="preserve">: each export lot becomes a verifiable digital object linking (1) supplier identity, (2) lot specs and QC results, (3) export and shipping documents, (4) traceability edges, and (5) EUDR-ready geolocation fields. This aligns to (a) India’s export reality under the Coffee Board export permit / certificate of origin workflow and required post-shipment document submissions within</w:t>
      </w:r>
      <w:r>
        <w:t xml:space="preserve"> </w:t>
      </w:r>
      <w:r>
        <w:rPr>
          <w:b/>
          <w:bCs/>
        </w:rPr>
        <w:t xml:space="preserve">45 days</w:t>
      </w:r>
      <w:r>
        <w:t xml:space="preserve">,</w:t>
      </w:r>
      <w:r>
        <w:t xml:space="preserve"> </w:t>
      </w:r>
      <w:hyperlink r:id="rId23">
        <w:r>
          <w:rPr>
            <w:rStyle w:val="Hyperlink"/>
          </w:rPr>
          <w:t xml:space="preserve">[3]</w:t>
        </w:r>
      </w:hyperlink>
      <w:r>
        <w:t xml:space="preserve"> </w:t>
      </w:r>
      <w:r>
        <w:t xml:space="preserve">and (b) EU compliance direction: the EUDR requires due diligence systems to include source/supplier info and plot geolocation coordinates, and coffee is explicitly in scope.</w:t>
      </w:r>
      <w:r>
        <w:t xml:space="preserve"> </w:t>
      </w:r>
      <w:hyperlink r:id="rId24">
        <w:r>
          <w:rPr>
            <w:rStyle w:val="Hyperlink"/>
          </w:rPr>
          <w:t xml:space="preserve">[4]</w:t>
        </w:r>
      </w:hyperlink>
    </w:p>
    <w:p>
      <w:pPr>
        <w:pStyle w:val="BodyText"/>
      </w:pPr>
      <w:r>
        <w:rPr>
          <w:b/>
          <w:bCs/>
        </w:rPr>
        <w:t xml:space="preserve">Operating model sequencing (recommended):</w:t>
      </w:r>
      <w:r>
        <w:t xml:space="preserve"> </w:t>
      </w:r>
      <w:r>
        <w:t xml:space="preserve">-</w:t>
      </w:r>
      <w:r>
        <w:t xml:space="preserve"> </w:t>
      </w:r>
      <w:r>
        <w:rPr>
          <w:b/>
          <w:bCs/>
        </w:rPr>
        <w:t xml:space="preserve">Phase 1 (months 1–6):</w:t>
      </w:r>
      <w:r>
        <w:t xml:space="preserve"> </w:t>
      </w:r>
      <w:r>
        <w:t xml:space="preserve">charge-on-order B2B marketplace + supplier portal + compliance pack generator; no inventory; minimal importer responsibilities by design.</w:t>
      </w:r>
      <w:r>
        <w:t xml:space="preserve"> </w:t>
      </w:r>
      <w:hyperlink r:id="rId23">
        <w:r>
          <w:rPr>
            <w:rStyle w:val="Hyperlink"/>
          </w:rPr>
          <w:t xml:space="preserve">[5]</w:t>
        </w:r>
      </w:hyperlink>
      <w:r>
        <w:br/>
      </w:r>
      <w:r>
        <w:t xml:space="preserve">-</w:t>
      </w:r>
      <w:r>
        <w:t xml:space="preserve"> </w:t>
      </w:r>
      <w:r>
        <w:rPr>
          <w:b/>
          <w:bCs/>
        </w:rPr>
        <w:t xml:space="preserve">Phase 2 (months 6–12):</w:t>
      </w:r>
      <w:r>
        <w:t xml:space="preserve"> </w:t>
      </w:r>
      <w:r>
        <w:t xml:space="preserve">expand B2B coverage; add optional consignment/in-market pilot for a small number of SKUs/lots to improve QC and fulfillment reliability.</w:t>
      </w:r>
      <w:r>
        <w:t xml:space="preserve"> </w:t>
      </w:r>
      <w:hyperlink r:id="rId25">
        <w:r>
          <w:rPr>
            <w:rStyle w:val="Hyperlink"/>
          </w:rPr>
          <w:t xml:space="preserve">[6]</w:t>
        </w:r>
      </w:hyperlink>
      <w:r>
        <w:br/>
      </w:r>
      <w:r>
        <w:t xml:space="preserve">-</w:t>
      </w:r>
      <w:r>
        <w:t xml:space="preserve"> </w:t>
      </w:r>
      <w:r>
        <w:rPr>
          <w:b/>
          <w:bCs/>
        </w:rPr>
        <w:t xml:space="preserve">Avoid</w:t>
      </w:r>
      <w:r>
        <w:t xml:space="preserve"> </w:t>
      </w:r>
      <w:r>
        <w:t xml:space="preserve">making India→consumer dropship your core business in US/EU: it multiplies border events (US Prior Notice applies to all imported food),</w:t>
      </w:r>
      <w:r>
        <w:t xml:space="preserve"> </w:t>
      </w:r>
      <w:hyperlink r:id="rId26">
        <w:r>
          <w:rPr>
            <w:rStyle w:val="Hyperlink"/>
          </w:rPr>
          <w:t xml:space="preserve">[7]</w:t>
        </w:r>
      </w:hyperlink>
      <w:r>
        <w:t xml:space="preserve"> </w:t>
      </w:r>
      <w:r>
        <w:t xml:space="preserve">triggers EU VAT/IOSS and customs declaration complexity for each parcel,</w:t>
      </w:r>
      <w:r>
        <w:t xml:space="preserve"> </w:t>
      </w:r>
      <w:hyperlink r:id="rId27">
        <w:r>
          <w:rPr>
            <w:rStyle w:val="Hyperlink"/>
          </w:rPr>
          <w:t xml:space="preserve">[8]</w:t>
        </w:r>
      </w:hyperlink>
      <w:r>
        <w:t xml:space="preserve"> </w:t>
      </w:r>
      <w:r>
        <w:t xml:space="preserve">and parcel economics are tightening as the EU abolishes the under-€150 duty relief (Council “final green light,” with phased implementation tied to broader customs reform).</w:t>
      </w:r>
      <w:r>
        <w:t xml:space="preserve"> </w:t>
      </w:r>
      <w:hyperlink r:id="rId28">
        <w:r>
          <w:rPr>
            <w:rStyle w:val="Hyperlink"/>
          </w:rPr>
          <w:t xml:space="preserve">[9]</w:t>
        </w:r>
      </w:hyperlink>
    </w:p>
    <w:p>
      <w:pPr>
        <w:pStyle w:val="BodyText"/>
      </w:pPr>
      <w:r>
        <w:rPr>
          <w:b/>
          <w:bCs/>
        </w:rPr>
        <w:t xml:space="preserve">Capital ranges (USD; explicit assumptions in the capital section):</w:t>
      </w:r>
      <w:r>
        <w:t xml:space="preserve"> </w:t>
      </w:r>
      <w:r>
        <w:t xml:space="preserve">- Lean MVP (B2B marketplace, founder-built; no inventory):</w:t>
      </w:r>
      <w:r>
        <w:t xml:space="preserve"> </w:t>
      </w:r>
      <w:r>
        <w:rPr>
          <w:b/>
          <w:bCs/>
        </w:rPr>
        <w:t xml:space="preserve">$150k–$400k</w:t>
      </w:r>
      <w:r>
        <w:t xml:space="preserve"> </w:t>
      </w:r>
      <w:r>
        <w:t xml:space="preserve">- Standard launch (adds in-market pilot + QC + limited inventory):</w:t>
      </w:r>
      <w:r>
        <w:t xml:space="preserve"> </w:t>
      </w:r>
      <w:r>
        <w:rPr>
          <w:b/>
          <w:bCs/>
        </w:rPr>
        <w:t xml:space="preserve">$600k–$1.3M</w:t>
      </w:r>
      <w:r>
        <w:t xml:space="preserve"> </w:t>
      </w:r>
      <w:r>
        <w:t xml:space="preserve">- Growth/scale (US+EU footprint, deeper compliance automation, team build, working-capital buffer):</w:t>
      </w:r>
      <w:r>
        <w:t xml:space="preserve"> </w:t>
      </w:r>
      <w:r>
        <w:rPr>
          <w:b/>
          <w:bCs/>
        </w:rPr>
        <w:t xml:space="preserve">$2.0M–$4.0M</w:t>
      </w:r>
    </w:p>
    <w:bookmarkEnd w:id="29"/>
    <w:bookmarkStart w:id="30" w:name="assumptions-and-strategic-choices"/>
    <w:p>
      <w:pPr>
        <w:pStyle w:val="Heading2"/>
      </w:pPr>
      <w:r>
        <w:t xml:space="preserve">Assumptions and strategic choices</w:t>
      </w:r>
    </w:p>
    <w:p>
      <w:pPr>
        <w:pStyle w:val="FirstParagraph"/>
      </w:pPr>
      <w:r>
        <w:rPr>
          <w:b/>
          <w:bCs/>
        </w:rPr>
        <w:t xml:space="preserve">Unstated assumptions (made explicit, per request):</w:t>
      </w:r>
      <w:r>
        <w:t xml:space="preserve"> </w:t>
      </w:r>
      <w:r>
        <w:t xml:space="preserve">- Primary markets are the US and EU; you intend to serve both B2B and B2C, but B2B is the initial wedge.</w:t>
      </w:r>
      <w:r>
        <w:t xml:space="preserve"> </w:t>
      </w:r>
      <w:r>
        <w:t xml:space="preserve">- The founder can build the MVP platform/app (or can credibly lead development with limited contractors).</w:t>
      </w:r>
      <w:r>
        <w:t xml:space="preserve"> </w:t>
      </w:r>
      <w:r>
        <w:t xml:space="preserve">- No specified budget; capital is presented as scenario ranges, with working-capital needs depending on operating model.</w:t>
      </w:r>
      <w:r>
        <w:t xml:space="preserve"> </w:t>
      </w:r>
      <w:r>
        <w:t xml:space="preserve">- Supplier onboarding initially targets export-capable entities aligned to Coffee Board processes (export permits Form‑C, ICO certificate of origin, post-shipment filings).</w:t>
      </w:r>
      <w:r>
        <w:t xml:space="preserve"> </w:t>
      </w:r>
      <w:hyperlink r:id="rId23">
        <w:r>
          <w:rPr>
            <w:rStyle w:val="Hyperlink"/>
          </w:rPr>
          <w:t xml:space="preserve">[10]</w:t>
        </w:r>
      </w:hyperlink>
    </w:p>
    <w:p>
      <w:pPr>
        <w:pStyle w:val="BodyText"/>
      </w:pPr>
      <w:r>
        <w:rPr>
          <w:b/>
          <w:bCs/>
        </w:rPr>
        <w:t xml:space="preserve">Strategic choices that determine feasibility:</w:t>
      </w:r>
      <w:r>
        <w:t xml:space="preserve"> </w:t>
      </w:r>
      <w:r>
        <w:t xml:space="preserve">-</w:t>
      </w:r>
      <w:r>
        <w:t xml:space="preserve"> </w:t>
      </w:r>
      <w:r>
        <w:rPr>
          <w:b/>
          <w:bCs/>
        </w:rPr>
        <w:t xml:space="preserve">Importer-of-record posture</w:t>
      </w:r>
      <w:r>
        <w:t xml:space="preserve">: If your company becomes the “U.S. owner or consignee” at entry, you inherit FSVP importer obligations; your contracts and operational reality must match your chosen posture.</w:t>
      </w:r>
      <w:r>
        <w:t xml:space="preserve"> </w:t>
      </w:r>
      <w:hyperlink r:id="rId21">
        <w:r>
          <w:rPr>
            <w:rStyle w:val="Hyperlink"/>
          </w:rPr>
          <w:t xml:space="preserve">[11]</w:t>
        </w:r>
      </w:hyperlink>
      <w:r>
        <w:br/>
      </w:r>
      <w:r>
        <w:t xml:space="preserve">-</w:t>
      </w:r>
      <w:r>
        <w:t xml:space="preserve"> </w:t>
      </w:r>
      <w:r>
        <w:rPr>
          <w:b/>
          <w:bCs/>
        </w:rPr>
        <w:t xml:space="preserve">EU “responsible food business operator” posture</w:t>
      </w:r>
      <w:r>
        <w:t xml:space="preserve">: If food is marketed under your name in the EU (or you are the importer if not EU-established), you carry labeling responsibility.</w:t>
      </w:r>
      <w:r>
        <w:t xml:space="preserve"> </w:t>
      </w:r>
      <w:hyperlink r:id="rId22">
        <w:r>
          <w:rPr>
            <w:rStyle w:val="Hyperlink"/>
          </w:rPr>
          <w:t xml:space="preserve">[2]</w:t>
        </w:r>
      </w:hyperlink>
      <w:r>
        <w:br/>
      </w:r>
      <w:r>
        <w:t xml:space="preserve">-</w:t>
      </w:r>
      <w:r>
        <w:t xml:space="preserve"> </w:t>
      </w:r>
      <w:r>
        <w:rPr>
          <w:b/>
          <w:bCs/>
        </w:rPr>
        <w:t xml:space="preserve">Border-event frequency</w:t>
      </w:r>
      <w:r>
        <w:t xml:space="preserve">: Bulk/B2B shipments concentrate compliance work; per-order parcels (dropship) scale compliance overhead linearly with consumer orders (Prior Notice + VAT/customs + returns disputing).</w:t>
      </w:r>
      <w:r>
        <w:t xml:space="preserve"> </w:t>
      </w:r>
      <w:hyperlink r:id="rId26">
        <w:r>
          <w:rPr>
            <w:rStyle w:val="Hyperlink"/>
          </w:rPr>
          <w:t xml:space="preserve">[12]</w:t>
        </w:r>
      </w:hyperlink>
      <w:r>
        <w:br/>
      </w:r>
      <w:r>
        <w:t xml:space="preserve">-</w:t>
      </w:r>
      <w:r>
        <w:t xml:space="preserve"> </w:t>
      </w:r>
      <w:r>
        <w:rPr>
          <w:b/>
          <w:bCs/>
        </w:rPr>
        <w:t xml:space="preserve">EUDR readiness as a product</w:t>
      </w:r>
      <w:r>
        <w:t xml:space="preserve">: Coffee is in scope of Regulation (EU) 2023/1115 and due diligence expects geolocation coordinates; the later you start capturing geolocation, the harder it is to retrofit.</w:t>
      </w:r>
      <w:r>
        <w:t xml:space="preserve"> </w:t>
      </w:r>
      <w:hyperlink r:id="rId24">
        <w:r>
          <w:rPr>
            <w:rStyle w:val="Hyperlink"/>
          </w:rPr>
          <w:t xml:space="preserve">[4]</w:t>
        </w:r>
      </w:hyperlink>
    </w:p>
    <w:bookmarkEnd w:id="30"/>
    <w:bookmarkStart w:id="35" w:name="final-product-spec-and-ux-flows"/>
    <w:p>
      <w:pPr>
        <w:pStyle w:val="Heading2"/>
      </w:pPr>
      <w:r>
        <w:t xml:space="preserve">Final product spec and UX flows</w:t>
      </w:r>
    </w:p>
    <w:p>
      <w:pPr>
        <w:pStyle w:val="FirstParagraph"/>
      </w:pPr>
      <w:r>
        <w:t xml:space="preserve">This is the “final app” definition: three connected products sharing one ledger.</w:t>
      </w:r>
    </w:p>
    <w:bookmarkStart w:id="31" w:name="product-surfaces"/>
    <w:p>
      <w:pPr>
        <w:pStyle w:val="Heading3"/>
      </w:pPr>
      <w:r>
        <w:t xml:space="preserve">Product surfaces</w:t>
      </w:r>
    </w:p>
    <w:p>
      <w:pPr>
        <w:pStyle w:val="FirstParagraph"/>
      </w:pPr>
      <w:r>
        <w:rPr>
          <w:b/>
          <w:bCs/>
        </w:rPr>
        <w:t xml:space="preserve">Supplier portal (India-side supply):</w:t>
      </w:r>
      <w:r>
        <w:t xml:space="preserve"> </w:t>
      </w:r>
      <w:r>
        <w:t xml:space="preserve">- Supplier onboarding (KYB/KYC, bank setup, exporter capability evidence)</w:t>
      </w:r>
      <w:r>
        <w:t xml:space="preserve"> </w:t>
      </w:r>
      <w:r>
        <w:t xml:space="preserve">- Lot creation (lot specs, MOQs, availability windows)</w:t>
      </w:r>
      <w:r>
        <w:t xml:space="preserve"> </w:t>
      </w:r>
      <w:r>
        <w:t xml:space="preserve">- Document upload &amp; validation (permit/COO/shipping docs; automated checks)</w:t>
      </w:r>
      <w:r>
        <w:t xml:space="preserve"> </w:t>
      </w:r>
      <w:r>
        <w:t xml:space="preserve">- Order management and shipment milestones</w:t>
      </w:r>
      <w:r>
        <w:t xml:space="preserve"> </w:t>
      </w:r>
      <w:r>
        <w:t xml:space="preserve">- Payout dashboard with reserve holds and settlement status</w:t>
      </w:r>
    </w:p>
    <w:p>
      <w:pPr>
        <w:pStyle w:val="BodyText"/>
      </w:pPr>
      <w:r>
        <w:rPr>
          <w:b/>
          <w:bCs/>
        </w:rPr>
        <w:t xml:space="preserve">B2B buyer portal (US/EU demand):</w:t>
      </w:r>
      <w:r>
        <w:t xml:space="preserve"> </w:t>
      </w:r>
      <w:r>
        <w:t xml:space="preserve">- “Sourcing search” (lots filtered by grade, processing, MOQ, availability, doc completeness, and risk score)</w:t>
      </w:r>
      <w:r>
        <w:t xml:space="preserve"> </w:t>
      </w:r>
      <w:r>
        <w:t xml:space="preserve">- RFQ and order execution (Incoterms selection, payment terms, SLAs)</w:t>
      </w:r>
      <w:r>
        <w:t xml:space="preserve"> </w:t>
      </w:r>
      <w:r>
        <w:t xml:space="preserve">- Compliance pack download (export docs + lot specs + QC results)</w:t>
      </w:r>
      <w:r>
        <w:t xml:space="preserve"> </w:t>
      </w:r>
      <w:r>
        <w:t xml:space="preserve">- Intake QC &amp; claims workflow tied to lot IDs</w:t>
      </w:r>
      <w:r>
        <w:t xml:space="preserve"> </w:t>
      </w:r>
      <w:r>
        <w:t xml:space="preserve">- Reorder and substitutions (AI-supported)</w:t>
      </w:r>
    </w:p>
    <w:p>
      <w:pPr>
        <w:pStyle w:val="BodyText"/>
      </w:pPr>
      <w:r>
        <w:rPr>
          <w:b/>
          <w:bCs/>
        </w:rPr>
        <w:t xml:space="preserve">Consumer app (later-stage or limited pilot):</w:t>
      </w:r>
      <w:r>
        <w:t xml:space="preserve"> </w:t>
      </w:r>
      <w:r>
        <w:t xml:space="preserve">- Taste onboarding → preference profile</w:t>
      </w:r>
      <w:r>
        <w:t xml:space="preserve"> </w:t>
      </w:r>
      <w:r>
        <w:t xml:space="preserve">- Discovery feed and “why recommended” explanations</w:t>
      </w:r>
      <w:r>
        <w:t xml:space="preserve"> </w:t>
      </w:r>
      <w:r>
        <w:t xml:space="preserve">- Subscription and reorder</w:t>
      </w:r>
      <w:r>
        <w:t xml:space="preserve"> </w:t>
      </w:r>
      <w:r>
        <w:t xml:space="preserve">- QR scan to provenance page (lot-level trace + story + QC)</w:t>
      </w:r>
      <w:r>
        <w:t xml:space="preserve"> </w:t>
      </w:r>
      <w:r>
        <w:t xml:space="preserve">- Returns/support and lot incident alerts</w:t>
      </w:r>
    </w:p>
    <w:p>
      <w:pPr>
        <w:pStyle w:val="BodyText"/>
      </w:pPr>
      <w:r>
        <w:rPr>
          <w:b/>
          <w:bCs/>
        </w:rPr>
        <w:t xml:space="preserve">Visual suggestion for product and pitch (not exhaustive):</w:t>
      </w:r>
      <w:r>
        <w:t xml:space="preserve"> </w:t>
      </w:r>
      <w:r>
        <w:t xml:space="preserve">include (a) a lot QR “provenance page,” (b) a buyer-side compliance pack preview, (c) an interactive map of supplier plots/regions for EUDR readiness.</w:t>
      </w:r>
    </w:p>
    <w:bookmarkEnd w:id="31"/>
    <w:bookmarkStart w:id="33" w:name="X79b2e472000f2c4883f5f11ff72878493ae36c3"/>
    <w:p>
      <w:pPr>
        <w:pStyle w:val="Heading3"/>
      </w:pPr>
      <w:r>
        <w:t xml:space="preserve">AI features that materially reduce trade friction</w:t>
      </w:r>
    </w:p>
    <w:p>
      <w:pPr>
        <w:pStyle w:val="FirstParagraph"/>
      </w:pPr>
      <w:r>
        <w:t xml:space="preserve">AI should be framed as</w:t>
      </w:r>
      <w:r>
        <w:t xml:space="preserve"> </w:t>
      </w:r>
      <w:r>
        <w:rPr>
          <w:b/>
          <w:bCs/>
        </w:rPr>
        <w:t xml:space="preserve">decision support</w:t>
      </w:r>
      <w:r>
        <w:t xml:space="preserve"> </w:t>
      </w:r>
      <w:r>
        <w:t xml:space="preserve">with audit trails, not a black box.</w:t>
      </w:r>
    </w:p>
    <w:p>
      <w:pPr>
        <w:pStyle w:val="Compact"/>
        <w:numPr>
          <w:ilvl w:val="0"/>
          <w:numId w:val="1001"/>
        </w:numPr>
      </w:pPr>
      <w:r>
        <w:rPr>
          <w:b/>
          <w:bCs/>
        </w:rPr>
        <w:t xml:space="preserve">Buyer ↔ lot matching (ranker + explainability):</w:t>
      </w:r>
      <w:r>
        <w:t xml:space="preserve"> </w:t>
      </w:r>
      <w:r>
        <w:t xml:space="preserve">optimize for cup profile constraints, MOQ and lead time, price band, and documentation completeness.</w:t>
      </w:r>
    </w:p>
    <w:p>
      <w:pPr>
        <w:pStyle w:val="Compact"/>
        <w:numPr>
          <w:ilvl w:val="0"/>
          <w:numId w:val="1001"/>
        </w:numPr>
      </w:pPr>
      <w:r>
        <w:rPr>
          <w:b/>
          <w:bCs/>
        </w:rPr>
        <w:t xml:space="preserve">Document intelligence:</w:t>
      </w:r>
      <w:r>
        <w:t xml:space="preserve"> </w:t>
      </w:r>
      <w:r>
        <w:t xml:space="preserve">classify/validate export and shipping documents, detect missing elements required for closeout and buyer confidence (e.g., bill of lading, endorsed certificates), anchored to Coffee Board’s post-shipment documentation expectations.</w:t>
      </w:r>
      <w:r>
        <w:t xml:space="preserve"> </w:t>
      </w:r>
      <w:hyperlink r:id="rId23">
        <w:r>
          <w:rPr>
            <w:rStyle w:val="Hyperlink"/>
          </w:rPr>
          <w:t xml:space="preserve">[3]</w:t>
        </w:r>
      </w:hyperlink>
    </w:p>
    <w:p>
      <w:pPr>
        <w:pStyle w:val="Compact"/>
        <w:numPr>
          <w:ilvl w:val="0"/>
          <w:numId w:val="1001"/>
        </w:numPr>
      </w:pPr>
      <w:r>
        <w:rPr>
          <w:b/>
          <w:bCs/>
        </w:rPr>
        <w:t xml:space="preserve">EUDR completeness scoring:</w:t>
      </w:r>
      <w:r>
        <w:t xml:space="preserve"> </w:t>
      </w:r>
      <w:r>
        <w:t xml:space="preserve">compute a readiness score for each supplier/lot bundle based on geolocation completeness and chain-of-custody traceability; EUDR expects geolocation coordinates and source/supplier information in due diligence systems.</w:t>
      </w:r>
      <w:r>
        <w:t xml:space="preserve"> </w:t>
      </w:r>
      <w:hyperlink r:id="rId24">
        <w:r>
          <w:rPr>
            <w:rStyle w:val="Hyperlink"/>
          </w:rPr>
          <w:t xml:space="preserve">[4]</w:t>
        </w:r>
      </w:hyperlink>
    </w:p>
    <w:p>
      <w:pPr>
        <w:pStyle w:val="Compact"/>
        <w:numPr>
          <w:ilvl w:val="0"/>
          <w:numId w:val="1001"/>
        </w:numPr>
      </w:pPr>
      <w:r>
        <w:rPr>
          <w:b/>
          <w:bCs/>
        </w:rPr>
        <w:t xml:space="preserve">Quality risk flags:</w:t>
      </w:r>
      <w:r>
        <w:t xml:space="preserve"> </w:t>
      </w:r>
      <w:r>
        <w:t xml:space="preserve">anomaly detection on moisture outliers, recurring defect patterns, or repeated buyer claims by supplier/lot category; Coffee Board publishes moisture standards by type and tolerance.</w:t>
      </w:r>
      <w:r>
        <w:t xml:space="preserve"> </w:t>
      </w:r>
      <w:hyperlink r:id="rId32">
        <w:r>
          <w:rPr>
            <w:rStyle w:val="Hyperlink"/>
          </w:rPr>
          <w:t xml:space="preserve">[13]</w:t>
        </w:r>
      </w:hyperlink>
    </w:p>
    <w:bookmarkEnd w:id="33"/>
    <w:bookmarkStart w:id="34" w:name="ux-flows-representative"/>
    <w:p>
      <w:pPr>
        <w:pStyle w:val="Heading3"/>
      </w:pPr>
      <w:r>
        <w:t xml:space="preserve">UX flows (representative)</w:t>
      </w:r>
    </w:p>
    <w:p>
      <w:pPr>
        <w:pStyle w:val="FirstParagraph"/>
      </w:pPr>
      <w:r>
        <w:rPr>
          <w:b/>
          <w:bCs/>
        </w:rPr>
        <w:t xml:space="preserve">Supplier onboarding flow (portal):</w:t>
      </w:r>
      <w:r>
        <w:t xml:space="preserve"> </w:t>
      </w:r>
      <w:r>
        <w:t xml:space="preserve">1. Identity and capability (export readiness, banking, contact)</w:t>
      </w:r>
      <w:r>
        <w:t xml:space="preserve"> </w:t>
      </w:r>
      <w:r>
        <w:t xml:space="preserve">2. “First lot” wizard + minimum data required for listing</w:t>
      </w:r>
      <w:r>
        <w:t xml:space="preserve"> </w:t>
      </w:r>
      <w:r>
        <w:t xml:space="preserve">3. Upload initial document pack template (and later, actual permit/COO per shipment)</w:t>
      </w:r>
      <w:r>
        <w:t xml:space="preserve"> </w:t>
      </w:r>
      <w:r>
        <w:t xml:space="preserve">4. Verification badge and activation</w:t>
      </w:r>
    </w:p>
    <w:p>
      <w:pPr>
        <w:pStyle w:val="BodyText"/>
      </w:pPr>
      <w:r>
        <w:rPr>
          <w:b/>
          <w:bCs/>
        </w:rPr>
        <w:t xml:space="preserve">B2B purchase and settlement flow:</w:t>
      </w:r>
      <w:r>
        <w:t xml:space="preserve"> </w:t>
      </w:r>
      <w:r>
        <w:t xml:space="preserve">1. Buyer selects lot → chooses Incoterm and payment terms</w:t>
      </w:r>
      <w:r>
        <w:t xml:space="preserve"> </w:t>
      </w:r>
      <w:r>
        <w:t xml:space="preserve">2. Order executed; funds captured or invoice issued</w:t>
      </w:r>
      <w:r>
        <w:t xml:space="preserve"> </w:t>
      </w:r>
      <w:r>
        <w:t xml:space="preserve">3. Minimum document set must reach “verified” state to ship</w:t>
      </w:r>
      <w:r>
        <w:t xml:space="preserve"> </w:t>
      </w:r>
      <w:r>
        <w:t xml:space="preserve">4. Buyer intake QC → accept/claim within SLA</w:t>
      </w:r>
      <w:r>
        <w:t xml:space="preserve"> </w:t>
      </w:r>
      <w:r>
        <w:t xml:space="preserve">5. Settlement → supplier payout net of commission + reserve release</w:t>
      </w:r>
    </w:p>
    <w:bookmarkEnd w:id="34"/>
    <w:bookmarkEnd w:id="35"/>
    <w:bookmarkStart w:id="44" w:name="Xf6564897351fd8f2f19b3198679cdd540a296a7"/>
    <w:p>
      <w:pPr>
        <w:pStyle w:val="Heading2"/>
      </w:pPr>
      <w:r>
        <w:t xml:space="preserve">Platform architecture, data model, tech stack, and APIs</w:t>
      </w:r>
    </w:p>
    <w:bookmarkStart w:id="40" w:name="the-lot-ledger-data-model"/>
    <w:p>
      <w:pPr>
        <w:pStyle w:val="Heading3"/>
      </w:pPr>
      <w:r>
        <w:t xml:space="preserve">The lot ledger data model</w:t>
      </w:r>
    </w:p>
    <w:p>
      <w:pPr>
        <w:pStyle w:val="FirstParagraph"/>
      </w:pPr>
      <w:r>
        <w:t xml:space="preserve">The lot ledger is the “system of record” that enables compliance packs, traceability, QC, and AI.</w:t>
      </w:r>
    </w:p>
    <w:p>
      <w:pPr>
        <w:pStyle w:val="BodyText"/>
      </w:pPr>
      <w:r>
        <w:rPr>
          <w:b/>
          <w:bCs/>
        </w:rPr>
        <w:t xml:space="preserve">Minimum viable schema (MVP):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w:t>
            </w:r>
          </w:p>
        </w:tc>
        <w:tc>
          <w:tcPr/>
          <w:p>
            <w:pPr>
              <w:pStyle w:val="Compact"/>
            </w:pPr>
            <w:r>
              <w:t xml:space="preserve">Purpose</w:t>
            </w:r>
          </w:p>
        </w:tc>
        <w:tc>
          <w:tcPr/>
          <w:p>
            <w:pPr>
              <w:pStyle w:val="Compact"/>
            </w:pPr>
            <w:r>
              <w:t xml:space="preserve">Key fields</w:t>
            </w:r>
          </w:p>
        </w:tc>
        <w:tc>
          <w:tcPr/>
          <w:p>
            <w:pPr>
              <w:pStyle w:val="Compact"/>
            </w:pPr>
            <w:r>
              <w:t xml:space="preserve">Primary-source linkage</w:t>
            </w:r>
          </w:p>
        </w:tc>
      </w:tr>
      <w:tr>
        <w:tc>
          <w:tcPr/>
          <w:p>
            <w:pPr>
              <w:pStyle w:val="Compact"/>
            </w:pPr>
            <w:r>
              <w:t xml:space="preserve">Supplier</w:t>
            </w:r>
          </w:p>
        </w:tc>
        <w:tc>
          <w:tcPr/>
          <w:p>
            <w:pPr>
              <w:pStyle w:val="Compact"/>
            </w:pPr>
            <w:r>
              <w:t xml:space="preserve">identity/capability</w:t>
            </w:r>
          </w:p>
        </w:tc>
        <w:tc>
          <w:tcPr/>
          <w:p>
            <w:pPr>
              <w:pStyle w:val="Compact"/>
            </w:pPr>
            <w:r>
              <w:t xml:space="preserve">official name, registrations, bank, contacts, export readiness score</w:t>
            </w:r>
          </w:p>
        </w:tc>
        <w:tc>
          <w:tcPr/>
          <w:p>
            <w:pPr>
              <w:pStyle w:val="Compact"/>
            </w:pPr>
            <w:r>
              <w:t xml:space="preserve">Coffee Board export permits/COO are issued to registered exporters; workflow is formalized.</w:t>
            </w:r>
            <w:r>
              <w:t xml:space="preserve"> </w:t>
            </w:r>
            <w:hyperlink r:id="rId23">
              <w:r>
                <w:rPr>
                  <w:rStyle w:val="Hyperlink"/>
                </w:rPr>
                <w:t xml:space="preserve">[10]</w:t>
              </w:r>
            </w:hyperlink>
          </w:p>
        </w:tc>
      </w:tr>
      <w:tr>
        <w:tc>
          <w:tcPr/>
          <w:p>
            <w:pPr>
              <w:pStyle w:val="Compact"/>
            </w:pPr>
            <w:r>
              <w:t xml:space="preserve">Lot</w:t>
            </w:r>
          </w:p>
        </w:tc>
        <w:tc>
          <w:tcPr/>
          <w:p>
            <w:pPr>
              <w:pStyle w:val="Compact"/>
            </w:pPr>
            <w:r>
              <w:t xml:space="preserve">trade unit</w:t>
            </w:r>
          </w:p>
        </w:tc>
        <w:tc>
          <w:tcPr/>
          <w:p>
            <w:pPr>
              <w:pStyle w:val="Compact"/>
            </w:pPr>
            <w:r>
              <w:t xml:space="preserve">lot_id, coffee type/grade, process, volume, MOQ, harvest window</w:t>
            </w:r>
          </w:p>
        </w:tc>
        <w:tc>
          <w:tcPr/>
          <w:p>
            <w:pPr>
              <w:pStyle w:val="Compact"/>
            </w:pPr>
            <w:r>
              <w:t xml:space="preserve">Coffee Board “Coffee Karma” enumerates type/grade structures and quality specs, including moisture standards by type.</w:t>
            </w:r>
            <w:r>
              <w:t xml:space="preserve"> </w:t>
            </w:r>
            <w:hyperlink r:id="rId32">
              <w:r>
                <w:rPr>
                  <w:rStyle w:val="Hyperlink"/>
                </w:rPr>
                <w:t xml:space="preserve">[13]</w:t>
              </w:r>
            </w:hyperlink>
          </w:p>
        </w:tc>
      </w:tr>
      <w:tr>
        <w:tc>
          <w:tcPr/>
          <w:p>
            <w:pPr>
              <w:pStyle w:val="Compact"/>
            </w:pPr>
            <w:r>
              <w:t xml:space="preserve">Lot QC</w:t>
            </w:r>
          </w:p>
        </w:tc>
        <w:tc>
          <w:tcPr/>
          <w:p>
            <w:pPr>
              <w:pStyle w:val="Compact"/>
            </w:pPr>
            <w:r>
              <w:t xml:space="preserve">acceptance evidence</w:t>
            </w:r>
          </w:p>
        </w:tc>
        <w:tc>
          <w:tcPr/>
          <w:p>
            <w:pPr>
              <w:pStyle w:val="Compact"/>
            </w:pPr>
            <w:r>
              <w:t xml:space="preserve">moisture %, physical defects, cupping score/notes, COA pointers</w:t>
            </w:r>
          </w:p>
        </w:tc>
        <w:tc>
          <w:tcPr/>
          <w:p>
            <w:pPr>
              <w:pStyle w:val="Compact"/>
            </w:pPr>
            <w:r>
              <w:t xml:space="preserve">Coffee Board labs provide export-oriented testing services including moisture, physical analysis, cupping, and contaminant testing (mycotoxins, residues, heavy metals).</w:t>
            </w:r>
            <w:r>
              <w:t xml:space="preserve"> </w:t>
            </w:r>
            <w:hyperlink r:id="rId36">
              <w:r>
                <w:rPr>
                  <w:rStyle w:val="Hyperlink"/>
                </w:rPr>
                <w:t xml:space="preserve">[14]</w:t>
              </w:r>
            </w:hyperlink>
          </w:p>
        </w:tc>
      </w:tr>
      <w:tr>
        <w:tc>
          <w:tcPr/>
          <w:p>
            <w:pPr>
              <w:pStyle w:val="Compact"/>
            </w:pPr>
            <w:r>
              <w:t xml:space="preserve">Document</w:t>
            </w:r>
          </w:p>
        </w:tc>
        <w:tc>
          <w:tcPr/>
          <w:p>
            <w:pPr>
              <w:pStyle w:val="Compact"/>
            </w:pPr>
            <w:r>
              <w:t xml:space="preserve">compliance artifact</w:t>
            </w:r>
          </w:p>
        </w:tc>
        <w:tc>
          <w:tcPr/>
          <w:p>
            <w:pPr>
              <w:pStyle w:val="Compact"/>
            </w:pPr>
            <w:r>
              <w:t xml:space="preserve">doc_type (permit/COO/BOL/etc.), issuer, date, checksum, linked lot/shipment</w:t>
            </w:r>
          </w:p>
        </w:tc>
        <w:tc>
          <w:tcPr/>
          <w:p>
            <w:pPr>
              <w:pStyle w:val="Compact"/>
            </w:pPr>
            <w:r>
              <w:t xml:space="preserve">Coffee Board requires post-shipment documents within 45 days (permits, bill of lading with onboard seal, endorsed certificate of origin, FOB details).</w:t>
            </w:r>
            <w:r>
              <w:t xml:space="preserve"> </w:t>
            </w:r>
            <w:hyperlink r:id="rId23">
              <w:r>
                <w:rPr>
                  <w:rStyle w:val="Hyperlink"/>
                </w:rPr>
                <w:t xml:space="preserve">[3]</w:t>
              </w:r>
            </w:hyperlink>
          </w:p>
        </w:tc>
      </w:tr>
      <w:tr>
        <w:tc>
          <w:tcPr/>
          <w:p>
            <w:pPr>
              <w:pStyle w:val="Compact"/>
            </w:pPr>
            <w:r>
              <w:t xml:space="preserve">Shipment</w:t>
            </w:r>
          </w:p>
        </w:tc>
        <w:tc>
          <w:tcPr/>
          <w:p>
            <w:pPr>
              <w:pStyle w:val="Compact"/>
            </w:pPr>
            <w:r>
              <w:t xml:space="preserve">logistics event</w:t>
            </w:r>
          </w:p>
        </w:tc>
        <w:tc>
          <w:tcPr/>
          <w:p>
            <w:pPr>
              <w:pStyle w:val="Compact"/>
            </w:pPr>
            <w:r>
              <w:t xml:space="preserve">Incoterm, named place, ETD/ETA, carrier refs, events, linked docs</w:t>
            </w:r>
          </w:p>
        </w:tc>
        <w:tc>
          <w:tcPr/>
          <w:p>
            <w:pPr>
              <w:pStyle w:val="Compact"/>
            </w:pPr>
            <w:r>
              <w:t xml:space="preserve">Incoterms clarify tasks/costs/risks in delivery terms for B2B sales contracts.</w:t>
            </w:r>
            <w:r>
              <w:t xml:space="preserve"> </w:t>
            </w:r>
            <w:hyperlink r:id="rId37">
              <w:r>
                <w:rPr>
                  <w:rStyle w:val="Hyperlink"/>
                </w:rPr>
                <w:t xml:space="preserve">[15]</w:t>
              </w:r>
            </w:hyperlink>
          </w:p>
        </w:tc>
      </w:tr>
      <w:tr>
        <w:tc>
          <w:tcPr/>
          <w:p>
            <w:pPr>
              <w:pStyle w:val="Compact"/>
            </w:pPr>
            <w:r>
              <w:t xml:space="preserve">Traceability edges</w:t>
            </w:r>
          </w:p>
        </w:tc>
        <w:tc>
          <w:tcPr/>
          <w:p>
            <w:pPr>
              <w:pStyle w:val="Compact"/>
            </w:pPr>
            <w:r>
              <w:t xml:space="preserve">one-step links</w:t>
            </w:r>
          </w:p>
        </w:tc>
        <w:tc>
          <w:tcPr/>
          <w:p>
            <w:pPr>
              <w:pStyle w:val="Compact"/>
            </w:pPr>
            <w:r>
              <w:t xml:space="preserve">supplier→lot, lot→shipment, shipment→buyer</w:t>
            </w:r>
          </w:p>
        </w:tc>
        <w:tc>
          <w:tcPr/>
          <w:p>
            <w:pPr>
              <w:pStyle w:val="Compact"/>
            </w:pPr>
            <w:r>
              <w:t xml:space="preserve">EU food law requires traceability systems and procedures and supplier/customer identification (Article 18).</w:t>
            </w:r>
            <w:r>
              <w:t xml:space="preserve"> </w:t>
            </w:r>
            <w:hyperlink r:id="rId38">
              <w:r>
                <w:rPr>
                  <w:rStyle w:val="Hyperlink"/>
                </w:rPr>
                <w:t xml:space="preserve">[16]</w:t>
              </w:r>
            </w:hyperlink>
          </w:p>
        </w:tc>
      </w:tr>
      <w:tr>
        <w:tc>
          <w:tcPr/>
          <w:p>
            <w:pPr>
              <w:pStyle w:val="Compact"/>
            </w:pPr>
            <w:r>
              <w:t xml:space="preserve">Geolocation</w:t>
            </w:r>
          </w:p>
        </w:tc>
        <w:tc>
          <w:tcPr/>
          <w:p>
            <w:pPr>
              <w:pStyle w:val="Compact"/>
            </w:pPr>
            <w:r>
              <w:t xml:space="preserve">EUDR readiness</w:t>
            </w:r>
          </w:p>
        </w:tc>
        <w:tc>
          <w:tcPr/>
          <w:p>
            <w:pPr>
              <w:pStyle w:val="Compact"/>
            </w:pPr>
            <w:r>
              <w:t xml:space="preserve">coordinates/polygons, capture method, timestamp, plot_id links</w:t>
            </w:r>
          </w:p>
        </w:tc>
        <w:tc>
          <w:tcPr/>
          <w:p>
            <w:pPr>
              <w:pStyle w:val="Compact"/>
            </w:pPr>
            <w:r>
              <w:t xml:space="preserve">EUDR due diligence systems include geolocation coordinates; Coffee Board’s INDICOFS scheme includes “farm map / polygon if exporting to EU.”</w:t>
            </w:r>
            <w:r>
              <w:t xml:space="preserve"> </w:t>
            </w:r>
            <w:hyperlink r:id="rId24">
              <w:r>
                <w:rPr>
                  <w:rStyle w:val="Hyperlink"/>
                </w:rPr>
                <w:t xml:space="preserve">[17]</w:t>
              </w:r>
            </w:hyperlink>
          </w:p>
        </w:tc>
      </w:tr>
    </w:tbl>
    <w:p>
      <w:pPr>
        <w:pStyle w:val="BodyText"/>
      </w:pPr>
      <w:r>
        <w:rPr>
          <w:b/>
          <w:bCs/>
        </w:rPr>
        <w:t xml:space="preserve">Why geospatial is realistic in India:</w:t>
      </w:r>
      <w:r>
        <w:t xml:space="preserve"> </w:t>
      </w:r>
      <w:r>
        <w:t xml:space="preserve">the Coffee Plantation Atlas of India (Geo‑CUP) was produced collaboratively with the Coffee Board and can inform how you validate and structure plot boundaries and region IDs.</w:t>
      </w:r>
      <w:r>
        <w:t xml:space="preserve"> </w:t>
      </w:r>
      <w:hyperlink r:id="rId39">
        <w:r>
          <w:rPr>
            <w:rStyle w:val="Hyperlink"/>
          </w:rPr>
          <w:t xml:space="preserve">[18]</w:t>
        </w:r>
      </w:hyperlink>
      <w:r>
        <w:t xml:space="preserve"> </w:t>
      </w:r>
      <w:r>
        <w:t xml:space="preserve">(Mentioned here as a reference for geospatial structuring, not as an operational substitute for plot-level due diligence.)</w:t>
      </w:r>
    </w:p>
    <w:bookmarkEnd w:id="40"/>
    <w:bookmarkStart w:id="41" w:name="platform-requirements-and-core-services"/>
    <w:p>
      <w:pPr>
        <w:pStyle w:val="Heading3"/>
      </w:pPr>
      <w:r>
        <w:t xml:space="preserve">Platform requirements and core services</w:t>
      </w:r>
    </w:p>
    <w:p>
      <w:pPr>
        <w:pStyle w:val="FirstParagraph"/>
      </w:pPr>
      <w:r>
        <w:rPr>
          <w:b/>
          <w:bCs/>
        </w:rPr>
        <w:t xml:space="preserve">Order orchestration</w:t>
      </w:r>
      <w:r>
        <w:t xml:space="preserve"> </w:t>
      </w:r>
      <w:r>
        <w:t xml:space="preserve">- Supports three operating models (marketplace, dropship, consignment) via routing rules</w:t>
      </w:r>
      <w:r>
        <w:t xml:space="preserve"> </w:t>
      </w:r>
      <w:r>
        <w:t xml:space="preserve">- Encodes Incoterm + named place and “who is consignee/importer” for compliance posture</w:t>
      </w:r>
    </w:p>
    <w:p>
      <w:pPr>
        <w:pStyle w:val="BodyText"/>
      </w:pPr>
      <w:r>
        <w:rPr>
          <w:b/>
          <w:bCs/>
        </w:rPr>
        <w:t xml:space="preserve">Payments and payouts</w:t>
      </w:r>
      <w:r>
        <w:t xml:space="preserve"> </w:t>
      </w:r>
      <w:r>
        <w:t xml:space="preserve">- Category-based commission rules</w:t>
      </w:r>
      <w:r>
        <w:t xml:space="preserve"> </w:t>
      </w:r>
      <w:r>
        <w:t xml:space="preserve">- Escrow/reserves and staged releases (e.g., release % at shipment + release final after acceptance window)</w:t>
      </w:r>
    </w:p>
    <w:p>
      <w:pPr>
        <w:pStyle w:val="BodyText"/>
      </w:pPr>
      <w:r>
        <w:rPr>
          <w:b/>
          <w:bCs/>
        </w:rPr>
        <w:t xml:space="preserve">Compliance pack generator</w:t>
      </w:r>
      <w:r>
        <w:t xml:space="preserve"> </w:t>
      </w:r>
      <w:r>
        <w:t xml:space="preserve">- Compiles doc bundles aligned to Coffee Board and buyer expectations (permit/COO/shipping docs, QC summaries) and tracks missing/expiring docs.</w:t>
      </w:r>
      <w:r>
        <w:t xml:space="preserve"> </w:t>
      </w:r>
      <w:hyperlink r:id="rId23">
        <w:r>
          <w:rPr>
            <w:rStyle w:val="Hyperlink"/>
          </w:rPr>
          <w:t xml:space="preserve">[19]</w:t>
        </w:r>
      </w:hyperlink>
    </w:p>
    <w:p>
      <w:pPr>
        <w:pStyle w:val="BodyText"/>
      </w:pPr>
      <w:r>
        <w:rPr>
          <w:b/>
          <w:bCs/>
        </w:rPr>
        <w:t xml:space="preserve">Integrations</w:t>
      </w:r>
      <w:r>
        <w:t xml:space="preserve"> </w:t>
      </w:r>
      <w:r>
        <w:t xml:space="preserve">- 3PL/WMS and carrier tracking (mandatory only for consignment/in-market model)</w:t>
      </w:r>
      <w:r>
        <w:t xml:space="preserve"> </w:t>
      </w:r>
      <w:r>
        <w:t xml:space="preserve">- Accounting/invoicing and B2B payment rails</w:t>
      </w:r>
    </w:p>
    <w:bookmarkEnd w:id="41"/>
    <w:bookmarkStart w:id="42" w:name="recommended-tech-stack-founder-buildable"/>
    <w:p>
      <w:pPr>
        <w:pStyle w:val="Heading3"/>
      </w:pPr>
      <w:r>
        <w:t xml:space="preserve">Recommended tech stack (founder-buildable)</w:t>
      </w:r>
    </w:p>
    <w:p>
      <w:pPr>
        <w:pStyle w:val="Compact"/>
        <w:numPr>
          <w:ilvl w:val="0"/>
          <w:numId w:val="1002"/>
        </w:numPr>
      </w:pPr>
      <w:r>
        <w:t xml:space="preserve">Web portals: React/Next.js</w:t>
      </w:r>
    </w:p>
    <w:p>
      <w:pPr>
        <w:pStyle w:val="Compact"/>
        <w:numPr>
          <w:ilvl w:val="0"/>
          <w:numId w:val="1002"/>
        </w:numPr>
      </w:pPr>
      <w:r>
        <w:t xml:space="preserve">Mobile: PWA first; native later if consumer product proves retention</w:t>
      </w:r>
    </w:p>
    <w:p>
      <w:pPr>
        <w:pStyle w:val="Compact"/>
        <w:numPr>
          <w:ilvl w:val="0"/>
          <w:numId w:val="1002"/>
        </w:numPr>
      </w:pPr>
      <w:r>
        <w:t xml:space="preserve">Backend: Python or Node (jobs for doc processing and compliance packs)</w:t>
      </w:r>
    </w:p>
    <w:p>
      <w:pPr>
        <w:pStyle w:val="Compact"/>
        <w:numPr>
          <w:ilvl w:val="0"/>
          <w:numId w:val="1002"/>
        </w:numPr>
      </w:pPr>
      <w:r>
        <w:t xml:space="preserve">Data: Postgres + object storage for documents; event pipeline for analytics</w:t>
      </w:r>
    </w:p>
    <w:p>
      <w:pPr>
        <w:pStyle w:val="Compact"/>
        <w:numPr>
          <w:ilvl w:val="0"/>
          <w:numId w:val="1002"/>
        </w:numPr>
      </w:pPr>
      <w:r>
        <w:t xml:space="preserve">AI/ML: start with explainable ranking + rules; expand to learning models as data accrues</w:t>
      </w:r>
    </w:p>
    <w:p>
      <w:pPr>
        <w:pStyle w:val="FirstParagraph"/>
      </w:pPr>
      <w:r>
        <w:t xml:space="preserve">Provider examples you might use in practice: Amazon Web Services</w:t>
      </w:r>
      <w:hyperlink r:id="rId25">
        <w:r>
          <w:rPr>
            <w:rStyle w:val="Hyperlink"/>
          </w:rPr>
          <w:t xml:space="preserve">[20]</w:t>
        </w:r>
      </w:hyperlink>
      <w:r>
        <w:t xml:space="preserve"> </w:t>
      </w:r>
      <w:r>
        <w:t xml:space="preserve">for hosting, Stripe</w:t>
      </w:r>
      <w:hyperlink r:id="rId32">
        <w:r>
          <w:rPr>
            <w:rStyle w:val="Hyperlink"/>
          </w:rPr>
          <w:t xml:space="preserve">[21]</w:t>
        </w:r>
      </w:hyperlink>
      <w:r>
        <w:t xml:space="preserve"> </w:t>
      </w:r>
      <w:r>
        <w:t xml:space="preserve">for payment capture/payout plumbing, and Shopify</w:t>
      </w:r>
      <w:hyperlink r:id="rId23">
        <w:r>
          <w:rPr>
            <w:rStyle w:val="Hyperlink"/>
          </w:rPr>
          <w:t xml:space="preserve">[22]</w:t>
        </w:r>
      </w:hyperlink>
      <w:r>
        <w:t xml:space="preserve"> </w:t>
      </w:r>
      <w:r>
        <w:t xml:space="preserve">only if you later decide to accelerate consumer storefront checkout (optional). These are implementation options, not requirements.</w:t>
      </w:r>
    </w:p>
    <w:bookmarkEnd w:id="42"/>
    <w:bookmarkStart w:id="43" w:name="product-architecture-diagram"/>
    <w:p>
      <w:pPr>
        <w:pStyle w:val="Heading3"/>
      </w:pPr>
      <w:r>
        <w:t xml:space="preserve">Product architecture diagram</w:t>
      </w:r>
    </w:p>
    <w:p>
      <w:pPr>
        <w:pStyle w:val="SourceCode"/>
      </w:pPr>
      <w:r>
        <w:rPr>
          <w:rStyle w:val="VerbatimChar"/>
        </w:rPr>
        <w:t xml:space="preserve">flowchart TB</w:t>
      </w:r>
      <w:r>
        <w:br/>
      </w:r>
      <w:r>
        <w:rPr>
          <w:rStyle w:val="VerbatimChar"/>
        </w:rPr>
        <w:t xml:space="preserve">  subgraph Apps</w:t>
      </w:r>
      <w:r>
        <w:br/>
      </w:r>
      <w:r>
        <w:rPr>
          <w:rStyle w:val="VerbatimChar"/>
        </w:rPr>
        <w:t xml:space="preserve">    A[Supplier Portal]</w:t>
      </w:r>
      <w:r>
        <w:br/>
      </w:r>
      <w:r>
        <w:rPr>
          <w:rStyle w:val="VerbatimChar"/>
        </w:rPr>
        <w:t xml:space="preserve">    B[B2B Buyer Portal]</w:t>
      </w:r>
      <w:r>
        <w:br/>
      </w:r>
      <w:r>
        <w:rPr>
          <w:rStyle w:val="VerbatimChar"/>
        </w:rPr>
        <w:t xml:space="preserve">    C[Consumer App / PWA]</w:t>
      </w:r>
      <w:r>
        <w:br/>
      </w:r>
      <w:r>
        <w:rPr>
          <w:rStyle w:val="VerbatimChar"/>
        </w:rPr>
        <w:t xml:space="preserve">    D[Lot QR Provenance Page]</w:t>
      </w:r>
      <w:r>
        <w:br/>
      </w:r>
      <w:r>
        <w:rPr>
          <w:rStyle w:val="VerbatimChar"/>
        </w:rPr>
        <w:t xml:space="preserve">  end</w:t>
      </w:r>
      <w:r>
        <w:br/>
      </w:r>
      <w:r>
        <w:br/>
      </w:r>
      <w:r>
        <w:rPr>
          <w:rStyle w:val="VerbatimChar"/>
        </w:rPr>
        <w:t xml:space="preserve">  subgraph Core</w:t>
      </w:r>
      <w:r>
        <w:br/>
      </w:r>
      <w:r>
        <w:rPr>
          <w:rStyle w:val="VerbatimChar"/>
        </w:rPr>
        <w:t xml:space="preserve">    E[Lot Ledger + Traceability Graph]</w:t>
      </w:r>
      <w:r>
        <w:br/>
      </w:r>
      <w:r>
        <w:rPr>
          <w:rStyle w:val="VerbatimChar"/>
        </w:rPr>
        <w:t xml:space="preserve">    F[Order Orchestration + Routing]</w:t>
      </w:r>
      <w:r>
        <w:br/>
      </w:r>
      <w:r>
        <w:rPr>
          <w:rStyle w:val="VerbatimChar"/>
        </w:rPr>
        <w:t xml:space="preserve">    G[Payments + Payouts + Reserve Holds]</w:t>
      </w:r>
      <w:r>
        <w:br/>
      </w:r>
      <w:r>
        <w:rPr>
          <w:rStyle w:val="VerbatimChar"/>
        </w:rPr>
        <w:t xml:space="preserve">    H[Document Vault + Validation]</w:t>
      </w:r>
      <w:r>
        <w:br/>
      </w:r>
      <w:r>
        <w:rPr>
          <w:rStyle w:val="VerbatimChar"/>
        </w:rPr>
        <w:t xml:space="preserve">    I[Compliance Pack Generator]</w:t>
      </w:r>
      <w:r>
        <w:br/>
      </w:r>
      <w:r>
        <w:rPr>
          <w:rStyle w:val="VerbatimChar"/>
        </w:rPr>
        <w:t xml:space="preserve">  end</w:t>
      </w:r>
      <w:r>
        <w:br/>
      </w:r>
      <w:r>
        <w:br/>
      </w:r>
      <w:r>
        <w:rPr>
          <w:rStyle w:val="VerbatimChar"/>
        </w:rPr>
        <w:t xml:space="preserve">  subgraph Integrations</w:t>
      </w:r>
      <w:r>
        <w:br/>
      </w:r>
      <w:r>
        <w:rPr>
          <w:rStyle w:val="VerbatimChar"/>
        </w:rPr>
        <w:t xml:space="preserve">    J[3PL/WMS - consignment only]</w:t>
      </w:r>
      <w:r>
        <w:br/>
      </w:r>
      <w:r>
        <w:rPr>
          <w:rStyle w:val="VerbatimChar"/>
        </w:rPr>
        <w:t xml:space="preserve">    K[Carrier APIs]</w:t>
      </w:r>
      <w:r>
        <w:br/>
      </w:r>
      <w:r>
        <w:rPr>
          <w:rStyle w:val="VerbatimChar"/>
        </w:rPr>
        <w:t xml:space="preserve">    L[Accounting/Invoicing]</w:t>
      </w:r>
      <w:r>
        <w:br/>
      </w:r>
      <w:r>
        <w:rPr>
          <w:rStyle w:val="VerbatimChar"/>
        </w:rPr>
        <w:t xml:space="preserve">  end</w:t>
      </w:r>
      <w:r>
        <w:br/>
      </w:r>
      <w:r>
        <w:br/>
      </w:r>
      <w:r>
        <w:rPr>
          <w:rStyle w:val="VerbatimChar"/>
        </w:rPr>
        <w:t xml:space="preserve">  subgraph AI</w:t>
      </w:r>
      <w:r>
        <w:br/>
      </w:r>
      <w:r>
        <w:rPr>
          <w:rStyle w:val="VerbatimChar"/>
        </w:rPr>
        <w:t xml:space="preserve">    M[Matching / Ranking + Explainability]</w:t>
      </w:r>
      <w:r>
        <w:br/>
      </w:r>
      <w:r>
        <w:rPr>
          <w:rStyle w:val="VerbatimChar"/>
        </w:rPr>
        <w:t xml:space="preserve">    N[Document Intelligence]</w:t>
      </w:r>
      <w:r>
        <w:br/>
      </w:r>
      <w:r>
        <w:rPr>
          <w:rStyle w:val="VerbatimChar"/>
        </w:rPr>
        <w:t xml:space="preserve">    O[EUDR Readiness Scoring]</w:t>
      </w:r>
      <w:r>
        <w:br/>
      </w:r>
      <w:r>
        <w:rPr>
          <w:rStyle w:val="VerbatimChar"/>
        </w:rPr>
        <w:t xml:space="preserve">    P[Quality Risk Flags]</w:t>
      </w:r>
      <w:r>
        <w:br/>
      </w:r>
      <w:r>
        <w:rPr>
          <w:rStyle w:val="VerbatimChar"/>
        </w:rPr>
        <w:t xml:space="preserve">  end</w:t>
      </w:r>
      <w:r>
        <w:br/>
      </w:r>
      <w:r>
        <w:br/>
      </w:r>
      <w:r>
        <w:rPr>
          <w:rStyle w:val="VerbatimChar"/>
        </w:rPr>
        <w:t xml:space="preserve">  A --&gt; E</w:t>
      </w:r>
      <w:r>
        <w:br/>
      </w:r>
      <w:r>
        <w:rPr>
          <w:rStyle w:val="VerbatimChar"/>
        </w:rPr>
        <w:t xml:space="preserve">  A --&gt; H</w:t>
      </w:r>
      <w:r>
        <w:br/>
      </w:r>
      <w:r>
        <w:rPr>
          <w:rStyle w:val="VerbatimChar"/>
        </w:rPr>
        <w:t xml:space="preserve">  B --&gt; E</w:t>
      </w:r>
      <w:r>
        <w:br/>
      </w:r>
      <w:r>
        <w:rPr>
          <w:rStyle w:val="VerbatimChar"/>
        </w:rPr>
        <w:t xml:space="preserve">  B --&gt; F</w:t>
      </w:r>
      <w:r>
        <w:br/>
      </w:r>
      <w:r>
        <w:rPr>
          <w:rStyle w:val="VerbatimChar"/>
        </w:rPr>
        <w:t xml:space="preserve">  F --&gt; G</w:t>
      </w:r>
      <w:r>
        <w:br/>
      </w:r>
      <w:r>
        <w:rPr>
          <w:rStyle w:val="VerbatimChar"/>
        </w:rPr>
        <w:t xml:space="preserve">  H --&gt; I</w:t>
      </w:r>
      <w:r>
        <w:br/>
      </w:r>
      <w:r>
        <w:rPr>
          <w:rStyle w:val="VerbatimChar"/>
        </w:rPr>
        <w:t xml:space="preserve">  E --&gt; I</w:t>
      </w:r>
      <w:r>
        <w:br/>
      </w:r>
      <w:r>
        <w:rPr>
          <w:rStyle w:val="VerbatimChar"/>
        </w:rPr>
        <w:t xml:space="preserve">  E --&gt; D</w:t>
      </w:r>
      <w:r>
        <w:br/>
      </w:r>
      <w:r>
        <w:br/>
      </w:r>
      <w:r>
        <w:rPr>
          <w:rStyle w:val="VerbatimChar"/>
        </w:rPr>
        <w:t xml:space="preserve">  F --&gt; J --&gt; K</w:t>
      </w:r>
      <w:r>
        <w:br/>
      </w:r>
      <w:r>
        <w:rPr>
          <w:rStyle w:val="VerbatimChar"/>
        </w:rPr>
        <w:t xml:space="preserve">  G --&gt; L</w:t>
      </w:r>
      <w:r>
        <w:br/>
      </w:r>
      <w:r>
        <w:br/>
      </w:r>
      <w:r>
        <w:rPr>
          <w:rStyle w:val="VerbatimChar"/>
        </w:rPr>
        <w:t xml:space="preserve">  E --&gt; M</w:t>
      </w:r>
      <w:r>
        <w:br/>
      </w:r>
      <w:r>
        <w:rPr>
          <w:rStyle w:val="VerbatimChar"/>
        </w:rPr>
        <w:t xml:space="preserve">  H --&gt; N</w:t>
      </w:r>
      <w:r>
        <w:br/>
      </w:r>
      <w:r>
        <w:rPr>
          <w:rStyle w:val="VerbatimChar"/>
        </w:rPr>
        <w:t xml:space="preserve">  E --&gt; O</w:t>
      </w:r>
      <w:r>
        <w:br/>
      </w:r>
      <w:r>
        <w:rPr>
          <w:rStyle w:val="VerbatimChar"/>
        </w:rPr>
        <w:t xml:space="preserve">  E --&gt; P</w:t>
      </w:r>
    </w:p>
    <w:bookmarkEnd w:id="43"/>
    <w:bookmarkEnd w:id="44"/>
    <w:bookmarkStart w:id="49" w:name="X39801fb086acd2fedfba2004ccc4b8a40bba856"/>
    <w:p>
      <w:pPr>
        <w:pStyle w:val="Heading2"/>
      </w:pPr>
      <w:r>
        <w:t xml:space="preserve">Operating models, unit economics, and cashflow</w:t>
      </w:r>
    </w:p>
    <w:bookmarkStart w:id="45" w:name="model-feasibility-and-comparison"/>
    <w:p>
      <w:pPr>
        <w:pStyle w:val="Heading3"/>
      </w:pPr>
      <w:r>
        <w:t xml:space="preserve">Model feasibility and comparison</w:t>
      </w:r>
    </w:p>
    <w:p>
      <w:pPr>
        <w:pStyle w:val="FirstParagraph"/>
      </w:pPr>
      <w:r>
        <w:t xml:space="preserve">The table below compares the three models you asked for under founder constraints (capital, compliance exposure, and operational complexity). Assumptions: US &amp; EU markets; both B2B and B2C over time; no inventory in the marketplace model.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Best-fit customer</w:t>
            </w:r>
          </w:p>
        </w:tc>
        <w:tc>
          <w:tcPr/>
          <w:p>
            <w:pPr>
              <w:pStyle w:val="Compact"/>
            </w:pPr>
            <w:r>
              <w:t xml:space="preserve">Costs + capital profile</w:t>
            </w:r>
          </w:p>
        </w:tc>
        <w:tc>
          <w:tcPr/>
          <w:p>
            <w:pPr>
              <w:pStyle w:val="Compact"/>
            </w:pPr>
            <w:r>
              <w:t xml:space="preserve">Pros</w:t>
            </w:r>
          </w:p>
        </w:tc>
        <w:tc>
          <w:tcPr/>
          <w:p>
            <w:pPr>
              <w:pStyle w:val="Compact"/>
            </w:pPr>
            <w:r>
              <w:t xml:space="preserve">Cons</w:t>
            </w:r>
          </w:p>
        </w:tc>
        <w:tc>
          <w:tcPr/>
          <w:p>
            <w:pPr>
              <w:pStyle w:val="Compact"/>
            </w:pPr>
            <w:r>
              <w:t xml:space="preserve">Compliance exposure (high-level)</w:t>
            </w:r>
          </w:p>
        </w:tc>
        <w:tc>
          <w:tcPr/>
          <w:p>
            <w:pPr>
              <w:pStyle w:val="Compact"/>
            </w:pPr>
            <w:r>
              <w:t xml:space="preserve">Cashflow characteristics</w:t>
            </w:r>
          </w:p>
        </w:tc>
      </w:tr>
      <w:tr>
        <w:tc>
          <w:tcPr/>
          <w:p>
            <w:pPr>
              <w:pStyle w:val="Compact"/>
            </w:pPr>
            <w:r>
              <w:t xml:space="preserve">Charge-on-order marketplace (recommended MVP)</w:t>
            </w:r>
          </w:p>
        </w:tc>
        <w:tc>
          <w:tcPr/>
          <w:p>
            <w:pPr>
              <w:pStyle w:val="Compact"/>
            </w:pPr>
            <w:r>
              <w:t xml:space="preserve">B2B roasters/importers</w:t>
            </w:r>
          </w:p>
        </w:tc>
        <w:tc>
          <w:tcPr/>
          <w:p>
            <w:pPr>
              <w:pStyle w:val="Compact"/>
            </w:pPr>
            <w:r>
              <w:t xml:space="preserve">Lowest fixed costs; minimal working capital if you avoid net terms</w:t>
            </w:r>
          </w:p>
        </w:tc>
        <w:tc>
          <w:tcPr/>
          <w:p>
            <w:pPr>
              <w:pStyle w:val="Compact"/>
            </w:pPr>
            <w:r>
              <w:t xml:space="preserve">Fastest to validate; clean “platform” story; scalable into compliance SaaS</w:t>
            </w:r>
          </w:p>
        </w:tc>
        <w:tc>
          <w:tcPr/>
          <w:p>
            <w:pPr>
              <w:pStyle w:val="Compact"/>
            </w:pPr>
            <w:r>
              <w:t xml:space="preserve">Less direct quality control unless you add inspection services</w:t>
            </w:r>
          </w:p>
        </w:tc>
        <w:tc>
          <w:tcPr/>
          <w:p>
            <w:pPr>
              <w:pStyle w:val="Compact"/>
            </w:pPr>
            <w:r>
              <w:t xml:space="preserve">Lower if buyer is “owner/consignee” so you’re not the default FSVP importer.</w:t>
            </w:r>
            <w:r>
              <w:t xml:space="preserve"> </w:t>
            </w:r>
            <w:hyperlink r:id="rId21">
              <w:r>
                <w:rPr>
                  <w:rStyle w:val="Hyperlink"/>
                </w:rPr>
                <w:t xml:space="preserve">[23]</w:t>
              </w:r>
            </w:hyperlink>
          </w:p>
        </w:tc>
        <w:tc>
          <w:tcPr/>
          <w:p>
            <w:pPr>
              <w:pStyle w:val="Compact"/>
            </w:pPr>
            <w:r>
              <w:t xml:space="preserve">Often favorable if you collect then remit with reserves</w:t>
            </w:r>
          </w:p>
        </w:tc>
      </w:tr>
      <w:tr>
        <w:tc>
          <w:tcPr/>
          <w:p>
            <w:pPr>
              <w:pStyle w:val="Compact"/>
            </w:pPr>
            <w:r>
              <w:t xml:space="preserve">Dropship India→consumer</w:t>
            </w:r>
          </w:p>
        </w:tc>
        <w:tc>
          <w:tcPr/>
          <w:p>
            <w:pPr>
              <w:pStyle w:val="Compact"/>
            </w:pPr>
            <w:r>
              <w:t xml:space="preserve">B2C</w:t>
            </w:r>
          </w:p>
        </w:tc>
        <w:tc>
          <w:tcPr/>
          <w:p>
            <w:pPr>
              <w:pStyle w:val="Compact"/>
            </w:pPr>
            <w:r>
              <w:t xml:space="preserve">Low inventory, high per-order ops and support costs</w:t>
            </w:r>
          </w:p>
        </w:tc>
        <w:tc>
          <w:tcPr/>
          <w:p>
            <w:pPr>
              <w:pStyle w:val="Compact"/>
            </w:pPr>
            <w:r>
              <w:t xml:space="preserve">Quick catalog expansion; no warehousing</w:t>
            </w:r>
          </w:p>
        </w:tc>
        <w:tc>
          <w:tcPr/>
          <w:p>
            <w:pPr>
              <w:pStyle w:val="Compact"/>
            </w:pPr>
            <w:r>
              <w:t xml:space="preserve">Border friction, high refund rates, unreliable delivery times</w:t>
            </w:r>
          </w:p>
        </w:tc>
        <w:tc>
          <w:tcPr/>
          <w:p>
            <w:pPr>
              <w:pStyle w:val="Compact"/>
            </w:pPr>
            <w:r>
              <w:t xml:space="preserve">US Prior Notice for all imported food shipments; EU VAT/IOSS + customs declarations expand complexity.</w:t>
            </w:r>
            <w:r>
              <w:t xml:space="preserve"> </w:t>
            </w:r>
            <w:hyperlink r:id="rId26">
              <w:r>
                <w:rPr>
                  <w:rStyle w:val="Hyperlink"/>
                </w:rPr>
                <w:t xml:space="preserve">[12]</w:t>
              </w:r>
            </w:hyperlink>
          </w:p>
        </w:tc>
        <w:tc>
          <w:tcPr/>
          <w:p>
            <w:pPr>
              <w:pStyle w:val="Compact"/>
            </w:pPr>
            <w:r>
              <w:t xml:space="preserve">Volatile; chargebacks/refunds can overwhelm margin</w:t>
            </w:r>
          </w:p>
        </w:tc>
      </w:tr>
      <w:tr>
        <w:tc>
          <w:tcPr/>
          <w:p>
            <w:pPr>
              <w:pStyle w:val="Compact"/>
            </w:pPr>
            <w:r>
              <w:t xml:space="preserve">Consignment / in-market</w:t>
            </w:r>
          </w:p>
        </w:tc>
        <w:tc>
          <w:tcPr/>
          <w:p>
            <w:pPr>
              <w:pStyle w:val="Compact"/>
            </w:pPr>
            <w:r>
              <w:t xml:space="preserve">B2B + B2C</w:t>
            </w:r>
          </w:p>
        </w:tc>
        <w:tc>
          <w:tcPr/>
          <w:p>
            <w:pPr>
              <w:pStyle w:val="Compact"/>
            </w:pPr>
            <w:r>
              <w:t xml:space="preserve">Medium capital (freight/storage/QC); less product purchase cash</w:t>
            </w:r>
          </w:p>
        </w:tc>
        <w:tc>
          <w:tcPr/>
          <w:p>
            <w:pPr>
              <w:pStyle w:val="Compact"/>
            </w:pPr>
            <w:r>
              <w:t xml:space="preserve">Best QC control; improved customer experience</w:t>
            </w:r>
          </w:p>
        </w:tc>
        <w:tc>
          <w:tcPr/>
          <w:p>
            <w:pPr>
              <w:pStyle w:val="Compact"/>
            </w:pPr>
            <w:r>
              <w:t xml:space="preserve">Needs 3PL, inventory accounting, and supplier trust</w:t>
            </w:r>
          </w:p>
        </w:tc>
        <w:tc>
          <w:tcPr/>
          <w:p>
            <w:pPr>
              <w:pStyle w:val="Compact"/>
            </w:pPr>
            <w:r>
              <w:t xml:space="preserve">EU customs identity (EORI) often needed if you/importer clear; EU labeling responsibility attaches to the operator under whose name food is marketed.</w:t>
            </w:r>
            <w:r>
              <w:t xml:space="preserve"> </w:t>
            </w:r>
            <w:hyperlink r:id="rId25">
              <w:r>
                <w:rPr>
                  <w:rStyle w:val="Hyperlink"/>
                </w:rPr>
                <w:t xml:space="preserve">[24]</w:t>
              </w:r>
            </w:hyperlink>
          </w:p>
        </w:tc>
        <w:tc>
          <w:tcPr/>
          <w:p>
            <w:pPr>
              <w:pStyle w:val="Compact"/>
            </w:pPr>
            <w:r>
              <w:t xml:space="preserve">Smoother than dropship; still prepays freight/storage</w:t>
            </w:r>
          </w:p>
        </w:tc>
      </w:tr>
    </w:tbl>
    <w:bookmarkEnd w:id="45"/>
    <w:bookmarkStart w:id="46" w:name="supply-chain-flowcharts-per-model"/>
    <w:p>
      <w:pPr>
        <w:pStyle w:val="Heading3"/>
      </w:pPr>
      <w:r>
        <w:t xml:space="preserve">Supply-chain flowcharts per model</w:t>
      </w:r>
    </w:p>
    <w:p>
      <w:pPr>
        <w:pStyle w:val="FirstParagraph"/>
      </w:pPr>
      <w:r>
        <w:rPr>
          <w:b/>
          <w:bCs/>
        </w:rPr>
        <w:t xml:space="preserve">Charge-on-order marketplace</w:t>
      </w:r>
    </w:p>
    <w:p>
      <w:pPr>
        <w:pStyle w:val="SourceCode"/>
      </w:pPr>
      <w:r>
        <w:rPr>
          <w:rStyle w:val="VerbatimChar"/>
        </w:rPr>
        <w:t xml:space="preserve">flowchart LR</w:t>
      </w:r>
      <w:r>
        <w:br/>
      </w:r>
      <w:r>
        <w:rPr>
          <w:rStyle w:val="VerbatimChar"/>
        </w:rPr>
        <w:t xml:space="preserve">  A[Supplier/exporter lists lot + docs] --&gt; B[Lot ledger + doc vault]</w:t>
      </w:r>
      <w:r>
        <w:br/>
      </w:r>
      <w:r>
        <w:rPr>
          <w:rStyle w:val="VerbatimChar"/>
        </w:rPr>
        <w:t xml:space="preserve">  C[B2B buyer searches] --&gt; D[Quote / order]</w:t>
      </w:r>
      <w:r>
        <w:br/>
      </w:r>
      <w:r>
        <w:rPr>
          <w:rStyle w:val="VerbatimChar"/>
        </w:rPr>
        <w:t xml:space="preserve">  D --&gt; E[Incoterms + consignee roles locked]</w:t>
      </w:r>
      <w:r>
        <w:br/>
      </w:r>
      <w:r>
        <w:rPr>
          <w:rStyle w:val="VerbatimChar"/>
        </w:rPr>
        <w:t xml:space="preserve">  E --&gt; F[Supplier ships]</w:t>
      </w:r>
      <w:r>
        <w:br/>
      </w:r>
      <w:r>
        <w:rPr>
          <w:rStyle w:val="VerbatimChar"/>
        </w:rPr>
        <w:t xml:space="preserve">  F --&gt; G[Buyer import clearance]</w:t>
      </w:r>
      <w:r>
        <w:br/>
      </w:r>
      <w:r>
        <w:rPr>
          <w:rStyle w:val="VerbatimChar"/>
        </w:rPr>
        <w:t xml:space="preserve">  G --&gt; H[Buyer intake QC]</w:t>
      </w:r>
      <w:r>
        <w:br/>
      </w:r>
      <w:r>
        <w:rPr>
          <w:rStyle w:val="VerbatimChar"/>
        </w:rPr>
        <w:t xml:space="preserve">  H --&gt; I[Settlement]</w:t>
      </w:r>
      <w:r>
        <w:br/>
      </w:r>
      <w:r>
        <w:rPr>
          <w:rStyle w:val="VerbatimChar"/>
        </w:rPr>
        <w:t xml:space="preserve">  I --&gt; J[Payout to supplier net of commission + reserve release]</w:t>
      </w:r>
    </w:p>
    <w:p>
      <w:pPr>
        <w:pStyle w:val="FirstParagraph"/>
      </w:pPr>
      <w:r>
        <w:rPr>
          <w:b/>
          <w:bCs/>
        </w:rPr>
        <w:t xml:space="preserve">Dropship India → consumer</w:t>
      </w:r>
    </w:p>
    <w:p>
      <w:pPr>
        <w:pStyle w:val="SourceCode"/>
      </w:pPr>
      <w:r>
        <w:rPr>
          <w:rStyle w:val="VerbatimChar"/>
        </w:rPr>
        <w:t xml:space="preserve">flowchart LR</w:t>
      </w:r>
      <w:r>
        <w:br/>
      </w:r>
      <w:r>
        <w:rPr>
          <w:rStyle w:val="VerbatimChar"/>
        </w:rPr>
        <w:t xml:space="preserve">  A[Consumer order] --&gt; B[Payment captured]</w:t>
      </w:r>
      <w:r>
        <w:br/>
      </w:r>
      <w:r>
        <w:rPr>
          <w:rStyle w:val="VerbatimChar"/>
        </w:rPr>
        <w:t xml:space="preserve">  B --&gt; C[Order routed to supplier]</w:t>
      </w:r>
      <w:r>
        <w:br/>
      </w:r>
      <w:r>
        <w:rPr>
          <w:rStyle w:val="VerbatimChar"/>
        </w:rPr>
        <w:t xml:space="preserve">  C --&gt; D[Parcel export]</w:t>
      </w:r>
      <w:r>
        <w:br/>
      </w:r>
      <w:r>
        <w:rPr>
          <w:rStyle w:val="VerbatimChar"/>
        </w:rPr>
        <w:t xml:space="preserve">  D --&gt; E[Border clearance + VAT handling]</w:t>
      </w:r>
      <w:r>
        <w:br/>
      </w:r>
      <w:r>
        <w:rPr>
          <w:rStyle w:val="VerbatimChar"/>
        </w:rPr>
        <w:t xml:space="preserve">  E --&gt; F[Delivery]</w:t>
      </w:r>
      <w:r>
        <w:br/>
      </w:r>
      <w:r>
        <w:rPr>
          <w:rStyle w:val="VerbatimChar"/>
        </w:rPr>
        <w:t xml:space="preserve">  F --&gt; G[Refund / chargeback]</w:t>
      </w:r>
      <w:r>
        <w:br/>
      </w:r>
      <w:r>
        <w:rPr>
          <w:rStyle w:val="VerbatimChar"/>
        </w:rPr>
        <w:t xml:space="preserve">  G --&gt; H[Dispute workflow pulls from reserves]</w:t>
      </w:r>
    </w:p>
    <w:p>
      <w:pPr>
        <w:pStyle w:val="FirstParagraph"/>
      </w:pPr>
      <w:r>
        <w:rPr>
          <w:b/>
          <w:bCs/>
        </w:rPr>
        <w:t xml:space="preserve">Consignment / in-market</w:t>
      </w:r>
    </w:p>
    <w:p>
      <w:pPr>
        <w:pStyle w:val="SourceCode"/>
      </w:pPr>
      <w:r>
        <w:rPr>
          <w:rStyle w:val="VerbatimChar"/>
        </w:rPr>
        <w:t xml:space="preserve">flowchart LR</w:t>
      </w:r>
      <w:r>
        <w:br/>
      </w:r>
      <w:r>
        <w:rPr>
          <w:rStyle w:val="VerbatimChar"/>
        </w:rPr>
        <w:t xml:space="preserve">  A[Bulk shipment to market hub] --&gt; B[Import clearance]</w:t>
      </w:r>
      <w:r>
        <w:br/>
      </w:r>
      <w:r>
        <w:rPr>
          <w:rStyle w:val="VerbatimChar"/>
        </w:rPr>
        <w:t xml:space="preserve">  B --&gt; C[Consigned stock at 3PL/roaster]</w:t>
      </w:r>
      <w:r>
        <w:br/>
      </w:r>
      <w:r>
        <w:rPr>
          <w:rStyle w:val="VerbatimChar"/>
        </w:rPr>
        <w:t xml:space="preserve">  D[Buyer/consumer order] --&gt; E[Order routing]</w:t>
      </w:r>
      <w:r>
        <w:br/>
      </w:r>
      <w:r>
        <w:rPr>
          <w:rStyle w:val="VerbatimChar"/>
        </w:rPr>
        <w:t xml:space="preserve">  E --&gt; C</w:t>
      </w:r>
      <w:r>
        <w:br/>
      </w:r>
      <w:r>
        <w:rPr>
          <w:rStyle w:val="VerbatimChar"/>
        </w:rPr>
        <w:t xml:space="preserve">  C --&gt; F[Pick/pack/ship]</w:t>
      </w:r>
      <w:r>
        <w:br/>
      </w:r>
      <w:r>
        <w:rPr>
          <w:rStyle w:val="VerbatimChar"/>
        </w:rPr>
        <w:t xml:space="preserve">  F --&gt; G[Delivery]</w:t>
      </w:r>
      <w:r>
        <w:br/>
      </w:r>
      <w:r>
        <w:rPr>
          <w:rStyle w:val="VerbatimChar"/>
        </w:rPr>
        <w:t xml:space="preserve">  E --&gt; H[Settlement]</w:t>
      </w:r>
      <w:r>
        <w:br/>
      </w:r>
      <w:r>
        <w:rPr>
          <w:rStyle w:val="VerbatimChar"/>
        </w:rPr>
        <w:t xml:space="preserve">  H --&gt; I[Periodic payout based on sell-through]</w:t>
      </w:r>
    </w:p>
    <w:bookmarkEnd w:id="46"/>
    <w:bookmarkStart w:id="47" w:name="X305d3a4e7997f294fe3229cc155f5d387e5dd73"/>
    <w:p>
      <w:pPr>
        <w:pStyle w:val="Heading3"/>
      </w:pPr>
      <w:r>
        <w:t xml:space="preserve">Unit economics and profitability mechanics</w:t>
      </w:r>
    </w:p>
    <w:p>
      <w:pPr>
        <w:pStyle w:val="FirstParagraph"/>
      </w:pPr>
      <w:r>
        <w:t xml:space="preserve">Because you asked “how well I profit,” profitability is best expressed as</w:t>
      </w:r>
      <w:r>
        <w:t xml:space="preserve"> </w:t>
      </w:r>
      <w:r>
        <w:rPr>
          <w:b/>
          <w:bCs/>
        </w:rPr>
        <w:t xml:space="preserve">(a) take rate + attachment revenue, minus (b) cost-to-serve and disputes</w:t>
      </w:r>
      <w:r>
        <w:t xml:space="preserve">, and</w:t>
      </w:r>
      <w:r>
        <w:t xml:space="preserve"> </w:t>
      </w:r>
      <w:r>
        <w:rPr>
          <w:b/>
          <w:bCs/>
        </w:rPr>
        <w:t xml:space="preserve">(c) working-capital drag</w:t>
      </w:r>
      <w:r>
        <w:t xml:space="preserve">.</w:t>
      </w:r>
    </w:p>
    <w:p>
      <w:pPr>
        <w:pStyle w:val="BodyText"/>
      </w:pPr>
      <w:r>
        <w:rPr>
          <w:b/>
          <w:bCs/>
        </w:rPr>
        <w:t xml:space="preserve">Marketplace profitability model (B2B)</w:t>
      </w:r>
      <w:r>
        <w:t xml:space="preserve"> </w:t>
      </w:r>
      <w:r>
        <w:t xml:space="preserve">- Revenue per order ≈</w:t>
      </w:r>
      <w:r>
        <w:t xml:space="preserve"> </w:t>
      </w:r>
      <w:r>
        <w:rPr>
          <w:rStyle w:val="VerbatimChar"/>
        </w:rPr>
        <w:t xml:space="preserve">GMV * take_rate + compliance_pack_fee + optional_inspection_fee</w:t>
      </w:r>
      <w:r>
        <w:t xml:space="preserve"> </w:t>
      </w:r>
      <w:r>
        <w:t xml:space="preserve">- Direct costs per order ≈ payment fees + support time + dispute reserve utilization</w:t>
      </w:r>
      <w:r>
        <w:t xml:space="preserve"> </w:t>
      </w:r>
      <w:r>
        <w:t xml:space="preserve">- Gross profit per order ≈ revenue − direct costs (excluding fixed payroll)</w:t>
      </w:r>
    </w:p>
    <w:p>
      <w:pPr>
        <w:pStyle w:val="BodyText"/>
      </w:pPr>
      <w:r>
        <w:rPr>
          <w:i/>
          <w:iCs/>
        </w:rPr>
        <w:t xml:space="preserve">Illustrative</w:t>
      </w:r>
      <w:r>
        <w:t xml:space="preserve"> </w:t>
      </w:r>
      <w:r>
        <w:t xml:space="preserve">scenario (replace with pilot data):</w:t>
      </w:r>
      <w:r>
        <w:t xml:space="preserve"> </w:t>
      </w:r>
      <w:r>
        <w:t xml:space="preserve">- GMV/order: $10,000 (assumption)</w:t>
      </w:r>
      <w:r>
        <w:t xml:space="preserve"> </w:t>
      </w:r>
      <w:r>
        <w:t xml:space="preserve">- Take rate: 6% (assumption)</w:t>
      </w:r>
      <w:r>
        <w:t xml:space="preserve"> </w:t>
      </w:r>
      <w:r>
        <w:t xml:space="preserve">- Platform gross revenue: $600</w:t>
      </w:r>
      <w:r>
        <w:t xml:space="preserve"> </w:t>
      </w:r>
      <w:r>
        <w:t xml:space="preserve">- Direct variable costs: $60–$150 (payments + support, assumption)</w:t>
      </w:r>
      <w:r>
        <w:t xml:space="preserve"> </w:t>
      </w:r>
      <w:r>
        <w:t xml:space="preserve">- Contribution margin/order: $450–$540 before fixed costs</w:t>
      </w:r>
    </w:p>
    <w:p>
      <w:pPr>
        <w:pStyle w:val="BodyText"/>
      </w:pPr>
      <w:r>
        <w:rPr>
          <w:b/>
          <w:bCs/>
        </w:rPr>
        <w:t xml:space="preserve">Dropship profitability model (B2C)</w:t>
      </w:r>
      <w:r>
        <w:t xml:space="preserve"> </w:t>
      </w:r>
      <w:r>
        <w:t xml:space="preserve">- Revenue per order ≈ retail margin − (cross-border shipping + customs/VAT handling friction + refunds)</w:t>
      </w:r>
      <w:r>
        <w:t xml:space="preserve"> </w:t>
      </w:r>
      <w:r>
        <w:t xml:space="preserve">- The model is structurally exposed to EU parcel costs tightening: the EU is abolishing threshold-based customs duty relief under €150 and moving into a new regime staged with broader customs reform, which raises landed costs for low-value direct imports.</w:t>
      </w:r>
      <w:r>
        <w:t xml:space="preserve"> </w:t>
      </w:r>
      <w:hyperlink r:id="rId28">
        <w:r>
          <w:rPr>
            <w:rStyle w:val="Hyperlink"/>
          </w:rPr>
          <w:t xml:space="preserve">[9]</w:t>
        </w:r>
      </w:hyperlink>
    </w:p>
    <w:bookmarkEnd w:id="47"/>
    <w:bookmarkStart w:id="48" w:name="cashflowtiming-chart"/>
    <w:p>
      <w:pPr>
        <w:pStyle w:val="Heading3"/>
      </w:pPr>
      <w:r>
        <w:t xml:space="preserve">Cashflow/timing chart</w:t>
      </w:r>
    </w:p>
    <w:p>
      <w:pPr>
        <w:pStyle w:val="SourceCode"/>
      </w:pPr>
      <w:r>
        <w:rPr>
          <w:rStyle w:val="VerbatimChar"/>
        </w:rPr>
        <w:t xml:space="preserve">xychart-beta</w:t>
      </w:r>
      <w:r>
        <w:br/>
      </w:r>
      <w:r>
        <w:rPr>
          <w:rStyle w:val="VerbatimChar"/>
        </w:rPr>
        <w:t xml:space="preserve">  title "Illustrative net cash timing by model (relative units)"</w:t>
      </w:r>
      <w:r>
        <w:br/>
      </w:r>
      <w:r>
        <w:rPr>
          <w:rStyle w:val="VerbatimChar"/>
        </w:rPr>
        <w:t xml:space="preserve">  x-axis ["Order day","Week 1","Week 2","Week 4","Week 8"]</w:t>
      </w:r>
      <w:r>
        <w:br/>
      </w:r>
      <w:r>
        <w:rPr>
          <w:rStyle w:val="VerbatimChar"/>
        </w:rPr>
        <w:t xml:space="preserve">  y-axis "Relative net cash" -10 --&gt; 10</w:t>
      </w:r>
      <w:r>
        <w:br/>
      </w:r>
      <w:r>
        <w:rPr>
          <w:rStyle w:val="VerbatimChar"/>
        </w:rPr>
        <w:t xml:space="preserve">  line "Marketplace" [3,5,5,4,4]</w:t>
      </w:r>
      <w:r>
        <w:br/>
      </w:r>
      <w:r>
        <w:rPr>
          <w:rStyle w:val="VerbatimChar"/>
        </w:rPr>
        <w:t xml:space="preserve">  line "Dropship" [2,-2,-1,1,0]</w:t>
      </w:r>
      <w:r>
        <w:br/>
      </w:r>
      <w:r>
        <w:rPr>
          <w:rStyle w:val="VerbatimChar"/>
        </w:rPr>
        <w:t xml:space="preserve">  line "Consignment" [-6,-4,-1,2,3]</w:t>
      </w:r>
    </w:p>
    <w:bookmarkEnd w:id="48"/>
    <w:bookmarkEnd w:id="49"/>
    <w:bookmarkStart w:id="60" w:name="X672f80ac8ff0879f07b19431c23d752d206da12"/>
    <w:p>
      <w:pPr>
        <w:pStyle w:val="Heading2"/>
      </w:pPr>
      <w:r>
        <w:t xml:space="preserve">Compliance, quality control, returns, and recall blueprint</w:t>
      </w:r>
    </w:p>
    <w:bookmarkStart w:id="53" w:name="X52ebb2d04a8c83bbb46c631f444d79e963079d1"/>
    <w:p>
      <w:pPr>
        <w:pStyle w:val="Heading3"/>
      </w:pPr>
      <w:r>
        <w:t xml:space="preserve">US requirements: FSVP, Prior Notice, facility registration, import enforcement</w:t>
      </w:r>
    </w:p>
    <w:p>
      <w:pPr>
        <w:pStyle w:val="FirstParagraph"/>
      </w:pPr>
      <w:r>
        <w:rPr>
          <w:b/>
          <w:bCs/>
        </w:rPr>
        <w:t xml:space="preserve">FSVP importer role</w:t>
      </w:r>
      <w:r>
        <w:t xml:space="preserve"> </w:t>
      </w:r>
      <w:r>
        <w:t xml:space="preserve">- FDA states that for FSVP purposes the importer is the</w:t>
      </w:r>
      <w:r>
        <w:t xml:space="preserve"> </w:t>
      </w:r>
      <w:r>
        <w:rPr>
          <w:b/>
          <w:bCs/>
        </w:rPr>
        <w:t xml:space="preserve">U.S. owner or consignee</w:t>
      </w:r>
      <w:r>
        <w:t xml:space="preserve"> </w:t>
      </w:r>
      <w:r>
        <w:t xml:space="preserve">at entry; if none, the importer is a designated U.S. agent/representative confirmed by signed consent.</w:t>
      </w:r>
      <w:r>
        <w:t xml:space="preserve"> </w:t>
      </w:r>
      <w:hyperlink r:id="rId21">
        <w:r>
          <w:rPr>
            <w:rStyle w:val="Hyperlink"/>
          </w:rPr>
          <w:t xml:space="preserve">[25]</w:t>
        </w:r>
      </w:hyperlink>
      <w:r>
        <w:br/>
      </w:r>
      <w:r>
        <w:t xml:space="preserve">Platform consequence: your order object must store the “owner/consignee” reality, not just contract language.</w:t>
      </w:r>
    </w:p>
    <w:p>
      <w:pPr>
        <w:pStyle w:val="BodyText"/>
      </w:pPr>
      <w:r>
        <w:rPr>
          <w:b/>
          <w:bCs/>
        </w:rPr>
        <w:t xml:space="preserve">Prior Notice</w:t>
      </w:r>
      <w:r>
        <w:t xml:space="preserve"> </w:t>
      </w:r>
      <w:r>
        <w:t xml:space="preserve">- FDA states that Prior Notice must be provided for</w:t>
      </w:r>
      <w:r>
        <w:t xml:space="preserve"> </w:t>
      </w:r>
      <w:r>
        <w:rPr>
          <w:b/>
          <w:bCs/>
        </w:rPr>
        <w:t xml:space="preserve">all food for humans and animals that is imported or offered for import into the United States</w:t>
      </w:r>
      <w:r>
        <w:t xml:space="preserve">, and cites 21 CFR Part 1, Subpart I.</w:t>
      </w:r>
      <w:r>
        <w:t xml:space="preserve"> </w:t>
      </w:r>
      <w:hyperlink r:id="rId26">
        <w:r>
          <w:rPr>
            <w:rStyle w:val="Hyperlink"/>
          </w:rPr>
          <w:t xml:space="preserve">[7]</w:t>
        </w:r>
      </w:hyperlink>
      <w:r>
        <w:br/>
      </w:r>
      <w:r>
        <w:t xml:space="preserve">Platform consequence: consumer dropship multiplies prior notice events; bulk shipments reduce event count.</w:t>
      </w:r>
    </w:p>
    <w:p>
      <w:pPr>
        <w:pStyle w:val="BodyText"/>
      </w:pPr>
      <w:r>
        <w:rPr>
          <w:b/>
          <w:bCs/>
        </w:rPr>
        <w:t xml:space="preserve">Food facility registration</w:t>
      </w:r>
      <w:r>
        <w:t xml:space="preserve"> </w:t>
      </w:r>
      <w:r>
        <w:t xml:space="preserve">- 21 CFR §1.225 requires registration for domestic or foreign facilities engaged in manufacturing/processing, packing, or holding food for US consumption unless exempt.</w:t>
      </w:r>
      <w:r>
        <w:t xml:space="preserve"> </w:t>
      </w:r>
      <w:hyperlink r:id="rId50">
        <w:r>
          <w:rPr>
            <w:rStyle w:val="Hyperlink"/>
          </w:rPr>
          <w:t xml:space="preserve">[26]</w:t>
        </w:r>
      </w:hyperlink>
      <w:r>
        <w:br/>
      </w:r>
      <w:r>
        <w:t xml:space="preserve">- FDA emphasizes facility registration and advance notice (prior notice) as part of the US import safety framework.</w:t>
      </w:r>
      <w:r>
        <w:t xml:space="preserve"> </w:t>
      </w:r>
      <w:hyperlink r:id="rId51">
        <w:r>
          <w:rPr>
            <w:rStyle w:val="Hyperlink"/>
          </w:rPr>
          <w:t xml:space="preserve">[27]</w:t>
        </w:r>
      </w:hyperlink>
      <w:r>
        <w:br/>
      </w:r>
      <w:r>
        <w:t xml:space="preserve">Platform consequence: store facility registration identifiers and maintain a compliance checklist for any controlled manufacturing/holding points.</w:t>
      </w:r>
    </w:p>
    <w:p>
      <w:pPr>
        <w:pStyle w:val="BodyText"/>
      </w:pPr>
      <w:r>
        <w:rPr>
          <w:b/>
          <w:bCs/>
        </w:rPr>
        <w:t xml:space="preserve">Import enforcement reality</w:t>
      </w:r>
      <w:r>
        <w:t xml:space="preserve"> </w:t>
      </w:r>
      <w:r>
        <w:t xml:space="preserve">- FDA notes that imported food is subject to inspection at US ports of entry and may be detained if not compliant; imported and domestically produced foods must meet the same legal requirements.</w:t>
      </w:r>
      <w:r>
        <w:t xml:space="preserve"> </w:t>
      </w:r>
      <w:hyperlink r:id="rId52">
        <w:r>
          <w:rPr>
            <w:rStyle w:val="Hyperlink"/>
          </w:rPr>
          <w:t xml:space="preserve">[28]</w:t>
        </w:r>
      </w:hyperlink>
    </w:p>
    <w:bookmarkEnd w:id="53"/>
    <w:bookmarkStart w:id="58" w:name="X6926912a3139b4c8c36ae55c3fd8bf95eb8e1c7"/>
    <w:p>
      <w:pPr>
        <w:pStyle w:val="Heading3"/>
      </w:pPr>
      <w:r>
        <w:t xml:space="preserve">EU requirements: traceability, labeling responsibility, hygiene/HACCP, official controls, EUDR, VAT/IOSS, EORI</w:t>
      </w:r>
    </w:p>
    <w:p>
      <w:pPr>
        <w:pStyle w:val="FirstParagraph"/>
      </w:pPr>
      <w:r>
        <w:rPr>
          <w:b/>
          <w:bCs/>
        </w:rPr>
        <w:t xml:space="preserve">Traceability and recall (Regulation 178/2002)</w:t>
      </w:r>
      <w:r>
        <w:t xml:space="preserve"> </w:t>
      </w:r>
      <w:r>
        <w:t xml:space="preserve">- Article 18 requires traceability systems and procedures and supplier/customer identification across production, processing, and distribution.</w:t>
      </w:r>
      <w:r>
        <w:t xml:space="preserve"> </w:t>
      </w:r>
      <w:hyperlink r:id="rId38">
        <w:r>
          <w:rPr>
            <w:rStyle w:val="Hyperlink"/>
          </w:rPr>
          <w:t xml:space="preserve">[16]</w:t>
        </w:r>
      </w:hyperlink>
      <w:r>
        <w:br/>
      </w:r>
      <w:r>
        <w:t xml:space="preserve">- Article 19 requires operators to withdraw non-compliant food from the market, inform authorities, and, when appropriate, inform consumers and recall products.</w:t>
      </w:r>
      <w:r>
        <w:t xml:space="preserve"> </w:t>
      </w:r>
      <w:hyperlink r:id="rId38">
        <w:r>
          <w:rPr>
            <w:rStyle w:val="Hyperlink"/>
          </w:rPr>
          <w:t xml:space="preserve">[16]</w:t>
        </w:r>
      </w:hyperlink>
      <w:r>
        <w:br/>
      </w:r>
      <w:r>
        <w:t xml:space="preserve">Platform consequence: your lot ledger must implement “one step back / one step forward” plus an incident module (quarantine, notifications, and audit log).</w:t>
      </w:r>
    </w:p>
    <w:p>
      <w:pPr>
        <w:pStyle w:val="BodyText"/>
      </w:pPr>
      <w:r>
        <w:rPr>
          <w:b/>
          <w:bCs/>
        </w:rPr>
        <w:t xml:space="preserve">Labeling responsibility (Regulation 1169/2011)</w:t>
      </w:r>
      <w:r>
        <w:t xml:space="preserve"> </w:t>
      </w:r>
      <w:r>
        <w:t xml:space="preserve">- Article 8 assigns responsibility for food information to the operator under whose name the food is marketed, or if not established in the EU, the importer into the EU market.</w:t>
      </w:r>
      <w:r>
        <w:t xml:space="preserve"> </w:t>
      </w:r>
      <w:hyperlink r:id="rId22">
        <w:r>
          <w:rPr>
            <w:rStyle w:val="Hyperlink"/>
          </w:rPr>
          <w:t xml:space="preserve">[2]</w:t>
        </w:r>
      </w:hyperlink>
      <w:r>
        <w:br/>
      </w:r>
      <w:r>
        <w:t xml:space="preserve">Platform consequence: EU consumer sales are legally expensive unless you have an EU-established responsible operator and controlled labeling workflows.</w:t>
      </w:r>
    </w:p>
    <w:p>
      <w:pPr>
        <w:pStyle w:val="BodyText"/>
      </w:pPr>
      <w:r>
        <w:rPr>
          <w:b/>
          <w:bCs/>
        </w:rPr>
        <w:t xml:space="preserve">Hygiene and HACCP (Regulation 852/2004)</w:t>
      </w:r>
      <w:r>
        <w:t xml:space="preserve"> </w:t>
      </w:r>
      <w:r>
        <w:t xml:space="preserve">- Article 5 requires food business operators to implement and maintain HACCP-based procedures.</w:t>
      </w:r>
      <w:r>
        <w:t xml:space="preserve"> </w:t>
      </w:r>
      <w:hyperlink r:id="rId54">
        <w:r>
          <w:rPr>
            <w:rStyle w:val="Hyperlink"/>
          </w:rPr>
          <w:t xml:space="preserve">[29]</w:t>
        </w:r>
      </w:hyperlink>
      <w:r>
        <w:br/>
      </w:r>
      <w:r>
        <w:t xml:space="preserve">Platform consequence: if you control roasting/packing in-market, your QC SOPs must be documented and auditable.</w:t>
      </w:r>
    </w:p>
    <w:p>
      <w:pPr>
        <w:pStyle w:val="BodyText"/>
      </w:pPr>
      <w:r>
        <w:rPr>
          <w:b/>
          <w:bCs/>
        </w:rPr>
        <w:t xml:space="preserve">Official controls (Regulation 2017/625)</w:t>
      </w:r>
      <w:r>
        <w:t xml:space="preserve"> </w:t>
      </w:r>
      <w:r>
        <w:t xml:space="preserve">- The official controls regulation frames competent authority verification of compliance, including with rules applicable to goods entering the EU.</w:t>
      </w:r>
      <w:r>
        <w:t xml:space="preserve"> </w:t>
      </w:r>
      <w:hyperlink r:id="rId55">
        <w:r>
          <w:rPr>
            <w:rStyle w:val="Hyperlink"/>
          </w:rPr>
          <w:t xml:space="preserve">[30]</w:t>
        </w:r>
      </w:hyperlink>
    </w:p>
    <w:p>
      <w:pPr>
        <w:pStyle w:val="BodyText"/>
      </w:pPr>
      <w:r>
        <w:rPr>
          <w:b/>
          <w:bCs/>
        </w:rPr>
        <w:t xml:space="preserve">EUDR readiness (Regulation 2023/1115)</w:t>
      </w:r>
      <w:r>
        <w:t xml:space="preserve"> </w:t>
      </w:r>
      <w:r>
        <w:t xml:space="preserve">- EUDR due diligence systems are designed to provide access to information about sources and suppliers and include geolocation coordinates of relevant plots of land; coffee is a listed relevant commodity.</w:t>
      </w:r>
      <w:r>
        <w:t xml:space="preserve"> </w:t>
      </w:r>
      <w:hyperlink r:id="rId24">
        <w:r>
          <w:rPr>
            <w:rStyle w:val="Hyperlink"/>
          </w:rPr>
          <w:t xml:space="preserve">[4]</w:t>
        </w:r>
      </w:hyperlink>
      <w:r>
        <w:br/>
      </w:r>
      <w:r>
        <w:t xml:space="preserve">- The European Parliament states the postponement: large operators/traders apply from</w:t>
      </w:r>
      <w:r>
        <w:t xml:space="preserve"> </w:t>
      </w:r>
      <w:r>
        <w:rPr>
          <w:b/>
          <w:bCs/>
        </w:rPr>
        <w:t xml:space="preserve">30 Dec 2026</w:t>
      </w:r>
      <w:r>
        <w:t xml:space="preserve">, small operators from</w:t>
      </w:r>
      <w:r>
        <w:t xml:space="preserve"> </w:t>
      </w:r>
      <w:r>
        <w:rPr>
          <w:b/>
          <w:bCs/>
        </w:rPr>
        <w:t xml:space="preserve">30 Jun 2027</w:t>
      </w:r>
      <w:r>
        <w:t xml:space="preserve">.</w:t>
      </w:r>
      <w:r>
        <w:t xml:space="preserve"> </w:t>
      </w:r>
      <w:hyperlink r:id="rId56">
        <w:r>
          <w:rPr>
            <w:rStyle w:val="Hyperlink"/>
          </w:rPr>
          <w:t xml:space="preserve">[31]</w:t>
        </w:r>
      </w:hyperlink>
      <w:r>
        <w:br/>
      </w:r>
      <w:r>
        <w:t xml:space="preserve">Platform consequence: implement geolocation capture now (even if incomplete), and score readiness; do not wait until you “need it.”</w:t>
      </w:r>
    </w:p>
    <w:p>
      <w:pPr>
        <w:pStyle w:val="BodyText"/>
      </w:pPr>
      <w:r>
        <w:rPr>
          <w:b/>
          <w:bCs/>
        </w:rPr>
        <w:t xml:space="preserve">VAT/IOSS and low-value consignments</w:t>
      </w:r>
      <w:r>
        <w:t xml:space="preserve"> </w:t>
      </w:r>
      <w:r>
        <w:t xml:space="preserve">- The EU VAT OSS site states VAT exemption up to €22 is removed and IOSS simplifies VAT declaration/payment for distance sales of low value goods not exceeding €150.</w:t>
      </w:r>
      <w:r>
        <w:t xml:space="preserve"> </w:t>
      </w:r>
      <w:hyperlink r:id="rId27">
        <w:r>
          <w:rPr>
            <w:rStyle w:val="Hyperlink"/>
          </w:rPr>
          <w:t xml:space="preserve">[32]</w:t>
        </w:r>
      </w:hyperlink>
      <w:r>
        <w:br/>
      </w:r>
      <w:r>
        <w:t xml:space="preserve">- EU low-value consignments guidance describes regimes and thresholds for e-commerce imports and special schemes around €150.</w:t>
      </w:r>
      <w:r>
        <w:t xml:space="preserve"> </w:t>
      </w:r>
      <w:hyperlink r:id="rId57">
        <w:r>
          <w:rPr>
            <w:rStyle w:val="Hyperlink"/>
          </w:rPr>
          <w:t xml:space="preserve">[33]</w:t>
        </w:r>
      </w:hyperlink>
      <w:r>
        <w:br/>
      </w:r>
      <w:r>
        <w:t xml:space="preserve">Platform consequence: EU consumer dropship requires VAT-aware checkout and customs-data readiness per order.</w:t>
      </w:r>
    </w:p>
    <w:p>
      <w:pPr>
        <w:pStyle w:val="BodyText"/>
      </w:pPr>
      <w:r>
        <w:rPr>
          <w:b/>
          <w:bCs/>
        </w:rPr>
        <w:t xml:space="preserve">EORI</w:t>
      </w:r>
      <w:r>
        <w:t xml:space="preserve"> </w:t>
      </w:r>
      <w:r>
        <w:t xml:space="preserve">- The Commission states an EORI number is mandatory for customs clearance in the EU for export/import/transit operations.</w:t>
      </w:r>
      <w:r>
        <w:t xml:space="preserve"> </w:t>
      </w:r>
      <w:hyperlink r:id="rId25">
        <w:r>
          <w:rPr>
            <w:rStyle w:val="Hyperlink"/>
          </w:rPr>
          <w:t xml:space="preserve">[34]</w:t>
        </w:r>
      </w:hyperlink>
    </w:p>
    <w:bookmarkEnd w:id="58"/>
    <w:bookmarkStart w:id="59" w:name="X9b6e19591a672a518cd28e83d844622ce0bb8b5"/>
    <w:p>
      <w:pPr>
        <w:pStyle w:val="Heading3"/>
      </w:pPr>
      <w:r>
        <w:t xml:space="preserve">QC SOPs: sampling, cupping, moisture, COA, and incident handling</w:t>
      </w:r>
    </w:p>
    <w:p>
      <w:pPr>
        <w:pStyle w:val="FirstParagraph"/>
      </w:pPr>
      <w:r>
        <w:rPr>
          <w:b/>
          <w:bCs/>
        </w:rPr>
        <w:t xml:space="preserve">QC requirements should be codified into the lot ledger as gates.</w:t>
      </w:r>
      <w:r>
        <w:t xml:space="preserve"> </w:t>
      </w:r>
      <w:r>
        <w:t xml:space="preserve">Two Coffee Board sources provide particularly actionable anchors:</w:t>
      </w:r>
    </w:p>
    <w:p>
      <w:pPr>
        <w:pStyle w:val="Compact"/>
        <w:numPr>
          <w:ilvl w:val="0"/>
          <w:numId w:val="1003"/>
        </w:numPr>
      </w:pPr>
      <w:r>
        <w:t xml:space="preserve">Coffee Board “Coffee Karma” lists moisture standards by coffee type and notes a ±0.5% tolerance; monsooned coffees have a higher moisture range (13.0–14.5%) than standard plantation/cherry categories.</w:t>
      </w:r>
      <w:r>
        <w:t xml:space="preserve"> </w:t>
      </w:r>
      <w:hyperlink r:id="rId32">
        <w:r>
          <w:rPr>
            <w:rStyle w:val="Hyperlink"/>
          </w:rPr>
          <w:t xml:space="preserve">[13]</w:t>
        </w:r>
      </w:hyperlink>
    </w:p>
    <w:p>
      <w:pPr>
        <w:pStyle w:val="Compact"/>
        <w:numPr>
          <w:ilvl w:val="0"/>
          <w:numId w:val="1003"/>
        </w:numPr>
      </w:pPr>
      <w:r>
        <w:t xml:space="preserve">Coffee Board Coffee Quality and Export Certification Laboratory services include moisture estimation, physical analysis, cup tasting/cupping, and contaminant concerns (mycotoxins, pesticide residues, heavy metal contamination) for export support.</w:t>
      </w:r>
      <w:r>
        <w:t xml:space="preserve"> </w:t>
      </w:r>
      <w:hyperlink r:id="rId36">
        <w:r>
          <w:rPr>
            <w:rStyle w:val="Hyperlink"/>
          </w:rPr>
          <w:t xml:space="preserve">[14]</w:t>
        </w:r>
      </w:hyperlink>
    </w:p>
    <w:p>
      <w:pPr>
        <w:pStyle w:val="FirstParagraph"/>
      </w:pPr>
      <w:r>
        <w:rPr>
          <w:b/>
          <w:bCs/>
        </w:rPr>
        <w:t xml:space="preserve">Minimum QC SOP set (recommended for investor diligence):</w:t>
      </w:r>
      <w:r>
        <w:t xml:space="preserve"> </w:t>
      </w:r>
      <w:r>
        <w:t xml:space="preserve">-</w:t>
      </w:r>
      <w:r>
        <w:t xml:space="preserve"> </w:t>
      </w:r>
      <w:r>
        <w:rPr>
          <w:b/>
          <w:bCs/>
        </w:rPr>
        <w:t xml:space="preserve">Pre-listing verification:</w:t>
      </w:r>
      <w:r>
        <w:t xml:space="preserve"> </w:t>
      </w:r>
      <w:r>
        <w:t xml:space="preserve">first-lot sample required; moisture and cup evaluation logged.</w:t>
      </w:r>
      <w:r>
        <w:t xml:space="preserve"> </w:t>
      </w:r>
      <w:r>
        <w:t xml:space="preserve">-</w:t>
      </w:r>
      <w:r>
        <w:t xml:space="preserve"> </w:t>
      </w:r>
      <w:r>
        <w:rPr>
          <w:b/>
          <w:bCs/>
        </w:rPr>
        <w:t xml:space="preserve">Pre-shipment sampling:</w:t>
      </w:r>
      <w:r>
        <w:t xml:space="preserve"> </w:t>
      </w:r>
      <w:r>
        <w:t xml:space="preserve">sample per lot for new suppliers or material process changes.</w:t>
      </w:r>
      <w:r>
        <w:t xml:space="preserve"> </w:t>
      </w:r>
      <w:r>
        <w:t xml:space="preserve">-</w:t>
      </w:r>
      <w:r>
        <w:t xml:space="preserve"> </w:t>
      </w:r>
      <w:r>
        <w:rPr>
          <w:b/>
          <w:bCs/>
        </w:rPr>
        <w:t xml:space="preserve">Inbound intake QC (if consignment/in-market):</w:t>
      </w:r>
      <w:r>
        <w:t xml:space="preserve"> </w:t>
      </w:r>
      <w:r>
        <w:t xml:space="preserve">moisture check within standard/tolerance; physical and cup analysis; hold-and-release workflow.</w:t>
      </w:r>
      <w:r>
        <w:t xml:space="preserve"> </w:t>
      </w:r>
      <w:r>
        <w:t xml:space="preserve">-</w:t>
      </w:r>
      <w:r>
        <w:t xml:space="preserve"> </w:t>
      </w:r>
      <w:r>
        <w:rPr>
          <w:b/>
          <w:bCs/>
        </w:rPr>
        <w:t xml:space="preserve">COA triggers (risk-based):</w:t>
      </w:r>
      <w:r>
        <w:t xml:space="preserve"> </w:t>
      </w:r>
      <w:r>
        <w:t xml:space="preserve">require COA when buyers request, when exporting to stricter markets, or when risk flags appear; store COAs in document vault (assumption: COA provider depends on market and buyer requirements).</w:t>
      </w:r>
      <w:r>
        <w:t xml:space="preserve"> </w:t>
      </w:r>
      <w:r>
        <w:t xml:space="preserve">-</w:t>
      </w:r>
      <w:r>
        <w:t xml:space="preserve"> </w:t>
      </w:r>
      <w:r>
        <w:rPr>
          <w:b/>
          <w:bCs/>
        </w:rPr>
        <w:t xml:space="preserve">Incident and recall workflow:</w:t>
      </w:r>
      <w:r>
        <w:t xml:space="preserve"> </w:t>
      </w:r>
      <w:r>
        <w:t xml:space="preserve">quarantine lot, notify downstream parties, coordinate withdrawal/recall steps consistent with EU Article 19 duties.</w:t>
      </w:r>
      <w:r>
        <w:t xml:space="preserve"> </w:t>
      </w:r>
      <w:hyperlink r:id="rId38">
        <w:r>
          <w:rPr>
            <w:rStyle w:val="Hyperlink"/>
          </w:rPr>
          <w:t xml:space="preserve">[16]</w:t>
        </w:r>
      </w:hyperlink>
    </w:p>
    <w:bookmarkEnd w:id="59"/>
    <w:bookmarkEnd w:id="60"/>
    <w:bookmarkStart w:id="70" w:name="Xbbb00c096af31efbbcb9c4da3d04bdadc1f2249"/>
    <w:p>
      <w:pPr>
        <w:pStyle w:val="Heading2"/>
      </w:pPr>
      <w:r>
        <w:t xml:space="preserve">Roadmap, team, capital plan, fundraising checklist, and risk mitigation</w:t>
      </w:r>
    </w:p>
    <w:bookmarkStart w:id="61" w:name="X277e7395ac0c9f7330a00a02817fb10198d835d"/>
    <w:p>
      <w:pPr>
        <w:pStyle w:val="Heading3"/>
      </w:pPr>
      <w:r>
        <w:t xml:space="preserve">Recommended capital plan with explicit assumptions</w:t>
      </w:r>
    </w:p>
    <w:p>
      <w:pPr>
        <w:pStyle w:val="FirstParagraph"/>
      </w:pPr>
      <w:r>
        <w:t xml:space="preserve">Assumptions used for the ranges:</w:t>
      </w:r>
      <w:r>
        <w:t xml:space="preserve"> </w:t>
      </w:r>
      <w:r>
        <w:t xml:space="preserve">- Founder builds MVP; limited contractors.</w:t>
      </w:r>
      <w:r>
        <w:t xml:space="preserve"> </w:t>
      </w:r>
      <w:r>
        <w:t xml:space="preserve">- Lean MVP is B2B marketplace only; no inventory; buyer is importer/consignee.</w:t>
      </w:r>
      <w:r>
        <w:t xml:space="preserve"> </w:t>
      </w:r>
      <w:r>
        <w:t xml:space="preserve">- Standard launch includes a small in-market pilot (US) with either consignment or limited inventory to improve QC and UX.</w:t>
      </w:r>
      <w:r>
        <w:t xml:space="preserve"> </w:t>
      </w:r>
      <w:r>
        <w:t xml:space="preserve">- Growth/scale adds EU operational footprint and deeper compliance automation.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What you ship</w:t>
            </w:r>
          </w:p>
        </w:tc>
        <w:tc>
          <w:tcPr/>
          <w:p>
            <w:pPr>
              <w:pStyle w:val="Compact"/>
              <w:jc w:val="right"/>
            </w:pPr>
            <w:r>
              <w:t xml:space="preserve">Recommended capital range (USD)</w:t>
            </w:r>
          </w:p>
        </w:tc>
        <w:tc>
          <w:tcPr/>
          <w:p>
            <w:pPr>
              <w:pStyle w:val="Compact"/>
            </w:pPr>
            <w:r>
              <w:t xml:space="preserve">Key drivers</w:t>
            </w:r>
          </w:p>
        </w:tc>
      </w:tr>
      <w:tr>
        <w:tc>
          <w:tcPr/>
          <w:p>
            <w:pPr>
              <w:pStyle w:val="Compact"/>
            </w:pPr>
            <w:r>
              <w:t xml:space="preserve">Lean MVP</w:t>
            </w:r>
          </w:p>
        </w:tc>
        <w:tc>
          <w:tcPr/>
          <w:p>
            <w:pPr>
              <w:pStyle w:val="Compact"/>
            </w:pPr>
            <w:r>
              <w:t xml:space="preserve">Supplier portal + B2B portal + lot ledger + doc vault + compliance pack + payouts/reserves</w:t>
            </w:r>
          </w:p>
        </w:tc>
        <w:tc>
          <w:tcPr/>
          <w:p>
            <w:pPr>
              <w:pStyle w:val="Compact"/>
              <w:jc w:val="right"/>
            </w:pPr>
            <w:r>
              <w:t xml:space="preserve">$150k–$400k</w:t>
            </w:r>
          </w:p>
        </w:tc>
        <w:tc>
          <w:tcPr/>
          <w:p>
            <w:pPr>
              <w:pStyle w:val="Compact"/>
            </w:pPr>
            <w:r>
              <w:t xml:space="preserve">legal/contracts, minimal compliance consulting, travel/samples, infra costs, small dispute reserve</w:t>
            </w:r>
          </w:p>
        </w:tc>
      </w:tr>
      <w:tr>
        <w:tc>
          <w:tcPr/>
          <w:p>
            <w:pPr>
              <w:pStyle w:val="Compact"/>
            </w:pPr>
            <w:r>
              <w:t xml:space="preserve">Standard launch</w:t>
            </w:r>
          </w:p>
        </w:tc>
        <w:tc>
          <w:tcPr/>
          <w:p>
            <w:pPr>
              <w:pStyle w:val="Compact"/>
            </w:pPr>
            <w:r>
              <w:t xml:space="preserve">Lean MVP + in-market pilot (QC + 3PL + limited inventory/consignment)</w:t>
            </w:r>
          </w:p>
        </w:tc>
        <w:tc>
          <w:tcPr/>
          <w:p>
            <w:pPr>
              <w:pStyle w:val="Compact"/>
              <w:jc w:val="right"/>
            </w:pPr>
            <w:r>
              <w:t xml:space="preserve">$600k–$1.3M</w:t>
            </w:r>
          </w:p>
        </w:tc>
        <w:tc>
          <w:tcPr/>
          <w:p>
            <w:pPr>
              <w:pStyle w:val="Compact"/>
            </w:pPr>
            <w:r>
              <w:t xml:space="preserve">working capital (freight/storage), support/QC staffing, integrations, higher legal/compliance scope</w:t>
            </w:r>
          </w:p>
        </w:tc>
      </w:tr>
      <w:tr>
        <w:tc>
          <w:tcPr/>
          <w:p>
            <w:pPr>
              <w:pStyle w:val="Compact"/>
            </w:pPr>
            <w:r>
              <w:t xml:space="preserve">Growth/scale</w:t>
            </w:r>
          </w:p>
        </w:tc>
        <w:tc>
          <w:tcPr/>
          <w:p>
            <w:pPr>
              <w:pStyle w:val="Compact"/>
            </w:pPr>
            <w:r>
              <w:t xml:space="preserve">US + EU footprint, EUDR automation and geolocation pipeline, stronger sales/ops team</w:t>
            </w:r>
          </w:p>
        </w:tc>
        <w:tc>
          <w:tcPr/>
          <w:p>
            <w:pPr>
              <w:pStyle w:val="Compact"/>
              <w:jc w:val="right"/>
            </w:pPr>
            <w:r>
              <w:t xml:space="preserve">$2.0M–$4.0M</w:t>
            </w:r>
          </w:p>
        </w:tc>
        <w:tc>
          <w:tcPr/>
          <w:p>
            <w:pPr>
              <w:pStyle w:val="Compact"/>
            </w:pPr>
            <w:r>
              <w:t xml:space="preserve">headcount, EU customs/VAT work, larger reserves and working-capital buffer, supplier mapping</w:t>
            </w:r>
          </w:p>
        </w:tc>
      </w:tr>
    </w:tbl>
    <w:bookmarkEnd w:id="61"/>
    <w:bookmarkStart w:id="62" w:name="X6c801f57ceac52011490a9c8f0171f8c4c33c2b"/>
    <w:p>
      <w:pPr>
        <w:pStyle w:val="Heading3"/>
      </w:pPr>
      <w:r>
        <w:t xml:space="preserve">Staffing and budget by role (planning ranges)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When needed</w:t>
            </w:r>
          </w:p>
        </w:tc>
        <w:tc>
          <w:tcPr/>
          <w:p>
            <w:pPr>
              <w:pStyle w:val="Compact"/>
              <w:jc w:val="right"/>
            </w:pPr>
            <w:r>
              <w:t xml:space="preserve">Annual fully loaded (USD, assumption)</w:t>
            </w:r>
          </w:p>
        </w:tc>
        <w:tc>
          <w:tcPr/>
          <w:p>
            <w:pPr>
              <w:pStyle w:val="Compact"/>
            </w:pPr>
            <w:r>
              <w:t xml:space="preserve">Why it matters</w:t>
            </w:r>
          </w:p>
        </w:tc>
      </w:tr>
      <w:tr>
        <w:tc>
          <w:tcPr/>
          <w:p>
            <w:pPr>
              <w:pStyle w:val="Compact"/>
            </w:pPr>
            <w:r>
              <w:t xml:space="preserve">Founder (product/engineering)</w:t>
            </w:r>
          </w:p>
        </w:tc>
        <w:tc>
          <w:tcPr/>
          <w:p>
            <w:pPr>
              <w:pStyle w:val="Compact"/>
            </w:pPr>
            <w:r>
              <w:t xml:space="preserve">Day 1</w:t>
            </w:r>
          </w:p>
        </w:tc>
        <w:tc>
          <w:tcPr/>
          <w:p>
            <w:pPr>
              <w:pStyle w:val="Compact"/>
              <w:jc w:val="right"/>
            </w:pPr>
            <w:r>
              <w:t xml:space="preserve">$0–$180k</w:t>
            </w:r>
          </w:p>
        </w:tc>
        <w:tc>
          <w:tcPr/>
          <w:p>
            <w:pPr>
              <w:pStyle w:val="Compact"/>
            </w:pPr>
            <w:r>
              <w:t xml:space="preserve">MVP speed and product coherence</w:t>
            </w:r>
          </w:p>
        </w:tc>
      </w:tr>
      <w:tr>
        <w:tc>
          <w:tcPr/>
          <w:p>
            <w:pPr>
              <w:pStyle w:val="Compact"/>
            </w:pPr>
            <w:r>
              <w:t xml:space="preserve">Full-stack engineer</w:t>
            </w:r>
          </w:p>
        </w:tc>
        <w:tc>
          <w:tcPr/>
          <w:p>
            <w:pPr>
              <w:pStyle w:val="Compact"/>
            </w:pPr>
            <w:r>
              <w:t xml:space="preserve">Months 3–6</w:t>
            </w:r>
          </w:p>
        </w:tc>
        <w:tc>
          <w:tcPr/>
          <w:p>
            <w:pPr>
              <w:pStyle w:val="Compact"/>
              <w:jc w:val="right"/>
            </w:pPr>
            <w:r>
              <w:t xml:space="preserve">$140k–$220k</w:t>
            </w:r>
          </w:p>
        </w:tc>
        <w:tc>
          <w:tcPr/>
          <w:p>
            <w:pPr>
              <w:pStyle w:val="Compact"/>
            </w:pPr>
            <w:r>
              <w:t xml:space="preserve">portals + routing + payments</w:t>
            </w:r>
          </w:p>
        </w:tc>
      </w:tr>
      <w:tr>
        <w:tc>
          <w:tcPr/>
          <w:p>
            <w:pPr>
              <w:pStyle w:val="Compact"/>
            </w:pPr>
            <w:r>
              <w:t xml:space="preserve">Ops &amp; compliance lead</w:t>
            </w:r>
          </w:p>
        </w:tc>
        <w:tc>
          <w:tcPr/>
          <w:p>
            <w:pPr>
              <w:pStyle w:val="Compact"/>
            </w:pPr>
            <w:r>
              <w:t xml:space="preserve">Months 3–6</w:t>
            </w:r>
          </w:p>
        </w:tc>
        <w:tc>
          <w:tcPr/>
          <w:p>
            <w:pPr>
              <w:pStyle w:val="Compact"/>
              <w:jc w:val="right"/>
            </w:pPr>
            <w:r>
              <w:t xml:space="preserve">$120k–$200k</w:t>
            </w:r>
          </w:p>
        </w:tc>
        <w:tc>
          <w:tcPr/>
          <w:p>
            <w:pPr>
              <w:pStyle w:val="Compact"/>
            </w:pPr>
            <w:r>
              <w:t xml:space="preserve">document workflows, disputes, compliance packs</w:t>
            </w:r>
          </w:p>
        </w:tc>
      </w:tr>
      <w:tr>
        <w:tc>
          <w:tcPr/>
          <w:p>
            <w:pPr>
              <w:pStyle w:val="Compact"/>
            </w:pPr>
            <w:r>
              <w:t xml:space="preserve">B2B sales lead</w:t>
            </w:r>
          </w:p>
        </w:tc>
        <w:tc>
          <w:tcPr/>
          <w:p>
            <w:pPr>
              <w:pStyle w:val="Compact"/>
            </w:pPr>
            <w:r>
              <w:t xml:space="preserve">Months 4–8</w:t>
            </w:r>
          </w:p>
        </w:tc>
        <w:tc>
          <w:tcPr/>
          <w:p>
            <w:pPr>
              <w:pStyle w:val="Compact"/>
              <w:jc w:val="right"/>
            </w:pPr>
            <w:r>
              <w:t xml:space="preserve">$120k–$220k</w:t>
            </w:r>
          </w:p>
        </w:tc>
        <w:tc>
          <w:tcPr/>
          <w:p>
            <w:pPr>
              <w:pStyle w:val="Compact"/>
            </w:pPr>
            <w:r>
              <w:t xml:space="preserve">LOIs → pilots → repeat GMV</w:t>
            </w:r>
          </w:p>
        </w:tc>
      </w:tr>
      <w:tr>
        <w:tc>
          <w:tcPr/>
          <w:p>
            <w:pPr>
              <w:pStyle w:val="Compact"/>
            </w:pPr>
            <w:r>
              <w:t xml:space="preserve">Data/ML engineer</w:t>
            </w:r>
          </w:p>
        </w:tc>
        <w:tc>
          <w:tcPr/>
          <w:p>
            <w:pPr>
              <w:pStyle w:val="Compact"/>
            </w:pPr>
            <w:r>
              <w:t xml:space="preserve">Months 6–12</w:t>
            </w:r>
          </w:p>
        </w:tc>
        <w:tc>
          <w:tcPr/>
          <w:p>
            <w:pPr>
              <w:pStyle w:val="Compact"/>
              <w:jc w:val="right"/>
            </w:pPr>
            <w:r>
              <w:t xml:space="preserve">$160k–$260k</w:t>
            </w:r>
          </w:p>
        </w:tc>
        <w:tc>
          <w:tcPr/>
          <w:p>
            <w:pPr>
              <w:pStyle w:val="Compact"/>
            </w:pPr>
            <w:r>
              <w:t xml:space="preserve">matching, doc intelligence, readiness scoring</w:t>
            </w:r>
          </w:p>
        </w:tc>
      </w:tr>
      <w:tr>
        <w:tc>
          <w:tcPr/>
          <w:p>
            <w:pPr>
              <w:pStyle w:val="Compact"/>
            </w:pPr>
            <w:r>
              <w:t xml:space="preserve">QA/coffee quality specialist</w:t>
            </w:r>
          </w:p>
        </w:tc>
        <w:tc>
          <w:tcPr/>
          <w:p>
            <w:pPr>
              <w:pStyle w:val="Compact"/>
            </w:pPr>
            <w:r>
              <w:t xml:space="preserve">Months 6–12</w:t>
            </w:r>
          </w:p>
        </w:tc>
        <w:tc>
          <w:tcPr/>
          <w:p>
            <w:pPr>
              <w:pStyle w:val="Compact"/>
              <w:jc w:val="right"/>
            </w:pPr>
            <w:r>
              <w:t xml:space="preserve">$90k–$160k</w:t>
            </w:r>
          </w:p>
        </w:tc>
        <w:tc>
          <w:tcPr/>
          <w:p>
            <w:pPr>
              <w:pStyle w:val="Compact"/>
            </w:pPr>
            <w:r>
              <w:t xml:space="preserve">codifies moisture/spec gates and intake SOPs</w:t>
            </w:r>
          </w:p>
        </w:tc>
      </w:tr>
    </w:tbl>
    <w:bookmarkEnd w:id="62"/>
    <w:bookmarkStart w:id="63" w:name="X63cbc6dae5e3c1edccc6878ff6cb50bad3fecf6"/>
    <w:p>
      <w:pPr>
        <w:pStyle w:val="Heading3"/>
      </w:pPr>
      <w:r>
        <w:t xml:space="preserve">12‑month roadmap with milestones and funding tranches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 window</w:t>
            </w:r>
          </w:p>
        </w:tc>
        <w:tc>
          <w:tcPr/>
          <w:p>
            <w:pPr>
              <w:pStyle w:val="Compact"/>
            </w:pPr>
            <w:r>
              <w:t xml:space="preserve">Product milestones</w:t>
            </w:r>
          </w:p>
        </w:tc>
        <w:tc>
          <w:tcPr/>
          <w:p>
            <w:pPr>
              <w:pStyle w:val="Compact"/>
            </w:pPr>
            <w:r>
              <w:t xml:space="preserve">Commercial / ops milestones</w:t>
            </w:r>
          </w:p>
        </w:tc>
        <w:tc>
          <w:tcPr/>
          <w:p>
            <w:pPr>
              <w:pStyle w:val="Compact"/>
            </w:pPr>
            <w:r>
              <w:t xml:space="preserve">Funding tranche logic</w:t>
            </w:r>
          </w:p>
        </w:tc>
      </w:tr>
      <w:tr>
        <w:tc>
          <w:tcPr/>
          <w:p>
            <w:pPr>
              <w:pStyle w:val="Compact"/>
            </w:pPr>
            <w:r>
              <w:t xml:space="preserve">Months 1–3</w:t>
            </w:r>
          </w:p>
        </w:tc>
        <w:tc>
          <w:tcPr/>
          <w:p>
            <w:pPr>
              <w:pStyle w:val="Compact"/>
            </w:pPr>
            <w:r>
              <w:t xml:space="preserve">MVP portals + lot ledger v1 + doc vault; commission rules</w:t>
            </w:r>
          </w:p>
        </w:tc>
        <w:tc>
          <w:tcPr/>
          <w:p>
            <w:pPr>
              <w:pStyle w:val="Compact"/>
            </w:pPr>
            <w:r>
              <w:t xml:space="preserve">Onboard 10–20 suppliers; create standardized doc templates tied to Coffee Board process</w:t>
            </w:r>
          </w:p>
        </w:tc>
        <w:tc>
          <w:tcPr/>
          <w:p>
            <w:pPr>
              <w:pStyle w:val="Compact"/>
            </w:pPr>
            <w:r>
              <w:t xml:space="preserve">Bootstrap/angel; prove “verified supply graph”</w:t>
            </w:r>
            <w:r>
              <w:t xml:space="preserve"> </w:t>
            </w:r>
            <w:hyperlink r:id="rId23">
              <w:r>
                <w:rPr>
                  <w:rStyle w:val="Hyperlink"/>
                </w:rPr>
                <w:t xml:space="preserve">[35]</w:t>
              </w:r>
            </w:hyperlink>
          </w:p>
        </w:tc>
      </w:tr>
      <w:tr>
        <w:tc>
          <w:tcPr/>
          <w:p>
            <w:pPr>
              <w:pStyle w:val="Compact"/>
            </w:pPr>
            <w:r>
              <w:t xml:space="preserve">Months 4–6</w:t>
            </w:r>
          </w:p>
        </w:tc>
        <w:tc>
          <w:tcPr/>
          <w:p>
            <w:pPr>
              <w:pStyle w:val="Compact"/>
            </w:pPr>
            <w:r>
              <w:t xml:space="preserve">Order routing + payouts/reserves + compliance pack v1</w:t>
            </w:r>
          </w:p>
        </w:tc>
        <w:tc>
          <w:tcPr/>
          <w:p>
            <w:pPr>
              <w:pStyle w:val="Compact"/>
            </w:pPr>
            <w:r>
              <w:t xml:space="preserve">Execute paid B2B pilots; measure dispute rate and doc completeness</w:t>
            </w:r>
          </w:p>
        </w:tc>
        <w:tc>
          <w:tcPr/>
          <w:p>
            <w:pPr>
              <w:pStyle w:val="Compact"/>
            </w:pPr>
            <w:r>
              <w:t xml:space="preserve">Pre-seed: show paid GMV + repeat buyers</w:t>
            </w:r>
          </w:p>
        </w:tc>
      </w:tr>
      <w:tr>
        <w:tc>
          <w:tcPr/>
          <w:p>
            <w:pPr>
              <w:pStyle w:val="Compact"/>
            </w:pPr>
            <w:r>
              <w:t xml:space="preserve">Months 7–9</w:t>
            </w:r>
          </w:p>
        </w:tc>
        <w:tc>
          <w:tcPr/>
          <w:p>
            <w:pPr>
              <w:pStyle w:val="Compact"/>
            </w:pPr>
            <w:r>
              <w:t xml:space="preserve">AI matching v1; doc intelligence v1; EUDR fields in schema</w:t>
            </w:r>
          </w:p>
        </w:tc>
        <w:tc>
          <w:tcPr/>
          <w:p>
            <w:pPr>
              <w:pStyle w:val="Compact"/>
            </w:pPr>
            <w:r>
              <w:t xml:space="preserve">Expand buyer base; begin geolocation capture pilot</w:t>
            </w:r>
          </w:p>
        </w:tc>
        <w:tc>
          <w:tcPr/>
          <w:p>
            <w:pPr>
              <w:pStyle w:val="Compact"/>
            </w:pPr>
            <w:r>
              <w:t xml:space="preserve">Bridge/extension if adding integrations and QC overhead</w:t>
            </w:r>
            <w:r>
              <w:t xml:space="preserve"> </w:t>
            </w:r>
            <w:hyperlink r:id="rId24">
              <w:r>
                <w:rPr>
                  <w:rStyle w:val="Hyperlink"/>
                </w:rPr>
                <w:t xml:space="preserve">[36]</w:t>
              </w:r>
            </w:hyperlink>
          </w:p>
        </w:tc>
      </w:tr>
      <w:tr>
        <w:tc>
          <w:tcPr/>
          <w:p>
            <w:pPr>
              <w:pStyle w:val="Compact"/>
            </w:pPr>
            <w:r>
              <w:t xml:space="preserve">Months 10–12</w:t>
            </w:r>
          </w:p>
        </w:tc>
        <w:tc>
          <w:tcPr/>
          <w:p>
            <w:pPr>
              <w:pStyle w:val="Compact"/>
            </w:pPr>
            <w:r>
              <w:t xml:space="preserve">Consignment/in-market pilot module; incident/recall workflow</w:t>
            </w:r>
          </w:p>
        </w:tc>
        <w:tc>
          <w:tcPr/>
          <w:p>
            <w:pPr>
              <w:pStyle w:val="Compact"/>
            </w:pPr>
            <w:r>
              <w:t xml:space="preserve">Improve on-time delivery; reduce claim rate; quantify unit economics</w:t>
            </w:r>
          </w:p>
        </w:tc>
        <w:tc>
          <w:tcPr/>
          <w:p>
            <w:pPr>
              <w:pStyle w:val="Compact"/>
            </w:pPr>
            <w:r>
              <w:t xml:space="preserve">Seed: scale GTM + ops; position EUDR readiness and EU parcel economics as tailwinds for B2B-first approach</w:t>
            </w:r>
            <w:r>
              <w:t xml:space="preserve"> </w:t>
            </w:r>
            <w:hyperlink r:id="rId28">
              <w:r>
                <w:rPr>
                  <w:rStyle w:val="Hyperlink"/>
                </w:rPr>
                <w:t xml:space="preserve">[37]</w:t>
              </w:r>
            </w:hyperlink>
          </w:p>
        </w:tc>
      </w:tr>
    </w:tbl>
    <w:bookmarkEnd w:id="63"/>
    <w:bookmarkStart w:id="66" w:name="X3f7d689862f2ecc7785ec9e5a27da965501f1a8"/>
    <w:p>
      <w:pPr>
        <w:pStyle w:val="Heading3"/>
      </w:pPr>
      <w:r>
        <w:t xml:space="preserve">Supplier incentives and onboarding playbook</w:t>
      </w:r>
    </w:p>
    <w:p>
      <w:pPr>
        <w:pStyle w:val="FirstParagraph"/>
      </w:pPr>
      <w:r>
        <w:t xml:space="preserve">Supplier incentives must reflect what exporters already do and what buyers need:</w:t>
      </w:r>
      <w:r>
        <w:t xml:space="preserve"> </w:t>
      </w:r>
      <w:r>
        <w:t xml:space="preserve">- A faster path to orders through standardized listings and verified documentation aligned with the export permit / certificate of origin workflow.</w:t>
      </w:r>
      <w:r>
        <w:t xml:space="preserve"> </w:t>
      </w:r>
      <w:hyperlink r:id="rId23">
        <w:r>
          <w:rPr>
            <w:rStyle w:val="Hyperlink"/>
          </w:rPr>
          <w:t xml:space="preserve">[10]</w:t>
        </w:r>
      </w:hyperlink>
      <w:r>
        <w:br/>
      </w:r>
      <w:r>
        <w:t xml:space="preserve">- A “compliance premium”: suppliers who provide richer traceability and INDICOFS-style mapping data get higher ranking and more buyer trust; INDICOFS includes farm mapping/geocoordinates and “polygon if exporting to EU.”</w:t>
      </w:r>
      <w:r>
        <w:t xml:space="preserve"> </w:t>
      </w:r>
      <w:hyperlink r:id="rId64">
        <w:r>
          <w:rPr>
            <w:rStyle w:val="Hyperlink"/>
          </w:rPr>
          <w:t xml:space="preserve">[38]</w:t>
        </w:r>
      </w:hyperlink>
    </w:p>
    <w:p>
      <w:pPr>
        <w:pStyle w:val="BodyText"/>
      </w:pPr>
      <w:r>
        <w:rPr>
          <w:b/>
          <w:bCs/>
        </w:rPr>
        <w:t xml:space="preserve">Supplier onboarding playbook (minimum viable):</w:t>
      </w:r>
      <w:r>
        <w:t xml:space="preserve"> </w:t>
      </w:r>
      <w:r>
        <w:t xml:space="preserve">1. Source export-capable suppliers from Coffee Board exporter databases and validate current contacts.</w:t>
      </w:r>
      <w:r>
        <w:t xml:space="preserve"> </w:t>
      </w:r>
      <w:hyperlink r:id="rId65">
        <w:r>
          <w:rPr>
            <w:rStyle w:val="Hyperlink"/>
          </w:rPr>
          <w:t xml:space="preserve">[39]</w:t>
        </w:r>
      </w:hyperlink>
      <w:r>
        <w:br/>
      </w:r>
      <w:r>
        <w:t xml:space="preserve">2. Require minimum lot data + minimum doc readiness to list.</w:t>
      </w:r>
      <w:r>
        <w:br/>
      </w:r>
      <w:r>
        <w:t xml:space="preserve">3. Run “first shipment success” support: assisted doc pack completion and milestone tracking.</w:t>
      </w:r>
      <w:r>
        <w:br/>
      </w:r>
      <w:r>
        <w:t xml:space="preserve">4. Introduce readiness tiers: “Listed” → “Verified docs” → “Traceability/EUDR-ready.”</w:t>
      </w:r>
      <w:r>
        <w:t xml:space="preserve"> </w:t>
      </w:r>
      <w:hyperlink r:id="rId24">
        <w:r>
          <w:rPr>
            <w:rStyle w:val="Hyperlink"/>
          </w:rPr>
          <w:t xml:space="preserve">[17]</w:t>
        </w:r>
      </w:hyperlink>
    </w:p>
    <w:p>
      <w:pPr>
        <w:pStyle w:val="BodyText"/>
      </w:pPr>
      <w:r>
        <w:rPr>
          <w:b/>
          <w:bCs/>
        </w:rPr>
        <w:t xml:space="preserve">Sample Coffee Board directory-based supplier starter set (illustrative):</w:t>
      </w:r>
      <w:r>
        <w:t xml:space="preserve"> </w:t>
      </w:r>
      <w:hyperlink r:id="rId65">
        <w:r>
          <w:rPr>
            <w:rStyle w:val="Hyperlink"/>
          </w:rPr>
          <w:t xml:space="preserve">[40]</w:t>
        </w:r>
      </w:hyperlink>
      <w:r>
        <w:br/>
      </w:r>
      <w:r>
        <w:rPr>
          <w:i/>
          <w:iCs/>
        </w:rPr>
        <w:t xml:space="preserve">(These are examples from a Coffee Board exporters list; you’d re-validate freshness and capabilities before outreach.)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Exporter (example)</w:t>
            </w:r>
          </w:p>
        </w:tc>
        <w:tc>
          <w:tcPr/>
          <w:p>
            <w:pPr>
              <w:pStyle w:val="Compact"/>
            </w:pPr>
            <w:r>
              <w:t xml:space="preserve">Notes for platform onboarding</w:t>
            </w:r>
          </w:p>
        </w:tc>
      </w:tr>
      <w:tr>
        <w:tc>
          <w:tcPr/>
          <w:p>
            <w:pPr>
              <w:pStyle w:val="Compact"/>
            </w:pPr>
            <w:r>
              <w:t xml:space="preserve">NKG Jayanti Coffee Pvt. Ltd.</w:t>
            </w:r>
            <w:hyperlink r:id="rId23">
              <w:r>
                <w:rPr>
                  <w:rStyle w:val="Hyperlink"/>
                </w:rPr>
                <w:t xml:space="preserve">[41]</w:t>
              </w:r>
            </w:hyperlink>
          </w:p>
        </w:tc>
        <w:tc>
          <w:tcPr/>
          <w:p>
            <w:pPr>
              <w:pStyle w:val="Compact"/>
            </w:pPr>
            <w:r>
              <w:t xml:space="preserve">Large exporter; good for early scale; validate lot-level granularity</w:t>
            </w:r>
          </w:p>
        </w:tc>
      </w:tr>
      <w:tr>
        <w:tc>
          <w:tcPr/>
          <w:p>
            <w:pPr>
              <w:pStyle w:val="Compact"/>
            </w:pPr>
            <w:r>
              <w:t xml:space="preserve">Allanasons Limited</w:t>
            </w:r>
            <w:hyperlink r:id="rId24">
              <w:r>
                <w:rPr>
                  <w:rStyle w:val="Hyperlink"/>
                </w:rPr>
                <w:t xml:space="preserve">[42]</w:t>
              </w:r>
            </w:hyperlink>
          </w:p>
        </w:tc>
        <w:tc>
          <w:tcPr/>
          <w:p>
            <w:pPr>
              <w:pStyle w:val="Compact"/>
            </w:pPr>
            <w:r>
              <w:t xml:space="preserve">Validate specialty lot traceability support</w:t>
            </w:r>
          </w:p>
        </w:tc>
      </w:tr>
      <w:tr>
        <w:tc>
          <w:tcPr/>
          <w:p>
            <w:pPr>
              <w:pStyle w:val="Compact"/>
            </w:pPr>
            <w:r>
              <w:t xml:space="preserve">ITC Limited</w:t>
            </w:r>
            <w:hyperlink r:id="rId21">
              <w:r>
                <w:rPr>
                  <w:rStyle w:val="Hyperlink"/>
                </w:rPr>
                <w:t xml:space="preserve">[43]</w:t>
              </w:r>
            </w:hyperlink>
          </w:p>
        </w:tc>
        <w:tc>
          <w:tcPr/>
          <w:p>
            <w:pPr>
              <w:pStyle w:val="Compact"/>
            </w:pPr>
            <w:r>
              <w:t xml:space="preserve">Validate whether direct small-lot programs are available</w:t>
            </w:r>
          </w:p>
        </w:tc>
      </w:tr>
      <w:tr>
        <w:tc>
          <w:tcPr/>
          <w:p>
            <w:pPr>
              <w:pStyle w:val="Compact"/>
            </w:pPr>
            <w:r>
              <w:t xml:space="preserve">ECOM Gill Coffee Trading Pvt. Ltd.</w:t>
            </w:r>
            <w:hyperlink r:id="rId26">
              <w:r>
                <w:rPr>
                  <w:rStyle w:val="Hyperlink"/>
                </w:rPr>
                <w:t xml:space="preserve">[44]</w:t>
              </w:r>
            </w:hyperlink>
          </w:p>
        </w:tc>
        <w:tc>
          <w:tcPr/>
          <w:p>
            <w:pPr>
              <w:pStyle w:val="Compact"/>
            </w:pPr>
            <w:r>
              <w:t xml:space="preserve">Validate documentation and QC programs</w:t>
            </w:r>
          </w:p>
        </w:tc>
      </w:tr>
      <w:tr>
        <w:tc>
          <w:tcPr/>
          <w:p>
            <w:pPr>
              <w:pStyle w:val="Compact"/>
            </w:pPr>
            <w:r>
              <w:t xml:space="preserve">Beeville Exports India Private Limited</w:t>
            </w:r>
            <w:hyperlink r:id="rId39">
              <w:r>
                <w:rPr>
                  <w:rStyle w:val="Hyperlink"/>
                </w:rPr>
                <w:t xml:space="preserve">[45]</w:t>
              </w:r>
            </w:hyperlink>
          </w:p>
        </w:tc>
        <w:tc>
          <w:tcPr/>
          <w:p>
            <w:pPr>
              <w:pStyle w:val="Compact"/>
            </w:pPr>
            <w:r>
              <w:t xml:space="preserve">Validate MOQs and lead times appropriate for pilots</w:t>
            </w:r>
          </w:p>
        </w:tc>
      </w:tr>
    </w:tbl>
    <w:bookmarkEnd w:id="66"/>
    <w:bookmarkStart w:id="67" w:name="Xb6876675862945c40abdc5e1768b5ab315e77eb"/>
    <w:p>
      <w:pPr>
        <w:pStyle w:val="Heading3"/>
      </w:pPr>
      <w:r>
        <w:t xml:space="preserve">Sample contract clause table (non-legal drafting concepts)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Clause</w:t>
            </w:r>
          </w:p>
        </w:tc>
        <w:tc>
          <w:tcPr/>
          <w:p>
            <w:pPr>
              <w:pStyle w:val="Compact"/>
            </w:pPr>
            <w:r>
              <w:t xml:space="preserve">What to include</w:t>
            </w:r>
          </w:p>
        </w:tc>
        <w:tc>
          <w:tcPr/>
          <w:p>
            <w:pPr>
              <w:pStyle w:val="Compact"/>
            </w:pPr>
            <w:r>
              <w:t xml:space="preserve">Why it matters</w:t>
            </w:r>
          </w:p>
        </w:tc>
      </w:tr>
      <w:tr>
        <w:tc>
          <w:tcPr/>
          <w:p>
            <w:pPr>
              <w:pStyle w:val="Compact"/>
            </w:pPr>
            <w:r>
              <w:t xml:space="preserve">Title transfer / role allocation</w:t>
            </w:r>
          </w:p>
        </w:tc>
        <w:tc>
          <w:tcPr/>
          <w:p>
            <w:pPr>
              <w:pStyle w:val="Compact"/>
            </w:pPr>
            <w:r>
              <w:t xml:space="preserve">Platform is agent; supplier sells to buyer; platform never takes title; consignee/importer explicitly identified</w:t>
            </w:r>
          </w:p>
        </w:tc>
        <w:tc>
          <w:tcPr/>
          <w:p>
            <w:pPr>
              <w:pStyle w:val="Compact"/>
            </w:pPr>
            <w:r>
              <w:t xml:space="preserve">Prevents you from becoming U.S. owner/consignee (FSVP importer) by accident.</w:t>
            </w:r>
            <w:r>
              <w:t xml:space="preserve"> </w:t>
            </w:r>
            <w:hyperlink r:id="rId21">
              <w:r>
                <w:rPr>
                  <w:rStyle w:val="Hyperlink"/>
                </w:rPr>
                <w:t xml:space="preserve">[23]</w:t>
              </w:r>
            </w:hyperlink>
          </w:p>
        </w:tc>
      </w:tr>
      <w:tr>
        <w:tc>
          <w:tcPr/>
          <w:p>
            <w:pPr>
              <w:pStyle w:val="Compact"/>
            </w:pPr>
            <w:r>
              <w:t xml:space="preserve">Documentation covenant</w:t>
            </w:r>
          </w:p>
        </w:tc>
        <w:tc>
          <w:tcPr/>
          <w:p>
            <w:pPr>
              <w:pStyle w:val="Compact"/>
            </w:pPr>
            <w:r>
              <w:t xml:space="preserve">Supplier must provide permit/COO and post-shipment docs within defined windows</w:t>
            </w:r>
          </w:p>
        </w:tc>
        <w:tc>
          <w:tcPr/>
          <w:p>
            <w:pPr>
              <w:pStyle w:val="Compact"/>
            </w:pPr>
            <w:r>
              <w:t xml:space="preserve">Coffee Board requires post-shipment documents within 45 days.</w:t>
            </w:r>
            <w:r>
              <w:t xml:space="preserve"> </w:t>
            </w:r>
            <w:hyperlink r:id="rId23">
              <w:r>
                <w:rPr>
                  <w:rStyle w:val="Hyperlink"/>
                </w:rPr>
                <w:t xml:space="preserve">[3]</w:t>
              </w:r>
            </w:hyperlink>
          </w:p>
        </w:tc>
      </w:tr>
      <w:tr>
        <w:tc>
          <w:tcPr/>
          <w:p>
            <w:pPr>
              <w:pStyle w:val="Compact"/>
            </w:pPr>
            <w:r>
              <w:t xml:space="preserve">MOQ / availability</w:t>
            </w:r>
          </w:p>
        </w:tc>
        <w:tc>
          <w:tcPr/>
          <w:p>
            <w:pPr>
              <w:pStyle w:val="Compact"/>
            </w:pPr>
            <w:r>
              <w:t xml:space="preserve">Binding MOQ and availability windows; penalties for non-performance; substitution approvals</w:t>
            </w:r>
          </w:p>
        </w:tc>
        <w:tc>
          <w:tcPr/>
          <w:p>
            <w:pPr>
              <w:pStyle w:val="Compact"/>
            </w:pPr>
            <w:r>
              <w:t xml:space="preserve">Reduces buyer churn and improves prediction accuracy</w:t>
            </w:r>
          </w:p>
        </w:tc>
      </w:tr>
      <w:tr>
        <w:tc>
          <w:tcPr/>
          <w:p>
            <w:pPr>
              <w:pStyle w:val="Compact"/>
            </w:pPr>
            <w:r>
              <w:t xml:space="preserve">Payment terms + reserves</w:t>
            </w:r>
          </w:p>
        </w:tc>
        <w:tc>
          <w:tcPr/>
          <w:p>
            <w:pPr>
              <w:pStyle w:val="Compact"/>
            </w:pPr>
            <w:r>
              <w:t xml:space="preserve">Payout schedule; reserve hold for disputes/chargebacks; settlement triggers</w:t>
            </w:r>
          </w:p>
        </w:tc>
        <w:tc>
          <w:tcPr/>
          <w:p>
            <w:pPr>
              <w:pStyle w:val="Compact"/>
            </w:pPr>
            <w:r>
              <w:t xml:space="preserve">Protects platform liquidity during early-stage variance</w:t>
            </w:r>
          </w:p>
        </w:tc>
      </w:tr>
      <w:tr>
        <w:tc>
          <w:tcPr/>
          <w:p>
            <w:pPr>
              <w:pStyle w:val="Compact"/>
            </w:pPr>
            <w:r>
              <w:t xml:space="preserve">Traceability + data rights</w:t>
            </w:r>
          </w:p>
        </w:tc>
        <w:tc>
          <w:tcPr/>
          <w:p>
            <w:pPr>
              <w:pStyle w:val="Compact"/>
            </w:pPr>
            <w:r>
              <w:t xml:space="preserve">License to use lot/traceability data for compliance packs and analytics; confidentiality boundaries</w:t>
            </w:r>
          </w:p>
        </w:tc>
        <w:tc>
          <w:tcPr/>
          <w:p>
            <w:pPr>
              <w:pStyle w:val="Compact"/>
            </w:pPr>
            <w:r>
              <w:t xml:space="preserve">EU traceability requires systems/procedures; EUDR requires source/supplier and geolocation information.</w:t>
            </w:r>
            <w:r>
              <w:t xml:space="preserve"> </w:t>
            </w:r>
            <w:hyperlink r:id="rId38">
              <w:r>
                <w:rPr>
                  <w:rStyle w:val="Hyperlink"/>
                </w:rPr>
                <w:t xml:space="preserve">[46]</w:t>
              </w:r>
            </w:hyperlink>
          </w:p>
        </w:tc>
      </w:tr>
      <w:tr>
        <w:tc>
          <w:tcPr/>
          <w:p>
            <w:pPr>
              <w:pStyle w:val="Compact"/>
            </w:pPr>
            <w:r>
              <w:t xml:space="preserve">Recall cooperation</w:t>
            </w:r>
          </w:p>
        </w:tc>
        <w:tc>
          <w:tcPr/>
          <w:p>
            <w:pPr>
              <w:pStyle w:val="Compact"/>
            </w:pPr>
            <w:r>
              <w:t xml:space="preserve">Mandatory cooperation in incident investigations and withdrawal/recall execution</w:t>
            </w:r>
          </w:p>
        </w:tc>
        <w:tc>
          <w:tcPr/>
          <w:p>
            <w:pPr>
              <w:pStyle w:val="Compact"/>
            </w:pPr>
            <w:r>
              <w:t xml:space="preserve">EU Article 19 requires withdrawal/recall actions and coordination.</w:t>
            </w:r>
            <w:r>
              <w:t xml:space="preserve"> </w:t>
            </w:r>
            <w:hyperlink r:id="rId38">
              <w:r>
                <w:rPr>
                  <w:rStyle w:val="Hyperlink"/>
                </w:rPr>
                <w:t xml:space="preserve">[16]</w:t>
              </w:r>
            </w:hyperlink>
          </w:p>
        </w:tc>
      </w:tr>
    </w:tbl>
    <w:bookmarkEnd w:id="67"/>
    <w:bookmarkStart w:id="68" w:name="X44055baa55e4e9c3b59e857ac1ba862672c11aa"/>
    <w:p>
      <w:pPr>
        <w:pStyle w:val="Heading3"/>
      </w:pPr>
      <w:r>
        <w:t xml:space="preserve">Fundraising strategy and investor pitch readiness checklist</w:t>
      </w:r>
    </w:p>
    <w:p>
      <w:pPr>
        <w:pStyle w:val="FirstParagraph"/>
      </w:pPr>
      <w:r>
        <w:t xml:space="preserve">Investors underwrite (a) supply, (b) demand, and (c) compliance competence. For this category, the “compliance competence” is not optional.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Diligence area</w:t>
            </w:r>
          </w:p>
        </w:tc>
        <w:tc>
          <w:tcPr/>
          <w:p>
            <w:pPr>
              <w:pStyle w:val="Compact"/>
            </w:pPr>
            <w:r>
              <w:t xml:space="preserve">What “ready” looks like</w:t>
            </w:r>
          </w:p>
        </w:tc>
        <w:tc>
          <w:tcPr/>
          <w:p>
            <w:pPr>
              <w:pStyle w:val="Compact"/>
            </w:pPr>
            <w:r>
              <w:t xml:space="preserve">Source-aligned rationale</w:t>
            </w:r>
          </w:p>
        </w:tc>
      </w:tr>
      <w:tr>
        <w:tc>
          <w:tcPr/>
          <w:p>
            <w:pPr>
              <w:pStyle w:val="Compact"/>
            </w:pPr>
            <w:r>
              <w:t xml:space="preserve">Role clarity</w:t>
            </w:r>
          </w:p>
        </w:tc>
        <w:tc>
          <w:tcPr/>
          <w:p>
            <w:pPr>
              <w:pStyle w:val="Compact"/>
            </w:pPr>
            <w:r>
              <w:t xml:space="preserve">Written model showing who is importer/consignee for each flow</w:t>
            </w:r>
          </w:p>
        </w:tc>
        <w:tc>
          <w:tcPr/>
          <w:p>
            <w:pPr>
              <w:pStyle w:val="Compact"/>
            </w:pPr>
            <w:r>
              <w:t xml:space="preserve">US FSVP importer definition is tied to U.S. owner/consignee or designated agent.</w:t>
            </w:r>
            <w:r>
              <w:t xml:space="preserve"> </w:t>
            </w:r>
            <w:hyperlink r:id="rId21">
              <w:r>
                <w:rPr>
                  <w:rStyle w:val="Hyperlink"/>
                </w:rPr>
                <w:t xml:space="preserve">[11]</w:t>
              </w:r>
            </w:hyperlink>
          </w:p>
        </w:tc>
      </w:tr>
      <w:tr>
        <w:tc>
          <w:tcPr/>
          <w:p>
            <w:pPr>
              <w:pStyle w:val="Compact"/>
            </w:pPr>
            <w:r>
              <w:t xml:space="preserve">Compliance pack demo</w:t>
            </w:r>
          </w:p>
        </w:tc>
        <w:tc>
          <w:tcPr/>
          <w:p>
            <w:pPr>
              <w:pStyle w:val="Compact"/>
            </w:pPr>
            <w:r>
              <w:t xml:space="preserve">One-click buyer pack with permit/COO/shipment docs + QC summary</w:t>
            </w:r>
          </w:p>
        </w:tc>
        <w:tc>
          <w:tcPr/>
          <w:p>
            <w:pPr>
              <w:pStyle w:val="Compact"/>
            </w:pPr>
            <w:r>
              <w:t xml:space="preserve">Coffee Board export permit/COO workflows and post-shipment documents are formalized.</w:t>
            </w:r>
            <w:r>
              <w:t xml:space="preserve"> </w:t>
            </w:r>
            <w:hyperlink r:id="rId23">
              <w:r>
                <w:rPr>
                  <w:rStyle w:val="Hyperlink"/>
                </w:rPr>
                <w:t xml:space="preserve">[47]</w:t>
              </w:r>
            </w:hyperlink>
          </w:p>
        </w:tc>
      </w:tr>
      <w:tr>
        <w:tc>
          <w:tcPr/>
          <w:p>
            <w:pPr>
              <w:pStyle w:val="Compact"/>
            </w:pPr>
            <w:r>
              <w:t xml:space="preserve">EU traceability/incident workflow</w:t>
            </w:r>
          </w:p>
        </w:tc>
        <w:tc>
          <w:tcPr/>
          <w:p>
            <w:pPr>
              <w:pStyle w:val="Compact"/>
            </w:pPr>
            <w:r>
              <w:t xml:space="preserve">Lot ledger supports traceability and withdrawal/recall events; audit log exists</w:t>
            </w:r>
          </w:p>
        </w:tc>
        <w:tc>
          <w:tcPr/>
          <w:p>
            <w:pPr>
              <w:pStyle w:val="Compact"/>
            </w:pPr>
            <w:r>
              <w:t xml:space="preserve">EU food law sets traceability and withdrawal/recall responsibilities.</w:t>
            </w:r>
            <w:r>
              <w:t xml:space="preserve"> </w:t>
            </w:r>
            <w:hyperlink r:id="rId38">
              <w:r>
                <w:rPr>
                  <w:rStyle w:val="Hyperlink"/>
                </w:rPr>
                <w:t xml:space="preserve">[16]</w:t>
              </w:r>
            </w:hyperlink>
          </w:p>
        </w:tc>
      </w:tr>
      <w:tr>
        <w:tc>
          <w:tcPr/>
          <w:p>
            <w:pPr>
              <w:pStyle w:val="Compact"/>
            </w:pPr>
            <w:r>
              <w:t xml:space="preserve">EUDR roadmap</w:t>
            </w:r>
          </w:p>
        </w:tc>
        <w:tc>
          <w:tcPr/>
          <w:p>
            <w:pPr>
              <w:pStyle w:val="Compact"/>
            </w:pPr>
            <w:r>
              <w:t xml:space="preserve">Geolocation pipeline + readiness scoring; onboarding incentives</w:t>
            </w:r>
          </w:p>
        </w:tc>
        <w:tc>
          <w:tcPr/>
          <w:p>
            <w:pPr>
              <w:pStyle w:val="Compact"/>
            </w:pPr>
            <w:r>
              <w:t xml:space="preserve">EUDR expects geolocation coordinates and supply/source information; application dates are now 2026/2027.</w:t>
            </w:r>
            <w:r>
              <w:t xml:space="preserve"> </w:t>
            </w:r>
            <w:hyperlink r:id="rId24">
              <w:r>
                <w:rPr>
                  <w:rStyle w:val="Hyperlink"/>
                </w:rPr>
                <w:t xml:space="preserve">[36]</w:t>
              </w:r>
            </w:hyperlink>
          </w:p>
        </w:tc>
      </w:tr>
      <w:tr>
        <w:tc>
          <w:tcPr/>
          <w:p>
            <w:pPr>
              <w:pStyle w:val="Compact"/>
            </w:pPr>
            <w:r>
              <w:t xml:space="preserve">EU parcel risk narrative</w:t>
            </w:r>
          </w:p>
        </w:tc>
        <w:tc>
          <w:tcPr/>
          <w:p>
            <w:pPr>
              <w:pStyle w:val="Compact"/>
            </w:pPr>
            <w:r>
              <w:t xml:space="preserve">Explicit rationale why you’re not building EU business on dropship parcels</w:t>
            </w:r>
          </w:p>
        </w:tc>
        <w:tc>
          <w:tcPr/>
          <w:p>
            <w:pPr>
              <w:pStyle w:val="Compact"/>
            </w:pPr>
            <w:r>
              <w:t xml:space="preserve">EU is abolishing under-€150 duty relief and reshaping parcel economics.</w:t>
            </w:r>
            <w:r>
              <w:t xml:space="preserve"> </w:t>
            </w:r>
            <w:hyperlink r:id="rId28">
              <w:r>
                <w:rPr>
                  <w:rStyle w:val="Hyperlink"/>
                </w:rPr>
                <w:t xml:space="preserve">[9]</w:t>
              </w:r>
            </w:hyperlink>
          </w:p>
        </w:tc>
      </w:tr>
      <w:tr>
        <w:tc>
          <w:tcPr/>
          <w:p>
            <w:pPr>
              <w:pStyle w:val="Compact"/>
            </w:pPr>
            <w:r>
              <w:t xml:space="preserve">Unit economics</w:t>
            </w:r>
          </w:p>
        </w:tc>
        <w:tc>
          <w:tcPr/>
          <w:p>
            <w:pPr>
              <w:pStyle w:val="Compact"/>
            </w:pPr>
            <w:r>
              <w:t xml:space="preserve">GMV, take rate, dispute rates, cost-to-serve; sensitivity analysis</w:t>
            </w:r>
          </w:p>
        </w:tc>
        <w:tc>
          <w:tcPr/>
          <w:p>
            <w:pPr>
              <w:pStyle w:val="Compact"/>
            </w:pPr>
            <w:r>
              <w:t xml:space="preserve">This is how you answer “how well do I profit?” credibly</w:t>
            </w:r>
          </w:p>
        </w:tc>
      </w:tr>
    </w:tbl>
    <w:bookmarkEnd w:id="68"/>
    <w:bookmarkStart w:id="69" w:name="risk-and-mitigation-register"/>
    <w:p>
      <w:pPr>
        <w:pStyle w:val="Heading3"/>
      </w:pPr>
      <w:r>
        <w:t xml:space="preserve">Risk and mitigation register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Importer role leakage</w:t>
            </w:r>
          </w:p>
        </w:tc>
        <w:tc>
          <w:tcPr/>
          <w:p>
            <w:pPr>
              <w:pStyle w:val="Compact"/>
            </w:pPr>
            <w:r>
              <w:t xml:space="preserve">You inadvertently become the FSVP importer or EU labeling-responsible operator</w:t>
            </w:r>
          </w:p>
        </w:tc>
        <w:tc>
          <w:tcPr/>
          <w:p>
            <w:pPr>
              <w:pStyle w:val="Compact"/>
            </w:pPr>
            <w:r>
              <w:t xml:space="preserve">Contract + workflow enforcement; encode consignee/importer per order in system</w:t>
            </w:r>
          </w:p>
        </w:tc>
      </w:tr>
      <w:tr>
        <w:tc>
          <w:tcPr/>
          <w:p>
            <w:pPr>
              <w:pStyle w:val="Compact"/>
            </w:pPr>
            <w:r>
              <w:t xml:space="preserve">Dropship border friction</w:t>
            </w:r>
          </w:p>
        </w:tc>
        <w:tc>
          <w:tcPr/>
          <w:p>
            <w:pPr>
              <w:pStyle w:val="Compact"/>
            </w:pPr>
            <w:r>
              <w:t xml:space="preserve">Prior Notice applies to all food imports; EU VAT/customs per parcel is heavy</w:t>
            </w:r>
          </w:p>
        </w:tc>
        <w:tc>
          <w:tcPr/>
          <w:p>
            <w:pPr>
              <w:pStyle w:val="Compact"/>
            </w:pPr>
            <w:r>
              <w:t xml:space="preserve">Keep dropship experimental; prioritize B2B marketplace and bulk flows.</w:t>
            </w:r>
            <w:r>
              <w:t xml:space="preserve"> </w:t>
            </w:r>
            <w:hyperlink r:id="rId26">
              <w:r>
                <w:rPr>
                  <w:rStyle w:val="Hyperlink"/>
                </w:rPr>
                <w:t xml:space="preserve">[48]</w:t>
              </w:r>
            </w:hyperlink>
          </w:p>
        </w:tc>
      </w:tr>
      <w:tr>
        <w:tc>
          <w:tcPr/>
          <w:p>
            <w:pPr>
              <w:pStyle w:val="Compact"/>
            </w:pPr>
            <w:r>
              <w:t xml:space="preserve">EU parcel economics tighten</w:t>
            </w:r>
          </w:p>
        </w:tc>
        <w:tc>
          <w:tcPr/>
          <w:p>
            <w:pPr>
              <w:pStyle w:val="Compact"/>
            </w:pPr>
            <w:r>
              <w:t xml:space="preserve">Under-€150 duty relief is being abolished; de minimis assumptions break</w:t>
            </w:r>
          </w:p>
        </w:tc>
        <w:tc>
          <w:tcPr/>
          <w:p>
            <w:pPr>
              <w:pStyle w:val="Compact"/>
            </w:pPr>
            <w:r>
              <w:t xml:space="preserve">Don’t depend on parcel economics; build in-market or B2B bulk.</w:t>
            </w:r>
            <w:r>
              <w:t xml:space="preserve"> </w:t>
            </w:r>
            <w:hyperlink r:id="rId28">
              <w:r>
                <w:rPr>
                  <w:rStyle w:val="Hyperlink"/>
                </w:rPr>
                <w:t xml:space="preserve">[9]</w:t>
              </w:r>
            </w:hyperlink>
          </w:p>
        </w:tc>
      </w:tr>
      <w:tr>
        <w:tc>
          <w:tcPr/>
          <w:p>
            <w:pPr>
              <w:pStyle w:val="Compact"/>
            </w:pPr>
            <w:r>
              <w:t xml:space="preserve">QC inconsistency</w:t>
            </w:r>
          </w:p>
        </w:tc>
        <w:tc>
          <w:tcPr/>
          <w:p>
            <w:pPr>
              <w:pStyle w:val="Compact"/>
            </w:pPr>
            <w:r>
              <w:t xml:space="preserve">Moisture and defects are real drivers of disputes and safety perception</w:t>
            </w:r>
          </w:p>
        </w:tc>
        <w:tc>
          <w:tcPr/>
          <w:p>
            <w:pPr>
              <w:pStyle w:val="Compact"/>
            </w:pPr>
            <w:r>
              <w:t xml:space="preserve">Codify Coffee Board moisture/grade specs; QC gates + lab testing; quarantine workflow.</w:t>
            </w:r>
            <w:r>
              <w:t xml:space="preserve"> </w:t>
            </w:r>
            <w:hyperlink r:id="rId32">
              <w:r>
                <w:rPr>
                  <w:rStyle w:val="Hyperlink"/>
                </w:rPr>
                <w:t xml:space="preserve">[49]</w:t>
              </w:r>
            </w:hyperlink>
          </w:p>
        </w:tc>
      </w:tr>
      <w:tr>
        <w:tc>
          <w:tcPr/>
          <w:p>
            <w:pPr>
              <w:pStyle w:val="Compact"/>
            </w:pPr>
            <w:r>
              <w:t xml:space="preserve">EUDR readiness gap</w:t>
            </w:r>
          </w:p>
        </w:tc>
        <w:tc>
          <w:tcPr/>
          <w:p>
            <w:pPr>
              <w:pStyle w:val="Compact"/>
            </w:pPr>
            <w:r>
              <w:t xml:space="preserve">Geolocation and chain-of-custody data collection is hard at scale</w:t>
            </w:r>
          </w:p>
        </w:tc>
        <w:tc>
          <w:tcPr/>
          <w:p>
            <w:pPr>
              <w:pStyle w:val="Compact"/>
            </w:pPr>
            <w:r>
              <w:t xml:space="preserve">Start geolocation capture early; tiered incentives; readiness scoring.</w:t>
            </w:r>
            <w:r>
              <w:t xml:space="preserve"> </w:t>
            </w:r>
            <w:hyperlink r:id="rId24">
              <w:r>
                <w:rPr>
                  <w:rStyle w:val="Hyperlink"/>
                </w:rPr>
                <w:t xml:space="preserve">[17]</w:t>
              </w:r>
            </w:hyperlink>
          </w:p>
        </w:tc>
      </w:tr>
    </w:tbl>
    <w:p>
      <w:pPr>
        <w:pStyle w:val="BodyText"/>
      </w:pPr>
      <w:r>
        <w:rPr>
          <w:b/>
          <w:bCs/>
        </w:rPr>
        <w:t xml:space="preserve">Overall recommendation:</w:t>
      </w:r>
      <w:r>
        <w:t xml:space="preserve"> </w:t>
      </w:r>
      <w:r>
        <w:t xml:space="preserve">build a B2B-first, charge-on-order marketplace with a compliance-first lot ledger and strong document workflows aligned to Coffee Board export reality. This yields the best early feasibility, lowest working-capital requirement, and the clearest investor narrative—while setting up a defensible “compliance + traceability + AI matching” moat as EUDR requirements intensify and parcel economics tighten.</w:t>
      </w:r>
      <w:r>
        <w:t xml:space="preserve"> </w:t>
      </w:r>
      <w:hyperlink r:id="rId23">
        <w:r>
          <w:rPr>
            <w:rStyle w:val="Hyperlink"/>
          </w:rPr>
          <w:t xml:space="preserve">[50]</w:t>
        </w:r>
      </w:hyperlink>
    </w:p>
    <w:bookmarkEnd w:id="69"/>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hyperlink r:id="rId21">
        <w:r>
          <w:rPr>
            <w:rStyle w:val="Hyperlink"/>
          </w:rPr>
          <w:t xml:space="preserve">[23]</w:t>
        </w:r>
      </w:hyperlink>
      <w:r>
        <w:t xml:space="preserve"> </w:t>
      </w:r>
      <w:hyperlink r:id="rId21">
        <w:r>
          <w:rPr>
            <w:rStyle w:val="Hyperlink"/>
          </w:rPr>
          <w:t xml:space="preserve">[25]</w:t>
        </w:r>
      </w:hyperlink>
      <w:r>
        <w:t xml:space="preserve"> </w:t>
      </w:r>
      <w:hyperlink r:id="rId21">
        <w:r>
          <w:rPr>
            <w:rStyle w:val="Hyperlink"/>
          </w:rPr>
          <w:t xml:space="preserve">[43]</w:t>
        </w:r>
      </w:hyperlink>
      <w:r>
        <w:t xml:space="preserve"> </w:t>
      </w:r>
      <w:r>
        <w:t xml:space="preserve">https://www.fda.gov/food/food-safety-modernization-act-fsma/fsma-final-rule-foreign-supplier-verification-programs-fsvp-importers-food-humans-and-animals</w:t>
      </w:r>
    </w:p>
    <w:p>
      <w:pPr>
        <w:pStyle w:val="BodyText"/>
      </w:pPr>
      <w:hyperlink r:id="rId21">
        <w:r>
          <w:rPr>
            <w:rStyle w:val="Hyperlink"/>
          </w:rPr>
          <w:t xml:space="preserve">https://www.fda.gov/food/food-safety-modernization-act-fsma/fsma-final-rule-foreign-supplier-verification-programs-fsvp-importers-food-humans-and-animals</w:t>
        </w:r>
      </w:hyperlink>
    </w:p>
    <w:p>
      <w:pPr>
        <w:pStyle w:val="BodyText"/>
      </w:pPr>
      <w:hyperlink r:id="rId22">
        <w:r>
          <w:rPr>
            <w:rStyle w:val="Hyperlink"/>
          </w:rPr>
          <w:t xml:space="preserve">[2]</w:t>
        </w:r>
      </w:hyperlink>
      <w:r>
        <w:t xml:space="preserve"> </w:t>
      </w:r>
      <w:r>
        <w:t xml:space="preserve">https://eur-lex.europa.eu/legal-content/EN/TXT/HTML/?uri=CELEX%3A02011R1169-20180101</w:t>
      </w:r>
    </w:p>
    <w:p>
      <w:pPr>
        <w:pStyle w:val="BodyText"/>
      </w:pPr>
      <w:hyperlink r:id="rId22">
        <w:r>
          <w:rPr>
            <w:rStyle w:val="Hyperlink"/>
          </w:rPr>
          <w:t xml:space="preserve">https://eur-lex.europa.eu/legal-content/EN/TXT/HTML/?uri=CELEX%3A02011R1169-20180101</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[10]</w:t>
        </w:r>
      </w:hyperlink>
      <w:r>
        <w:t xml:space="preserve"> </w:t>
      </w:r>
      <w:hyperlink r:id="rId23">
        <w:r>
          <w:rPr>
            <w:rStyle w:val="Hyperlink"/>
          </w:rPr>
          <w:t xml:space="preserve">[19]</w:t>
        </w:r>
      </w:hyperlink>
      <w:r>
        <w:t xml:space="preserve"> </w:t>
      </w:r>
      <w:hyperlink r:id="rId23">
        <w:r>
          <w:rPr>
            <w:rStyle w:val="Hyperlink"/>
          </w:rPr>
          <w:t xml:space="preserve">[22]</w:t>
        </w:r>
      </w:hyperlink>
      <w:r>
        <w:t xml:space="preserve"> </w:t>
      </w:r>
      <w:hyperlink r:id="rId23">
        <w:r>
          <w:rPr>
            <w:rStyle w:val="Hyperlink"/>
          </w:rPr>
          <w:t xml:space="preserve">[35]</w:t>
        </w:r>
      </w:hyperlink>
      <w:r>
        <w:t xml:space="preserve"> </w:t>
      </w:r>
      <w:hyperlink r:id="rId23">
        <w:r>
          <w:rPr>
            <w:rStyle w:val="Hyperlink"/>
          </w:rPr>
          <w:t xml:space="preserve">[41]</w:t>
        </w:r>
      </w:hyperlink>
      <w:r>
        <w:t xml:space="preserve"> </w:t>
      </w:r>
      <w:hyperlink r:id="rId23">
        <w:r>
          <w:rPr>
            <w:rStyle w:val="Hyperlink"/>
          </w:rPr>
          <w:t xml:space="preserve">[47]</w:t>
        </w:r>
      </w:hyperlink>
      <w:r>
        <w:t xml:space="preserve"> </w:t>
      </w:r>
      <w:hyperlink r:id="rId23">
        <w:r>
          <w:rPr>
            <w:rStyle w:val="Hyperlink"/>
          </w:rPr>
          <w:t xml:space="preserve">[50]</w:t>
        </w:r>
      </w:hyperlink>
      <w:r>
        <w:t xml:space="preserve"> </w:t>
      </w:r>
      <w:r>
        <w:t xml:space="preserve">https://coffeeboard.gov.in/Exporter.aspx</w:t>
      </w:r>
    </w:p>
    <w:p>
      <w:pPr>
        <w:pStyle w:val="BodyText"/>
      </w:pPr>
      <w:hyperlink r:id="rId23">
        <w:r>
          <w:rPr>
            <w:rStyle w:val="Hyperlink"/>
          </w:rPr>
          <w:t xml:space="preserve">https://coffeeboard.gov.in/Exporter.aspx</w:t>
        </w:r>
      </w:hyperlink>
    </w:p>
    <w:p>
      <w:pPr>
        <w:pStyle w:val="BodyText"/>
      </w:pPr>
      <w:hyperlink r:id="rId24">
        <w:r>
          <w:rPr>
            <w:rStyle w:val="Hyperlink"/>
          </w:rPr>
          <w:t xml:space="preserve">[4]</w:t>
        </w:r>
      </w:hyperlink>
      <w:r>
        <w:t xml:space="preserve"> </w:t>
      </w:r>
      <w:hyperlink r:id="rId24">
        <w:r>
          <w:rPr>
            <w:rStyle w:val="Hyperlink"/>
          </w:rPr>
          <w:t xml:space="preserve">[17]</w:t>
        </w:r>
      </w:hyperlink>
      <w:r>
        <w:t xml:space="preserve"> </w:t>
      </w:r>
      <w:hyperlink r:id="rId24">
        <w:r>
          <w:rPr>
            <w:rStyle w:val="Hyperlink"/>
          </w:rPr>
          <w:t xml:space="preserve">[36]</w:t>
        </w:r>
      </w:hyperlink>
      <w:r>
        <w:t xml:space="preserve"> </w:t>
      </w:r>
      <w:hyperlink r:id="rId24">
        <w:r>
          <w:rPr>
            <w:rStyle w:val="Hyperlink"/>
          </w:rPr>
          <w:t xml:space="preserve">[42]</w:t>
        </w:r>
      </w:hyperlink>
      <w:r>
        <w:t xml:space="preserve"> </w:t>
      </w:r>
      <w:r>
        <w:t xml:space="preserve">https://eur-lex.europa.eu/legal-content/EN/TXT/PDF/?uri=CELEX%3A32023R1115</w:t>
      </w:r>
    </w:p>
    <w:p>
      <w:pPr>
        <w:pStyle w:val="BodyText"/>
      </w:pPr>
      <w:hyperlink r:id="rId24">
        <w:r>
          <w:rPr>
            <w:rStyle w:val="Hyperlink"/>
          </w:rPr>
          <w:t xml:space="preserve">https://eur-lex.europa.eu/legal-content/EN/TXT/PDF/?uri=CELEX%3A32023R1115</w:t>
        </w:r>
      </w:hyperlink>
    </w:p>
    <w:p>
      <w:pPr>
        <w:pStyle w:val="BodyText"/>
      </w:pPr>
      <w:hyperlink r:id="rId25">
        <w:r>
          <w:rPr>
            <w:rStyle w:val="Hyperlink"/>
          </w:rPr>
          <w:t xml:space="preserve">[6]</w:t>
        </w:r>
      </w:hyperlink>
      <w:r>
        <w:t xml:space="preserve"> </w:t>
      </w:r>
      <w:hyperlink r:id="rId25">
        <w:r>
          <w:rPr>
            <w:rStyle w:val="Hyperlink"/>
          </w:rPr>
          <w:t xml:space="preserve">[20]</w:t>
        </w:r>
      </w:hyperlink>
      <w:r>
        <w:t xml:space="preserve"> </w:t>
      </w:r>
      <w:hyperlink r:id="rId25">
        <w:r>
          <w:rPr>
            <w:rStyle w:val="Hyperlink"/>
          </w:rPr>
          <w:t xml:space="preserve">[24]</w:t>
        </w:r>
      </w:hyperlink>
      <w:r>
        <w:t xml:space="preserve"> </w:t>
      </w:r>
      <w:hyperlink r:id="rId25">
        <w:r>
          <w:rPr>
            <w:rStyle w:val="Hyperlink"/>
          </w:rPr>
          <w:t xml:space="preserve">[34]</w:t>
        </w:r>
      </w:hyperlink>
      <w:r>
        <w:t xml:space="preserve"> </w:t>
      </w:r>
      <w:r>
        <w:t xml:space="preserve">https://taxation-customs.ec.europa.eu/customs/customs-procedures-import-and-export/customs-operations/economic-operators-registration-and-identification-number-eori_en</w:t>
      </w:r>
    </w:p>
    <w:p>
      <w:pPr>
        <w:pStyle w:val="BodyText"/>
      </w:pPr>
      <w:hyperlink r:id="rId25">
        <w:r>
          <w:rPr>
            <w:rStyle w:val="Hyperlink"/>
          </w:rPr>
          <w:t xml:space="preserve">https://taxation-customs.ec.europa.eu/customs/customs-procedures-import-and-export/customs-operations/economic-operators-registration-and-identification-number-eori_en</w:t>
        </w:r>
      </w:hyperlink>
    </w:p>
    <w:p>
      <w:pPr>
        <w:pStyle w:val="BodyText"/>
      </w:pPr>
      <w:hyperlink r:id="rId26">
        <w:r>
          <w:rPr>
            <w:rStyle w:val="Hyperlink"/>
          </w:rPr>
          <w:t xml:space="preserve">[7]</w:t>
        </w:r>
      </w:hyperlink>
      <w:r>
        <w:t xml:space="preserve"> </w:t>
      </w:r>
      <w:hyperlink r:id="rId26">
        <w:r>
          <w:rPr>
            <w:rStyle w:val="Hyperlink"/>
          </w:rPr>
          <w:t xml:space="preserve">[12]</w:t>
        </w:r>
      </w:hyperlink>
      <w:r>
        <w:t xml:space="preserve"> </w:t>
      </w:r>
      <w:hyperlink r:id="rId26">
        <w:r>
          <w:rPr>
            <w:rStyle w:val="Hyperlink"/>
          </w:rPr>
          <w:t xml:space="preserve">[44]</w:t>
        </w:r>
      </w:hyperlink>
      <w:r>
        <w:t xml:space="preserve"> </w:t>
      </w:r>
      <w:hyperlink r:id="rId26">
        <w:r>
          <w:rPr>
            <w:rStyle w:val="Hyperlink"/>
          </w:rPr>
          <w:t xml:space="preserve">[48]</w:t>
        </w:r>
      </w:hyperlink>
      <w:r>
        <w:t xml:space="preserve"> </w:t>
      </w:r>
      <w:r>
        <w:t xml:space="preserve">https://www.fda.gov/industry/prior-notice-imported-foods/filing-prior-notice-imported-foods</w:t>
      </w:r>
    </w:p>
    <w:p>
      <w:pPr>
        <w:pStyle w:val="BodyText"/>
      </w:pPr>
      <w:hyperlink r:id="rId26">
        <w:r>
          <w:rPr>
            <w:rStyle w:val="Hyperlink"/>
          </w:rPr>
          <w:t xml:space="preserve">https://www.fda.gov/industry/prior-notice-imported-foods/filing-prior-notice-imported-foods</w:t>
        </w:r>
      </w:hyperlink>
    </w:p>
    <w:p>
      <w:pPr>
        <w:pStyle w:val="BodyText"/>
      </w:pPr>
      <w:hyperlink r:id="rId27">
        <w:r>
          <w:rPr>
            <w:rStyle w:val="Hyperlink"/>
          </w:rPr>
          <w:t xml:space="preserve">[8]</w:t>
        </w:r>
      </w:hyperlink>
      <w:r>
        <w:t xml:space="preserve"> </w:t>
      </w:r>
      <w:hyperlink r:id="rId27">
        <w:r>
          <w:rPr>
            <w:rStyle w:val="Hyperlink"/>
          </w:rPr>
          <w:t xml:space="preserve">[32]</w:t>
        </w:r>
      </w:hyperlink>
      <w:r>
        <w:t xml:space="preserve"> </w:t>
      </w:r>
      <w:r>
        <w:t xml:space="preserve">https://vat-one-stop-shop.ec.europa.eu/index_en</w:t>
      </w:r>
    </w:p>
    <w:p>
      <w:pPr>
        <w:pStyle w:val="BodyText"/>
      </w:pPr>
      <w:hyperlink r:id="rId27">
        <w:r>
          <w:rPr>
            <w:rStyle w:val="Hyperlink"/>
          </w:rPr>
          <w:t xml:space="preserve">https://vat-one-stop-shop.ec.europa.eu/index_en</w:t>
        </w:r>
      </w:hyperlink>
    </w:p>
    <w:p>
      <w:pPr>
        <w:pStyle w:val="BodyText"/>
      </w:pPr>
      <w:hyperlink r:id="rId28">
        <w:r>
          <w:rPr>
            <w:rStyle w:val="Hyperlink"/>
          </w:rPr>
          <w:t xml:space="preserve">[9]</w:t>
        </w:r>
      </w:hyperlink>
      <w:r>
        <w:t xml:space="preserve"> </w:t>
      </w:r>
      <w:hyperlink r:id="rId28">
        <w:r>
          <w:rPr>
            <w:rStyle w:val="Hyperlink"/>
          </w:rPr>
          <w:t xml:space="preserve">[37]</w:t>
        </w:r>
      </w:hyperlink>
      <w:r>
        <w:t xml:space="preserve"> </w:t>
      </w:r>
      <w:r>
        <w:t xml:space="preserve">https://www.consilium.europa.eu/en/press/press-releases/2026/02/11/council-gives-final-green-light-to-new-customs-duty-rules-for-small-parcels/</w:t>
      </w:r>
    </w:p>
    <w:p>
      <w:pPr>
        <w:pStyle w:val="BodyText"/>
      </w:pPr>
      <w:hyperlink r:id="rId28">
        <w:r>
          <w:rPr>
            <w:rStyle w:val="Hyperlink"/>
          </w:rPr>
          <w:t xml:space="preserve">https://www.consilium.europa.eu/en/press/press-releases/2026/02/11/council-gives-final-green-light-to-new-customs-duty-rules-for-small-parcels/</w:t>
        </w:r>
      </w:hyperlink>
    </w:p>
    <w:p>
      <w:pPr>
        <w:pStyle w:val="BodyText"/>
      </w:pPr>
      <w:hyperlink r:id="rId32">
        <w:r>
          <w:rPr>
            <w:rStyle w:val="Hyperlink"/>
          </w:rPr>
          <w:t xml:space="preserve">[13]</w:t>
        </w:r>
      </w:hyperlink>
      <w:r>
        <w:t xml:space="preserve"> </w:t>
      </w:r>
      <w:hyperlink r:id="rId32">
        <w:r>
          <w:rPr>
            <w:rStyle w:val="Hyperlink"/>
          </w:rPr>
          <w:t xml:space="preserve">[21]</w:t>
        </w:r>
      </w:hyperlink>
      <w:r>
        <w:t xml:space="preserve"> </w:t>
      </w:r>
      <w:hyperlink r:id="rId32">
        <w:r>
          <w:rPr>
            <w:rStyle w:val="Hyperlink"/>
          </w:rPr>
          <w:t xml:space="preserve">[49]</w:t>
        </w:r>
      </w:hyperlink>
      <w:r>
        <w:t xml:space="preserve"> </w:t>
      </w:r>
      <w:r>
        <w:t xml:space="preserve">https://coffeeboard.gov.in/Indian%20Coffee/coffee%20karma.pdf</w:t>
      </w:r>
    </w:p>
    <w:p>
      <w:pPr>
        <w:pStyle w:val="BodyText"/>
      </w:pPr>
      <w:hyperlink r:id="rId32">
        <w:r>
          <w:rPr>
            <w:rStyle w:val="Hyperlink"/>
          </w:rPr>
          <w:t xml:space="preserve">https://coffeeboard.gov.in/Indian%20Coffee/coffee%20karma.pdf</w:t>
        </w:r>
      </w:hyperlink>
    </w:p>
    <w:p>
      <w:pPr>
        <w:pStyle w:val="BodyText"/>
      </w:pPr>
      <w:hyperlink r:id="rId36">
        <w:r>
          <w:rPr>
            <w:rStyle w:val="Hyperlink"/>
          </w:rPr>
          <w:t xml:space="preserve">[14]</w:t>
        </w:r>
      </w:hyperlink>
      <w:r>
        <w:t xml:space="preserve"> </w:t>
      </w:r>
      <w:r>
        <w:t xml:space="preserve">https://coffeeboard.gov.in/Indian%20Coffee/TIES_list_Services.pdf</w:t>
      </w:r>
    </w:p>
    <w:p>
      <w:pPr>
        <w:pStyle w:val="BodyText"/>
      </w:pPr>
      <w:hyperlink r:id="rId36">
        <w:r>
          <w:rPr>
            <w:rStyle w:val="Hyperlink"/>
          </w:rPr>
          <w:t xml:space="preserve">https://coffeeboard.gov.in/Indian%20Coffee/TIES_list_Services.pdf</w:t>
        </w:r>
      </w:hyperlink>
    </w:p>
    <w:p>
      <w:pPr>
        <w:pStyle w:val="BodyText"/>
      </w:pPr>
      <w:hyperlink r:id="rId37">
        <w:r>
          <w:rPr>
            <w:rStyle w:val="Hyperlink"/>
          </w:rPr>
          <w:t xml:space="preserve">[15]</w:t>
        </w:r>
      </w:hyperlink>
      <w:r>
        <w:t xml:space="preserve"> </w:t>
      </w:r>
      <w:r>
        <w:t xml:space="preserve">https://iccwbo.org/business-solutions/incoterms-rules/</w:t>
      </w:r>
    </w:p>
    <w:p>
      <w:pPr>
        <w:pStyle w:val="BodyText"/>
      </w:pPr>
      <w:hyperlink r:id="rId37">
        <w:r>
          <w:rPr>
            <w:rStyle w:val="Hyperlink"/>
          </w:rPr>
          <w:t xml:space="preserve">https://iccwbo.org/business-solutions/incoterms-rules/</w:t>
        </w:r>
      </w:hyperlink>
    </w:p>
    <w:p>
      <w:pPr>
        <w:pStyle w:val="BodyText"/>
      </w:pPr>
      <w:hyperlink r:id="rId38">
        <w:r>
          <w:rPr>
            <w:rStyle w:val="Hyperlink"/>
          </w:rPr>
          <w:t xml:space="preserve">[16]</w:t>
        </w:r>
      </w:hyperlink>
      <w:r>
        <w:t xml:space="preserve"> </w:t>
      </w:r>
      <w:hyperlink r:id="rId38">
        <w:r>
          <w:rPr>
            <w:rStyle w:val="Hyperlink"/>
          </w:rPr>
          <w:t xml:space="preserve">[46]</w:t>
        </w:r>
      </w:hyperlink>
      <w:r>
        <w:t xml:space="preserve"> </w:t>
      </w:r>
      <w:r>
        <w:t xml:space="preserve">https://eur-lex.europa.eu/legal-content/EN/TXT/PDF/?uri=CELEX%3A02002R0178-20220701</w:t>
      </w:r>
    </w:p>
    <w:p>
      <w:pPr>
        <w:pStyle w:val="BodyText"/>
      </w:pPr>
      <w:hyperlink r:id="rId38">
        <w:r>
          <w:rPr>
            <w:rStyle w:val="Hyperlink"/>
          </w:rPr>
          <w:t xml:space="preserve">https://eur-lex.europa.eu/legal-content/EN/TXT/PDF/?uri=CELEX%3A02002R0178-20220701</w:t>
        </w:r>
      </w:hyperlink>
    </w:p>
    <w:p>
      <w:pPr>
        <w:pStyle w:val="BodyText"/>
      </w:pPr>
      <w:hyperlink r:id="rId39">
        <w:r>
          <w:rPr>
            <w:rStyle w:val="Hyperlink"/>
          </w:rPr>
          <w:t xml:space="preserve">[18]</w:t>
        </w:r>
      </w:hyperlink>
      <w:r>
        <w:t xml:space="preserve"> </w:t>
      </w:r>
      <w:hyperlink r:id="rId39">
        <w:r>
          <w:rPr>
            <w:rStyle w:val="Hyperlink"/>
          </w:rPr>
          <w:t xml:space="preserve">[45]</w:t>
        </w:r>
      </w:hyperlink>
      <w:r>
        <w:t xml:space="preserve"> </w:t>
      </w:r>
      <w:r>
        <w:t xml:space="preserve">https://www.nrsc.gov.in/nrscnew/resources_atlas_Coffee.php</w:t>
      </w:r>
    </w:p>
    <w:p>
      <w:pPr>
        <w:pStyle w:val="BodyText"/>
      </w:pPr>
      <w:hyperlink r:id="rId39">
        <w:r>
          <w:rPr>
            <w:rStyle w:val="Hyperlink"/>
          </w:rPr>
          <w:t xml:space="preserve">https://www.nrsc.gov.in/nrscnew/resources_atlas_Coffee.php</w:t>
        </w:r>
      </w:hyperlink>
    </w:p>
    <w:p>
      <w:pPr>
        <w:pStyle w:val="BodyText"/>
      </w:pPr>
      <w:hyperlink r:id="rId50">
        <w:r>
          <w:rPr>
            <w:rStyle w:val="Hyperlink"/>
          </w:rPr>
          <w:t xml:space="preserve">[26]</w:t>
        </w:r>
      </w:hyperlink>
      <w:r>
        <w:t xml:space="preserve"> </w:t>
      </w:r>
      <w:r>
        <w:t xml:space="preserve">https://www.ecfr.gov/current/title-21/chapter-I/subchapter-A/part-1/subpart-H</w:t>
      </w:r>
    </w:p>
    <w:p>
      <w:pPr>
        <w:pStyle w:val="BodyText"/>
      </w:pPr>
      <w:hyperlink r:id="rId50">
        <w:r>
          <w:rPr>
            <w:rStyle w:val="Hyperlink"/>
          </w:rPr>
          <w:t xml:space="preserve">https://www.ecfr.gov/current/title-21/chapter-I/subchapter-A/part-1/subpart-H</w:t>
        </w:r>
      </w:hyperlink>
    </w:p>
    <w:p>
      <w:pPr>
        <w:pStyle w:val="BodyText"/>
      </w:pPr>
      <w:hyperlink r:id="rId51">
        <w:r>
          <w:rPr>
            <w:rStyle w:val="Hyperlink"/>
          </w:rPr>
          <w:t xml:space="preserve">[27]</w:t>
        </w:r>
      </w:hyperlink>
      <w:r>
        <w:t xml:space="preserve"> </w:t>
      </w:r>
      <w:r>
        <w:t xml:space="preserve">https://www.fda.gov/food/guidance-regulation-food-and-dietary-supplements/registration-food-facilities-and-other-submissions</w:t>
      </w:r>
    </w:p>
    <w:p>
      <w:pPr>
        <w:pStyle w:val="BodyText"/>
      </w:pPr>
      <w:hyperlink r:id="rId51">
        <w:r>
          <w:rPr>
            <w:rStyle w:val="Hyperlink"/>
          </w:rPr>
          <w:t xml:space="preserve">https://www.fda.gov/food/guidance-regulation-food-and-dietary-supplements/registration-food-facilities-and-other-submissions</w:t>
        </w:r>
      </w:hyperlink>
    </w:p>
    <w:p>
      <w:pPr>
        <w:pStyle w:val="BodyText"/>
      </w:pPr>
      <w:hyperlink r:id="rId52">
        <w:r>
          <w:rPr>
            <w:rStyle w:val="Hyperlink"/>
          </w:rPr>
          <w:t xml:space="preserve">[28]</w:t>
        </w:r>
      </w:hyperlink>
      <w:r>
        <w:t xml:space="preserve"> </w:t>
      </w:r>
      <w:r>
        <w:t xml:space="preserve">https://www.fda.gov/food/food-imports-exports/importing-food-products-united-states</w:t>
      </w:r>
    </w:p>
    <w:p>
      <w:pPr>
        <w:pStyle w:val="BodyText"/>
      </w:pPr>
      <w:hyperlink r:id="rId52">
        <w:r>
          <w:rPr>
            <w:rStyle w:val="Hyperlink"/>
          </w:rPr>
          <w:t xml:space="preserve">https://www.fda.gov/food/food-imports-exports/importing-food-products-united-states</w:t>
        </w:r>
      </w:hyperlink>
    </w:p>
    <w:p>
      <w:pPr>
        <w:pStyle w:val="BodyText"/>
      </w:pPr>
      <w:hyperlink r:id="rId54">
        <w:r>
          <w:rPr>
            <w:rStyle w:val="Hyperlink"/>
          </w:rPr>
          <w:t xml:space="preserve">[29]</w:t>
        </w:r>
      </w:hyperlink>
      <w:r>
        <w:t xml:space="preserve"> </w:t>
      </w:r>
      <w:r>
        <w:t xml:space="preserve">https://eur-lex.europa.eu/eli/reg/2004/852/oj</w:t>
      </w:r>
    </w:p>
    <w:p>
      <w:pPr>
        <w:pStyle w:val="BodyText"/>
      </w:pPr>
      <w:hyperlink r:id="rId54">
        <w:r>
          <w:rPr>
            <w:rStyle w:val="Hyperlink"/>
          </w:rPr>
          <w:t xml:space="preserve">https://eur-lex.europa.eu/eli/reg/2004/852/oj</w:t>
        </w:r>
      </w:hyperlink>
    </w:p>
    <w:p>
      <w:pPr>
        <w:pStyle w:val="BodyText"/>
      </w:pPr>
      <w:hyperlink r:id="rId55">
        <w:r>
          <w:rPr>
            <w:rStyle w:val="Hyperlink"/>
          </w:rPr>
          <w:t xml:space="preserve">[30]</w:t>
        </w:r>
      </w:hyperlink>
      <w:r>
        <w:t xml:space="preserve"> </w:t>
      </w:r>
      <w:r>
        <w:t xml:space="preserve">https://eur-lex.europa.eu/legal-content/EN/TXT/PDF/?uri=CELEX%3A02017R0625-20211028</w:t>
      </w:r>
    </w:p>
    <w:p>
      <w:pPr>
        <w:pStyle w:val="BodyText"/>
      </w:pPr>
      <w:hyperlink r:id="rId55">
        <w:r>
          <w:rPr>
            <w:rStyle w:val="Hyperlink"/>
          </w:rPr>
          <w:t xml:space="preserve">https://eur-lex.europa.eu/legal-content/EN/TXT/PDF/?uri=CELEX%3A02017R0625-20211028</w:t>
        </w:r>
      </w:hyperlink>
    </w:p>
    <w:p>
      <w:pPr>
        <w:pStyle w:val="BodyText"/>
      </w:pPr>
      <w:hyperlink r:id="rId56">
        <w:r>
          <w:rPr>
            <w:rStyle w:val="Hyperlink"/>
          </w:rPr>
          <w:t xml:space="preserve">[31]</w:t>
        </w:r>
      </w:hyperlink>
      <w:r>
        <w:t xml:space="preserve"> </w:t>
      </w:r>
      <w:r>
        <w:t xml:space="preserve">https://www.europarl.europa.eu/news/en/press-room/20251211IPR32168/deforestation-law-parliament-adopts-changes-to-postpone-and-simplify-measures</w:t>
      </w:r>
    </w:p>
    <w:p>
      <w:pPr>
        <w:pStyle w:val="BodyText"/>
      </w:pPr>
      <w:hyperlink r:id="rId56">
        <w:r>
          <w:rPr>
            <w:rStyle w:val="Hyperlink"/>
          </w:rPr>
          <w:t xml:space="preserve">https://www.europarl.europa.eu/news/en/press-room/20251211IPR32168/deforestation-law-parliament-adopts-changes-to-postpone-and-simplify-measures</w:t>
        </w:r>
      </w:hyperlink>
    </w:p>
    <w:p>
      <w:pPr>
        <w:pStyle w:val="BodyText"/>
      </w:pPr>
      <w:hyperlink r:id="rId57">
        <w:r>
          <w:rPr>
            <w:rStyle w:val="Hyperlink"/>
          </w:rPr>
          <w:t xml:space="preserve">[33]</w:t>
        </w:r>
      </w:hyperlink>
      <w:r>
        <w:t xml:space="preserve"> </w:t>
      </w:r>
      <w:r>
        <w:t xml:space="preserve">https://vat-one-stop-shop.ec.europa.eu/system/files/2022-01/guidance_on_import_and_export_of_low_value_consignments_en.pdf</w:t>
      </w:r>
    </w:p>
    <w:p>
      <w:pPr>
        <w:pStyle w:val="BodyText"/>
      </w:pPr>
      <w:hyperlink r:id="rId57">
        <w:r>
          <w:rPr>
            <w:rStyle w:val="Hyperlink"/>
          </w:rPr>
          <w:t xml:space="preserve">https://vat-one-stop-shop.ec.europa.eu/system/files/2022-01/guidance_on_import_and_export_of_low_value_consignments_en.pdf</w:t>
        </w:r>
      </w:hyperlink>
    </w:p>
    <w:p>
      <w:pPr>
        <w:pStyle w:val="BodyText"/>
      </w:pPr>
      <w:hyperlink r:id="rId64">
        <w:r>
          <w:rPr>
            <w:rStyle w:val="Hyperlink"/>
          </w:rPr>
          <w:t xml:space="preserve">[38]</w:t>
        </w:r>
      </w:hyperlink>
      <w:r>
        <w:t xml:space="preserve"> </w:t>
      </w:r>
      <w:r>
        <w:t xml:space="preserve">https://coffeeboard.gov.in/Indian%20Coffee/Indian%20Coffee%20Sustainability%20Standard%20%20Certification%20Scheme.pdf</w:t>
      </w:r>
    </w:p>
    <w:p>
      <w:pPr>
        <w:pStyle w:val="BodyText"/>
      </w:pPr>
      <w:hyperlink r:id="rId64">
        <w:r>
          <w:rPr>
            <w:rStyle w:val="Hyperlink"/>
          </w:rPr>
          <w:t xml:space="preserve">https://coffeeboard.gov.in/Indian%20Coffee/Indian%20Coffee%20Sustainability%20Standard%20%20Certification%20Scheme.pdf</w:t>
        </w:r>
      </w:hyperlink>
    </w:p>
    <w:p>
      <w:pPr>
        <w:pStyle w:val="BodyText"/>
      </w:pPr>
      <w:hyperlink r:id="rId65">
        <w:r>
          <w:rPr>
            <w:rStyle w:val="Hyperlink"/>
          </w:rPr>
          <w:t xml:space="preserve">[39]</w:t>
        </w:r>
      </w:hyperlink>
      <w:r>
        <w:t xml:space="preserve"> </w:t>
      </w:r>
      <w:hyperlink r:id="rId65">
        <w:r>
          <w:rPr>
            <w:rStyle w:val="Hyperlink"/>
          </w:rPr>
          <w:t xml:space="preserve">[40]</w:t>
        </w:r>
      </w:hyperlink>
      <w:r>
        <w:t xml:space="preserve"> </w:t>
      </w:r>
      <w:r>
        <w:t xml:space="preserve">https://coffeeboard.gov.in/Indian%20Coffee/Indian%20Coffee%20Exporters%5B1%5D_2.pdf</w:t>
      </w:r>
    </w:p>
    <w:p>
      <w:pPr>
        <w:pStyle w:val="BodyText"/>
      </w:pPr>
      <w:hyperlink r:id="rId65">
        <w:r>
          <w:rPr>
            <w:rStyle w:val="Hyperlink"/>
          </w:rPr>
          <w:t xml:space="preserve">https://coffeeboard.gov.in/Indian%20Coffee/Indian%20Coffee%20Exporters%5B1%5D_2.pdf</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coffeeboard.gov.in/Exporter.aspx" TargetMode="External" /><Relationship Type="http://schemas.openxmlformats.org/officeDocument/2006/relationships/hyperlink" Id="rId65" Target="https://coffeeboard.gov.in/Indian%20Coffee/Indian%20Coffee%20Exporters%5B1%5D_2.pdf" TargetMode="External" /><Relationship Type="http://schemas.openxmlformats.org/officeDocument/2006/relationships/hyperlink" Id="rId64" Target="https://coffeeboard.gov.in/Indian%20Coffee/Indian%20Coffee%20Sustainability%20Standard%20%20Certification%20Scheme.pdf" TargetMode="External" /><Relationship Type="http://schemas.openxmlformats.org/officeDocument/2006/relationships/hyperlink" Id="rId36" Target="https://coffeeboard.gov.in/Indian%20Coffee/TIES_list_Services.pdf" TargetMode="External" /><Relationship Type="http://schemas.openxmlformats.org/officeDocument/2006/relationships/hyperlink" Id="rId32" Target="https://coffeeboard.gov.in/Indian%20Coffee/coffee%20karma.pdf" TargetMode="External" /><Relationship Type="http://schemas.openxmlformats.org/officeDocument/2006/relationships/hyperlink" Id="rId54" Target="https://eur-lex.europa.eu/eli/reg/2004/852/oj" TargetMode="External" /><Relationship Type="http://schemas.openxmlformats.org/officeDocument/2006/relationships/hyperlink" Id="rId22" Target="https://eur-lex.europa.eu/legal-content/EN/TXT/HTML/?uri=CELEX%3A02011R1169-20180101" TargetMode="External" /><Relationship Type="http://schemas.openxmlformats.org/officeDocument/2006/relationships/hyperlink" Id="rId38" Target="https://eur-lex.europa.eu/legal-content/EN/TXT/PDF/?uri=CELEX%3A02002R0178-20220701" TargetMode="External" /><Relationship Type="http://schemas.openxmlformats.org/officeDocument/2006/relationships/hyperlink" Id="rId55" Target="https://eur-lex.europa.eu/legal-content/EN/TXT/PDF/?uri=CELEX%3A02017R0625-20211028" TargetMode="External" /><Relationship Type="http://schemas.openxmlformats.org/officeDocument/2006/relationships/hyperlink" Id="rId24" Target="https://eur-lex.europa.eu/legal-content/EN/TXT/PDF/?uri=CELEX%3A32023R1115" TargetMode="External" /><Relationship Type="http://schemas.openxmlformats.org/officeDocument/2006/relationships/hyperlink" Id="rId37" Target="https://iccwbo.org/business-solutions/incoterms-rules/" TargetMode="External" /><Relationship Type="http://schemas.openxmlformats.org/officeDocument/2006/relationships/hyperlink" Id="rId25" Target="https://taxation-customs.ec.europa.eu/customs/customs-procedures-import-and-export/customs-operations/economic-operators-registration-and-identification-number-eori_en" TargetMode="External" /><Relationship Type="http://schemas.openxmlformats.org/officeDocument/2006/relationships/hyperlink" Id="rId27" Target="https://vat-one-stop-shop.ec.europa.eu/index_en" TargetMode="External" /><Relationship Type="http://schemas.openxmlformats.org/officeDocument/2006/relationships/hyperlink" Id="rId57" Target="https://vat-one-stop-shop.ec.europa.eu/system/files/2022-01/guidance_on_import_and_export_of_low_value_consignments_en.pdf" TargetMode="External" /><Relationship Type="http://schemas.openxmlformats.org/officeDocument/2006/relationships/hyperlink" Id="rId28" Target="https://www.consilium.europa.eu/en/press/press-releases/2026/02/11/council-gives-final-green-light-to-new-customs-duty-rules-for-small-parcels/" TargetMode="External" /><Relationship Type="http://schemas.openxmlformats.org/officeDocument/2006/relationships/hyperlink" Id="rId50" Target="https://www.ecfr.gov/current/title-21/chapter-I/subchapter-A/part-1/subpart-H" TargetMode="External" /><Relationship Type="http://schemas.openxmlformats.org/officeDocument/2006/relationships/hyperlink" Id="rId56" Target="https://www.europarl.europa.eu/news/en/press-room/20251211IPR32168/deforestation-law-parliament-adopts-changes-to-postpone-and-simplify-measures" TargetMode="External" /><Relationship Type="http://schemas.openxmlformats.org/officeDocument/2006/relationships/hyperlink" Id="rId52" Target="https://www.fda.gov/food/food-imports-exports/importing-food-products-united-states" TargetMode="External" /><Relationship Type="http://schemas.openxmlformats.org/officeDocument/2006/relationships/hyperlink" Id="rId21" Target="https://www.fda.gov/food/food-safety-modernization-act-fsma/fsma-final-rule-foreign-supplier-verification-programs-fsvp-importers-food-humans-and-animals" TargetMode="External" /><Relationship Type="http://schemas.openxmlformats.org/officeDocument/2006/relationships/hyperlink" Id="rId51" Target="https://www.fda.gov/food/guidance-regulation-food-and-dietary-supplements/registration-food-facilities-and-other-submissions" TargetMode="External" /><Relationship Type="http://schemas.openxmlformats.org/officeDocument/2006/relationships/hyperlink" Id="rId26" Target="https://www.fda.gov/industry/prior-notice-imported-foods/filing-prior-notice-imported-foods" TargetMode="External" /><Relationship Type="http://schemas.openxmlformats.org/officeDocument/2006/relationships/hyperlink" Id="rId39" Target="https://www.nrsc.gov.in/nrscnew/resources_atlas_Coffee.php" TargetMode="External" /></Relationships>
</file>

<file path=word/_rels/footnotes.xml.rels><?xml version="1.0" encoding="UTF-8"?><Relationships xmlns="http://schemas.openxmlformats.org/package/2006/relationships"><Relationship Type="http://schemas.openxmlformats.org/officeDocument/2006/relationships/hyperlink" Id="rId23" Target="https://coffeeboard.gov.in/Exporter.aspx" TargetMode="External" /><Relationship Type="http://schemas.openxmlformats.org/officeDocument/2006/relationships/hyperlink" Id="rId65" Target="https://coffeeboard.gov.in/Indian%20Coffee/Indian%20Coffee%20Exporters%5B1%5D_2.pdf" TargetMode="External" /><Relationship Type="http://schemas.openxmlformats.org/officeDocument/2006/relationships/hyperlink" Id="rId64" Target="https://coffeeboard.gov.in/Indian%20Coffee/Indian%20Coffee%20Sustainability%20Standard%20%20Certification%20Scheme.pdf" TargetMode="External" /><Relationship Type="http://schemas.openxmlformats.org/officeDocument/2006/relationships/hyperlink" Id="rId36" Target="https://coffeeboard.gov.in/Indian%20Coffee/TIES_list_Services.pdf" TargetMode="External" /><Relationship Type="http://schemas.openxmlformats.org/officeDocument/2006/relationships/hyperlink" Id="rId32" Target="https://coffeeboard.gov.in/Indian%20Coffee/coffee%20karma.pdf" TargetMode="External" /><Relationship Type="http://schemas.openxmlformats.org/officeDocument/2006/relationships/hyperlink" Id="rId54" Target="https://eur-lex.europa.eu/eli/reg/2004/852/oj" TargetMode="External" /><Relationship Type="http://schemas.openxmlformats.org/officeDocument/2006/relationships/hyperlink" Id="rId22" Target="https://eur-lex.europa.eu/legal-content/EN/TXT/HTML/?uri=CELEX%3A02011R1169-20180101" TargetMode="External" /><Relationship Type="http://schemas.openxmlformats.org/officeDocument/2006/relationships/hyperlink" Id="rId38" Target="https://eur-lex.europa.eu/legal-content/EN/TXT/PDF/?uri=CELEX%3A02002R0178-20220701" TargetMode="External" /><Relationship Type="http://schemas.openxmlformats.org/officeDocument/2006/relationships/hyperlink" Id="rId55" Target="https://eur-lex.europa.eu/legal-content/EN/TXT/PDF/?uri=CELEX%3A02017R0625-20211028" TargetMode="External" /><Relationship Type="http://schemas.openxmlformats.org/officeDocument/2006/relationships/hyperlink" Id="rId24" Target="https://eur-lex.europa.eu/legal-content/EN/TXT/PDF/?uri=CELEX%3A32023R1115" TargetMode="External" /><Relationship Type="http://schemas.openxmlformats.org/officeDocument/2006/relationships/hyperlink" Id="rId37" Target="https://iccwbo.org/business-solutions/incoterms-rules/" TargetMode="External" /><Relationship Type="http://schemas.openxmlformats.org/officeDocument/2006/relationships/hyperlink" Id="rId25" Target="https://taxation-customs.ec.europa.eu/customs/customs-procedures-import-and-export/customs-operations/economic-operators-registration-and-identification-number-eori_en" TargetMode="External" /><Relationship Type="http://schemas.openxmlformats.org/officeDocument/2006/relationships/hyperlink" Id="rId27" Target="https://vat-one-stop-shop.ec.europa.eu/index_en" TargetMode="External" /><Relationship Type="http://schemas.openxmlformats.org/officeDocument/2006/relationships/hyperlink" Id="rId57" Target="https://vat-one-stop-shop.ec.europa.eu/system/files/2022-01/guidance_on_import_and_export_of_low_value_consignments_en.pdf" TargetMode="External" /><Relationship Type="http://schemas.openxmlformats.org/officeDocument/2006/relationships/hyperlink" Id="rId28" Target="https://www.consilium.europa.eu/en/press/press-releases/2026/02/11/council-gives-final-green-light-to-new-customs-duty-rules-for-small-parcels/" TargetMode="External" /><Relationship Type="http://schemas.openxmlformats.org/officeDocument/2006/relationships/hyperlink" Id="rId50" Target="https://www.ecfr.gov/current/title-21/chapter-I/subchapter-A/part-1/subpart-H" TargetMode="External" /><Relationship Type="http://schemas.openxmlformats.org/officeDocument/2006/relationships/hyperlink" Id="rId56" Target="https://www.europarl.europa.eu/news/en/press-room/20251211IPR32168/deforestation-law-parliament-adopts-changes-to-postpone-and-simplify-measures" TargetMode="External" /><Relationship Type="http://schemas.openxmlformats.org/officeDocument/2006/relationships/hyperlink" Id="rId52" Target="https://www.fda.gov/food/food-imports-exports/importing-food-products-united-states" TargetMode="External" /><Relationship Type="http://schemas.openxmlformats.org/officeDocument/2006/relationships/hyperlink" Id="rId21" Target="https://www.fda.gov/food/food-safety-modernization-act-fsma/fsma-final-rule-foreign-supplier-verification-programs-fsvp-importers-food-humans-and-animals" TargetMode="External" /><Relationship Type="http://schemas.openxmlformats.org/officeDocument/2006/relationships/hyperlink" Id="rId51" Target="https://www.fda.gov/food/guidance-regulation-food-and-dietary-supplements/registration-food-facilities-and-other-submissions" TargetMode="External" /><Relationship Type="http://schemas.openxmlformats.org/officeDocument/2006/relationships/hyperlink" Id="rId26" Target="https://www.fda.gov/industry/prior-notice-imported-foods/filing-prior-notice-imported-foods" TargetMode="External" /><Relationship Type="http://schemas.openxmlformats.org/officeDocument/2006/relationships/hyperlink" Id="rId39" Target="https://www.nrsc.gov.in/nrscnew/resources_atlas_Coffee.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2026-03-17T00:44:00Z</dcterms:created>
  <dcterms:modified xsi:type="dcterms:W3CDTF">2026-03-17T00:44:00Z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