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c286bb95d8c18ba53046e7072c7a7faba863b28"/>
    <w:p>
      <w:pPr>
        <w:pStyle w:val="Heading1"/>
      </w:pPr>
      <w:r>
        <w:t xml:space="preserve">Feasibility and Capital Strategy for an Asset-Light Indian Coffee Platform and App</w:t>
      </w:r>
    </w:p>
    <w:bookmarkStart w:id="26" w:name="executive-summary"/>
    <w:p>
      <w:pPr>
        <w:pStyle w:val="Heading2"/>
      </w:pPr>
      <w:r>
        <w:t xml:space="preserve">Executive summary</w:t>
      </w:r>
    </w:p>
    <w:p>
      <w:pPr>
        <w:pStyle w:val="FirstParagraph"/>
      </w:pPr>
      <w:r>
        <w:t xml:space="preserve">You</w:t>
      </w:r>
      <w:r>
        <w:t xml:space="preserve"> </w:t>
      </w:r>
      <w:r>
        <w:rPr>
          <w:i/>
          <w:iCs/>
        </w:rPr>
        <w:t xml:space="preserve">can</w:t>
      </w:r>
      <w:r>
        <w:t xml:space="preserve"> </w:t>
      </w:r>
      <w:r>
        <w:t xml:space="preserve">build a credible platform + app first, onboard Indian coffee suppliers, and then approach investors—but the safest and most investor-legible path is</w:t>
      </w:r>
      <w:r>
        <w:t xml:space="preserve"> </w:t>
      </w:r>
      <w:r>
        <w:rPr>
          <w:b/>
          <w:bCs/>
        </w:rPr>
        <w:t xml:space="preserve">not</w:t>
      </w:r>
      <w:r>
        <w:t xml:space="preserve"> </w:t>
      </w:r>
      <w:r>
        <w:t xml:space="preserve">pure consumer dropshipping from India to US/EU end customers. The most feasible “build-first” wedge is an</w:t>
      </w:r>
      <w:r>
        <w:t xml:space="preserve"> </w:t>
      </w:r>
      <w:r>
        <w:rPr>
          <w:b/>
          <w:bCs/>
        </w:rPr>
        <w:t xml:space="preserve">asset-light B2B marketplace (commission/charge-on-order) where the buyer is the importer-of-record</w:t>
      </w:r>
      <w:r>
        <w:t xml:space="preserve">, paired with a narrow “control-the-quality” D2C pilot only after you can reliably meet import, labeling, and traceability obligations in your target markets (assumed: US and EU; and assumed: both B2B and B2C).</w:t>
      </w:r>
      <w:r>
        <w:t xml:space="preserve"> </w:t>
      </w:r>
      <w:hyperlink r:id="rId21">
        <w:r>
          <w:rPr>
            <w:rStyle w:val="Hyperlink"/>
          </w:rPr>
          <w:t xml:space="preserve">[1]</w:t>
        </w:r>
      </w:hyperlink>
    </w:p>
    <w:p>
      <w:pPr>
        <w:pStyle w:val="BodyText"/>
      </w:pPr>
      <w:r>
        <w:t xml:space="preserve">Three operating models in your question behave very differently:</w:t>
      </w:r>
    </w:p>
    <w:p>
      <w:pPr>
        <w:pStyle w:val="Compact"/>
        <w:numPr>
          <w:ilvl w:val="0"/>
          <w:numId w:val="1001"/>
        </w:numPr>
      </w:pPr>
      <w:r>
        <w:rPr>
          <w:b/>
          <w:bCs/>
        </w:rPr>
        <w:t xml:space="preserve">Charge-only-by-ordered-category (marketplace commission)</w:t>
      </w:r>
      <w:r>
        <w:t xml:space="preserve"> </w:t>
      </w:r>
      <w:r>
        <w:t xml:space="preserve">is most feasible</w:t>
      </w:r>
      <w:r>
        <w:t xml:space="preserve"> </w:t>
      </w:r>
      <w:r>
        <w:rPr>
          <w:b/>
          <w:bCs/>
        </w:rPr>
        <w:t xml:space="preserve">if you do not take title</w:t>
      </w:r>
      <w:r>
        <w:t xml:space="preserve"> </w:t>
      </w:r>
      <w:r>
        <w:t xml:space="preserve">and</w:t>
      </w:r>
      <w:r>
        <w:t xml:space="preserve"> </w:t>
      </w:r>
      <w:r>
        <w:rPr>
          <w:b/>
          <w:bCs/>
        </w:rPr>
        <w:t xml:space="preserve">the buyer is the importer/consignee</w:t>
      </w:r>
      <w:r>
        <w:t xml:space="preserve"> </w:t>
      </w:r>
      <w:r>
        <w:t xml:space="preserve">(especially for B2B green coffee shipments). This keeps your capital needs lowest and reduces your direct exposure to US FSVP importer duties and EU labeling responsibilities—</w:t>
      </w:r>
      <w:r>
        <w:rPr>
          <w:i/>
          <w:iCs/>
        </w:rPr>
        <w:t xml:space="preserve">but only if contracts and operational reality match the “pure marketplace” structure</w:t>
      </w:r>
      <w:r>
        <w:t xml:space="preserve">.</w:t>
      </w:r>
      <w:r>
        <w:t xml:space="preserve"> </w:t>
      </w:r>
      <w:hyperlink r:id="rId22">
        <w:r>
          <w:rPr>
            <w:rStyle w:val="Hyperlink"/>
          </w:rPr>
          <w:t xml:space="preserve">[2]</w:t>
        </w:r>
      </w:hyperlink>
    </w:p>
    <w:p>
      <w:pPr>
        <w:pStyle w:val="Compact"/>
        <w:numPr>
          <w:ilvl w:val="0"/>
          <w:numId w:val="1001"/>
        </w:numPr>
      </w:pPr>
      <w:r>
        <w:rPr>
          <w:b/>
          <w:bCs/>
        </w:rPr>
        <w:t xml:space="preserve">Dropship from India to consumers</w:t>
      </w:r>
      <w:r>
        <w:t xml:space="preserve"> </w:t>
      </w:r>
      <w:r>
        <w:t xml:space="preserve">(cross-border parcel-level shipping) is operationally possible but usually</w:t>
      </w:r>
      <w:r>
        <w:t xml:space="preserve"> </w:t>
      </w:r>
      <w:r>
        <w:rPr>
          <w:b/>
          <w:bCs/>
        </w:rPr>
        <w:t xml:space="preserve">economically and compliance-heavy</w:t>
      </w:r>
      <w:r>
        <w:t xml:space="preserve"> </w:t>
      </w:r>
      <w:r>
        <w:t xml:space="preserve">for food: you multiply FDA Prior Notice events (US), customs/VAT declarations (EU), customer service/returns friction, and quality-control blind spots. EU VAT e-commerce rules explicitly require import declarations regardless of value and confirm IOSS scope limits, while EU also signals tightening around low-value parcel economics.</w:t>
      </w:r>
      <w:r>
        <w:t xml:space="preserve"> </w:t>
      </w:r>
      <w:hyperlink r:id="rId23">
        <w:r>
          <w:rPr>
            <w:rStyle w:val="Hyperlink"/>
          </w:rPr>
          <w:t xml:space="preserve">[3]</w:t>
        </w:r>
      </w:hyperlink>
    </w:p>
    <w:p>
      <w:pPr>
        <w:pStyle w:val="Compact"/>
        <w:numPr>
          <w:ilvl w:val="0"/>
          <w:numId w:val="1001"/>
        </w:numPr>
      </w:pPr>
      <w:r>
        <w:rPr>
          <w:b/>
          <w:bCs/>
        </w:rPr>
        <w:t xml:space="preserve">Consignment</w:t>
      </w:r>
      <w:r>
        <w:t xml:space="preserve"> </w:t>
      </w:r>
      <w:r>
        <w:t xml:space="preserve">improves cashflow vs outright inventory purchase but does</w:t>
      </w:r>
      <w:r>
        <w:t xml:space="preserve"> </w:t>
      </w:r>
      <w:r>
        <w:rPr>
          <w:b/>
          <w:bCs/>
        </w:rPr>
        <w:t xml:space="preserve">not</w:t>
      </w:r>
      <w:r>
        <w:t xml:space="preserve"> </w:t>
      </w:r>
      <w:r>
        <w:t xml:space="preserve">remove major obligations (you still need import clearance, traceability, and labeling responsibilities in-market). It’s also harder to secure from exporters unless you can demonstrate sell-through and strong controls.</w:t>
      </w:r>
    </w:p>
    <w:p>
      <w:pPr>
        <w:pStyle w:val="FirstParagraph"/>
      </w:pPr>
      <w:r>
        <w:rPr>
          <w:b/>
          <w:bCs/>
        </w:rPr>
        <w:t xml:space="preserve">Best recommended approach (practical + investor-ready):</w:t>
      </w:r>
      <w:r>
        <w:br/>
      </w:r>
      <w:r>
        <w:t xml:space="preserve">Build a</w:t>
      </w:r>
      <w:r>
        <w:t xml:space="preserve"> </w:t>
      </w:r>
      <w:r>
        <w:rPr>
          <w:b/>
          <w:bCs/>
        </w:rPr>
        <w:t xml:space="preserve">B2B-first marketplace + supplier data/traceability layer</w:t>
      </w:r>
      <w:r>
        <w:t xml:space="preserve"> </w:t>
      </w:r>
      <w:r>
        <w:t xml:space="preserve">(commission on executed orders + optional SaaS fees for traceability/compliance readiness), where roasters/cafés/distributors are the importers. Concurrently, assemble</w:t>
      </w:r>
      <w:r>
        <w:t xml:space="preserve"> </w:t>
      </w:r>
      <w:r>
        <w:rPr>
          <w:b/>
          <w:bCs/>
        </w:rPr>
        <w:t xml:space="preserve">D2C readiness</w:t>
      </w:r>
      <w:r>
        <w:t xml:space="preserve"> </w:t>
      </w:r>
      <w:r>
        <w:t xml:space="preserve">via a contract roaster + 3PL in the US first, then EU, rather than India-to-consumer dropship. This aligns with how Indian coffee export processes are structured (exporter registration, export permits, certificates of origin) and positions you for impending EU deforestation due diligence expectations where coffee is explicitly in scope.</w:t>
      </w:r>
      <w:r>
        <w:t xml:space="preserve"> </w:t>
      </w:r>
      <w:hyperlink r:id="rId24">
        <w:r>
          <w:rPr>
            <w:rStyle w:val="Hyperlink"/>
          </w:rPr>
          <w:t xml:space="preserve">[4]</w:t>
        </w:r>
      </w:hyperlink>
    </w:p>
    <w:p>
      <w:pPr>
        <w:pStyle w:val="BodyText"/>
      </w:pPr>
      <w:r>
        <w:rPr>
          <w:b/>
          <w:bCs/>
        </w:rPr>
        <w:t xml:space="preserve">Capital ranges in USD (explicit assumptions):</w:t>
      </w:r>
      <w:r>
        <w:t xml:space="preserve"> </w:t>
      </w:r>
      <w:r>
        <w:t xml:space="preserve">-</w:t>
      </w:r>
      <w:r>
        <w:t xml:space="preserve"> </w:t>
      </w:r>
      <w:r>
        <w:rPr>
          <w:b/>
          <w:bCs/>
        </w:rPr>
        <w:t xml:space="preserve">Lean MVP (B2B marketplace + lot ledger MVP; founder builds): $150k–$400k</w:t>
      </w:r>
      <w:r>
        <w:t xml:space="preserve"> </w:t>
      </w:r>
      <w:r>
        <w:t xml:space="preserve">over ~12 months (lower if you take minimal/no salary; higher if you use contractors or travel heavily).</w:t>
      </w:r>
      <w:r>
        <w:br/>
      </w:r>
      <w:r>
        <w:t xml:space="preserve">-</w:t>
      </w:r>
      <w:r>
        <w:t xml:space="preserve"> </w:t>
      </w:r>
      <w:r>
        <w:rPr>
          <w:b/>
          <w:bCs/>
        </w:rPr>
        <w:t xml:space="preserve">Standard launch (adds US D2C: contract roasting + 3PL + initial inventory + compliance work): $600k–$1.3M</w:t>
      </w:r>
      <w:r>
        <w:t xml:space="preserve">.</w:t>
      </w:r>
      <w:r>
        <w:br/>
      </w:r>
      <w:r>
        <w:t xml:space="preserve">-</w:t>
      </w:r>
      <w:r>
        <w:t xml:space="preserve"> </w:t>
      </w:r>
      <w:r>
        <w:rPr>
          <w:b/>
          <w:bCs/>
        </w:rPr>
        <w:t xml:space="preserve">Growth/scale (US + EU expansion, richer AI + compliance automation, working-capital buffer, team build): $2.0M–$4.0M</w:t>
      </w:r>
      <w:r>
        <w:t xml:space="preserve">.</w:t>
      </w:r>
    </w:p>
    <w:p>
      <w:pPr>
        <w:pStyle w:val="BodyText"/>
      </w:pPr>
      <w:r>
        <w:t xml:space="preserve">Key drivers: headcount (engineering + ops + sales), working capital (inventory and freight if you become importer), compliance/legal, and CAC/marketing. EU EUDR application timing has been postponed, but obligations remain material for coffee and require plot-level geolocation in due diligence statements, which materially increases the value of a robust lot ledger and supplier data intake.</w:t>
      </w:r>
      <w:r>
        <w:t xml:space="preserve"> </w:t>
      </w:r>
      <w:hyperlink r:id="rId25">
        <w:r>
          <w:rPr>
            <w:rStyle w:val="Hyperlink"/>
          </w:rPr>
          <w:t xml:space="preserve">[5]</w:t>
        </w:r>
      </w:hyperlink>
    </w:p>
    <w:bookmarkEnd w:id="26"/>
    <w:bookmarkStart w:id="31" w:name="recommended-approach"/>
    <w:p>
      <w:pPr>
        <w:pStyle w:val="Heading2"/>
      </w:pPr>
      <w:r>
        <w:t xml:space="preserve">Recommended approach</w:t>
      </w:r>
    </w:p>
    <w:p>
      <w:pPr>
        <w:pStyle w:val="FirstParagraph"/>
      </w:pPr>
      <w:r>
        <w:rPr>
          <w:b/>
          <w:bCs/>
        </w:rPr>
        <w:t xml:space="preserve">Assumptions (explicit):</w:t>
      </w:r>
      <w:r>
        <w:t xml:space="preserve"> </w:t>
      </w:r>
      <w:r>
        <w:t xml:space="preserve">primary markets are the US and EU; you serve both B2B and B2C; no specific budget provided.</w:t>
      </w:r>
    </w:p>
    <w:bookmarkStart w:id="30" w:name="Xa8e4dc899392518a337cf229c5245e49932c20c"/>
    <w:p>
      <w:pPr>
        <w:pStyle w:val="Heading3"/>
      </w:pPr>
      <w:r>
        <w:t xml:space="preserve">Phase strategy that lets you “build first, raise second”</w:t>
      </w:r>
    </w:p>
    <w:p>
      <w:pPr>
        <w:pStyle w:val="FirstParagraph"/>
      </w:pPr>
      <w:r>
        <w:rPr>
          <w:b/>
          <w:bCs/>
        </w:rPr>
        <w:t xml:space="preserve">Phase A: B2B marketplace + data layer (months 1–6)</w:t>
      </w:r>
      <w:r>
        <w:br/>
      </w:r>
      <w:r>
        <w:t xml:space="preserve">Goal: prove</w:t>
      </w:r>
      <w:r>
        <w:t xml:space="preserve"> </w:t>
      </w:r>
      <w:r>
        <w:rPr>
          <w:i/>
          <w:iCs/>
        </w:rPr>
        <w:t xml:space="preserve">supply + demand + repeatability</w:t>
      </w:r>
      <w:r>
        <w:t xml:space="preserve"> </w:t>
      </w:r>
      <w:r>
        <w:t xml:space="preserve">with minimal capital and minimal direct regulatory burden.</w:t>
      </w:r>
    </w:p>
    <w:p>
      <w:pPr>
        <w:pStyle w:val="Compact"/>
        <w:numPr>
          <w:ilvl w:val="0"/>
          <w:numId w:val="1002"/>
        </w:numPr>
      </w:pPr>
      <w:r>
        <w:t xml:space="preserve">Contract structure: you are a broker/marketplace;</w:t>
      </w:r>
      <w:r>
        <w:t xml:space="preserve"> </w:t>
      </w:r>
      <w:r>
        <w:rPr>
          <w:b/>
          <w:bCs/>
        </w:rPr>
        <w:t xml:space="preserve">buyers import</w:t>
      </w:r>
      <w:r>
        <w:t xml:space="preserve"> </w:t>
      </w:r>
      <w:r>
        <w:t xml:space="preserve">(US buyers handle FSVP importer obligations; EU buyers handle importer/label responsibilities). This makes your platform’s main product the “trusted sourcing + documentation + lot metadata” layer. The FDA defines the FSVP importer as the U.S. owner/consignee (or U.S. agent if none), so the “who is importer” decision is a real compliance boundary, not just semantics.</w:t>
      </w:r>
      <w:r>
        <w:t xml:space="preserve"> </w:t>
      </w:r>
      <w:hyperlink r:id="rId22">
        <w:r>
          <w:rPr>
            <w:rStyle w:val="Hyperlink"/>
          </w:rPr>
          <w:t xml:space="preserve">[6]</w:t>
        </w:r>
      </w:hyperlink>
    </w:p>
    <w:p>
      <w:pPr>
        <w:pStyle w:val="Compact"/>
        <w:numPr>
          <w:ilvl w:val="0"/>
          <w:numId w:val="1002"/>
        </w:numPr>
      </w:pPr>
      <w:r>
        <w:t xml:space="preserve">Value proposition: reduce buyer effort with structured lots, exporter vetting, documentation bundles, shipping quotes (Incoterms), and traceability fields that anticipate EU deforestation due diligence data needs. Coffee is explicitly a “relevant commodity,” and listed products include HS 0901 coffee.</w:t>
      </w:r>
      <w:r>
        <w:t xml:space="preserve"> </w:t>
      </w:r>
      <w:hyperlink r:id="rId27">
        <w:r>
          <w:rPr>
            <w:rStyle w:val="Hyperlink"/>
          </w:rPr>
          <w:t xml:space="preserve">[7]</w:t>
        </w:r>
      </w:hyperlink>
    </w:p>
    <w:p>
      <w:pPr>
        <w:pStyle w:val="Compact"/>
        <w:numPr>
          <w:ilvl w:val="0"/>
          <w:numId w:val="1002"/>
        </w:numPr>
      </w:pPr>
      <w:r>
        <w:t xml:space="preserve">Traction artifacts investors accept: LOIs, pipeline, executed paid pilots, supplier onboarding throughput, and evidence your documentation model can support traceability obligations (EU) and supplier verification expectations (US importers).</w:t>
      </w:r>
      <w:r>
        <w:t xml:space="preserve"> </w:t>
      </w:r>
      <w:hyperlink r:id="rId28">
        <w:r>
          <w:rPr>
            <w:rStyle w:val="Hyperlink"/>
          </w:rPr>
          <w:t xml:space="preserve">[8]</w:t>
        </w:r>
      </w:hyperlink>
    </w:p>
    <w:p>
      <w:pPr>
        <w:pStyle w:val="FirstParagraph"/>
      </w:pPr>
      <w:r>
        <w:rPr>
          <w:b/>
          <w:bCs/>
        </w:rPr>
        <w:t xml:space="preserve">Phase B: US D2C pilot with domestic roasting + 3PL (months 4–12)</w:t>
      </w:r>
      <w:r>
        <w:br/>
      </w:r>
      <w:r>
        <w:t xml:space="preserve">Goal: create branded product + high-frequency data signals for AI/personalization while controlling quality.</w:t>
      </w:r>
    </w:p>
    <w:p>
      <w:pPr>
        <w:pStyle w:val="Compact"/>
        <w:numPr>
          <w:ilvl w:val="0"/>
          <w:numId w:val="1003"/>
        </w:numPr>
      </w:pPr>
      <w:r>
        <w:t xml:space="preserve">Import bulk green coffee once you can reliably execute compliance workflows (Prior Notice, facility registration requirements where applicable, labeling, etc.). The FDA notes you can import without “prior sanction” if facilities are registered and prior notice is provided.</w:t>
      </w:r>
      <w:r>
        <w:t xml:space="preserve"> </w:t>
      </w:r>
      <w:hyperlink r:id="rId21">
        <w:r>
          <w:rPr>
            <w:rStyle w:val="Hyperlink"/>
          </w:rPr>
          <w:t xml:space="preserve">[9]</w:t>
        </w:r>
      </w:hyperlink>
    </w:p>
    <w:p>
      <w:pPr>
        <w:pStyle w:val="Compact"/>
        <w:numPr>
          <w:ilvl w:val="0"/>
          <w:numId w:val="1003"/>
        </w:numPr>
      </w:pPr>
      <w:r>
        <w:t xml:space="preserve">Use lot QR pages and documentation to build trust and collect preference data; later monetize as B2B compliance/traceability tooling.</w:t>
      </w:r>
    </w:p>
    <w:p>
      <w:pPr>
        <w:pStyle w:val="FirstParagraph"/>
      </w:pPr>
      <w:r>
        <w:rPr>
          <w:b/>
          <w:bCs/>
        </w:rPr>
        <w:t xml:space="preserve">Why this beats India→consumer dropship as your core</w:t>
      </w:r>
      <w:r>
        <w:br/>
      </w:r>
      <w:r>
        <w:t xml:space="preserve">EU VAT e-commerce and customs guidance makes clear that import declarations are required for all goods entering the EU and that IOSS applies only up to €150; simultaneously, the EU is moving to remove the €150 customs duty exemption threshold for parcels, undermining the economics of cross-border parcel dropship strategies.</w:t>
      </w:r>
      <w:r>
        <w:t xml:space="preserve"> </w:t>
      </w:r>
      <w:hyperlink r:id="rId29">
        <w:r>
          <w:rPr>
            <w:rStyle w:val="Hyperlink"/>
          </w:rPr>
          <w:t xml:space="preserve">[10]</w:t>
        </w:r>
      </w:hyperlink>
      <w:r>
        <w:br/>
      </w:r>
      <w:r>
        <w:t xml:space="preserve">On the US side, “every order is an import event” implies a scale problem for prior notice and import screening if you ship each bag from India directly.</w:t>
      </w:r>
      <w:r>
        <w:t xml:space="preserve"> </w:t>
      </w:r>
      <w:hyperlink r:id="rId23">
        <w:r>
          <w:rPr>
            <w:rStyle w:val="Hyperlink"/>
          </w:rPr>
          <w:t xml:space="preserve">[11]</w:t>
        </w:r>
      </w:hyperlink>
    </w:p>
    <w:bookmarkEnd w:id="30"/>
    <w:bookmarkEnd w:id="31"/>
    <w:bookmarkStart w:id="37" w:name="model-feasibility-comparison"/>
    <w:p>
      <w:pPr>
        <w:pStyle w:val="Heading2"/>
      </w:pPr>
      <w:r>
        <w:t xml:space="preserve">Model feasibility comparison</w:t>
      </w:r>
    </w:p>
    <w:bookmarkStart w:id="32" w:name="definitions-mapped-to-your-question"/>
    <w:p>
      <w:pPr>
        <w:pStyle w:val="Heading3"/>
      </w:pPr>
      <w:r>
        <w:t xml:space="preserve">Definitions (mapped to your question)</w:t>
      </w:r>
    </w:p>
    <w:p>
      <w:pPr>
        <w:pStyle w:val="Compact"/>
        <w:numPr>
          <w:ilvl w:val="0"/>
          <w:numId w:val="1004"/>
        </w:numPr>
      </w:pPr>
      <w:r>
        <w:rPr>
          <w:b/>
          <w:bCs/>
        </w:rPr>
        <w:t xml:space="preserve">Charge-only-by-ordered-category:</w:t>
      </w:r>
      <w:r>
        <w:t xml:space="preserve"> </w:t>
      </w:r>
      <w:r>
        <w:t xml:space="preserve">you charge a commission (or fixed fee) only when an order in a defined category executes (e.g., “green Arabica lots,” “roasted consumer packs,” “specialty monsooned”).</w:t>
      </w:r>
    </w:p>
    <w:p>
      <w:pPr>
        <w:pStyle w:val="Compact"/>
        <w:numPr>
          <w:ilvl w:val="0"/>
          <w:numId w:val="1004"/>
        </w:numPr>
      </w:pPr>
      <w:r>
        <w:rPr>
          <w:b/>
          <w:bCs/>
        </w:rPr>
        <w:t xml:space="preserve">Dropship:</w:t>
      </w:r>
      <w:r>
        <w:t xml:space="preserve"> </w:t>
      </w:r>
      <w:r>
        <w:t xml:space="preserve">supplier/exporter fulfills directly to the end buyer using your platform as the seller interface; you may be seller-of-record and may also be importer-of-record depending on Incoterm and legal structure.</w:t>
      </w:r>
    </w:p>
    <w:p>
      <w:pPr>
        <w:pStyle w:val="Compact"/>
        <w:numPr>
          <w:ilvl w:val="0"/>
          <w:numId w:val="1004"/>
        </w:numPr>
      </w:pPr>
      <w:r>
        <w:rPr>
          <w:b/>
          <w:bCs/>
        </w:rPr>
        <w:t xml:space="preserve">Consignment:</w:t>
      </w:r>
      <w:r>
        <w:t xml:space="preserve"> </w:t>
      </w:r>
      <w:r>
        <w:t xml:space="preserve">supplier retains title to inventory until sold; inventory is stored closer to the customer (your warehouse, 3PL, or roaster). You manage sell-through, returns, and usually import clearance.</w:t>
      </w:r>
    </w:p>
    <w:bookmarkEnd w:id="32"/>
    <w:bookmarkStart w:id="35" w:name="comparison-table"/>
    <w:p>
      <w:pPr>
        <w:pStyle w:val="Heading3"/>
      </w:pPr>
      <w:r>
        <w:t xml:space="preserve">Comparison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Feasibility for B2B</w:t>
            </w:r>
          </w:p>
        </w:tc>
        <w:tc>
          <w:tcPr/>
          <w:p>
            <w:pPr>
              <w:pStyle w:val="Compact"/>
            </w:pPr>
            <w:r>
              <w:t xml:space="preserve">Feasibility for B2C</w:t>
            </w:r>
          </w:p>
        </w:tc>
        <w:tc>
          <w:tcPr/>
          <w:p>
            <w:pPr>
              <w:pStyle w:val="Compact"/>
            </w:pPr>
            <w:r>
              <w:t xml:space="preserve">Capital intensity</w:t>
            </w:r>
          </w:p>
        </w:tc>
        <w:tc>
          <w:tcPr/>
          <w:p>
            <w:pPr>
              <w:pStyle w:val="Compact"/>
            </w:pPr>
            <w:r>
              <w:t xml:space="preserve">Core advantages</w:t>
            </w:r>
          </w:p>
        </w:tc>
        <w:tc>
          <w:tcPr/>
          <w:p>
            <w:pPr>
              <w:pStyle w:val="Compact"/>
            </w:pPr>
            <w:r>
              <w:t xml:space="preserve">Core constraints (where feasibility breaks)</w:t>
            </w:r>
          </w:p>
        </w:tc>
      </w:tr>
      <w:tr>
        <w:tc>
          <w:tcPr/>
          <w:p>
            <w:pPr>
              <w:pStyle w:val="Compact"/>
            </w:pPr>
            <w:r>
              <w:t xml:space="preserve">Charge-on-order marketplace (buyer imports)</w:t>
            </w:r>
          </w:p>
        </w:tc>
        <w:tc>
          <w:tcPr/>
          <w:p>
            <w:pPr>
              <w:pStyle w:val="Compact"/>
            </w:pPr>
            <w:r>
              <w:t xml:space="preserve">High</w:t>
            </w:r>
          </w:p>
        </w:tc>
        <w:tc>
          <w:tcPr/>
          <w:p>
            <w:pPr>
              <w:pStyle w:val="Compact"/>
            </w:pPr>
            <w:r>
              <w:t xml:space="preserve">Low–Medium (only if you can avoid buyer-import for consumers; usually hard)</w:t>
            </w:r>
          </w:p>
        </w:tc>
        <w:tc>
          <w:tcPr/>
          <w:p>
            <w:pPr>
              <w:pStyle w:val="Compact"/>
            </w:pPr>
            <w:r>
              <w:t xml:space="preserve">Lowest</w:t>
            </w:r>
          </w:p>
        </w:tc>
        <w:tc>
          <w:tcPr/>
          <w:p>
            <w:pPr>
              <w:pStyle w:val="Compact"/>
            </w:pPr>
            <w:r>
              <w:t xml:space="preserve">Minimal inventory; fast to pilot; strong investor story if you show repeat B2B orders</w:t>
            </w:r>
          </w:p>
        </w:tc>
        <w:tc>
          <w:tcPr/>
          <w:p>
            <w:pPr>
              <w:pStyle w:val="Compact"/>
            </w:pPr>
            <w:r>
              <w:t xml:space="preserve">Must ensure you</w:t>
            </w:r>
            <w:r>
              <w:t xml:space="preserve"> </w:t>
            </w:r>
            <w:r>
              <w:rPr>
                <w:b/>
                <w:bCs/>
              </w:rPr>
              <w:t xml:space="preserve">don’t become owner/consignee</w:t>
            </w:r>
            <w:r>
              <w:t xml:space="preserve"> </w:t>
            </w:r>
            <w:r>
              <w:t xml:space="preserve">(or you inherit importer obligations). FDA defines FSVP importer as U.S. owner/consignee (or U.S. agent if none).</w:t>
            </w:r>
            <w:r>
              <w:t xml:space="preserve"> </w:t>
            </w:r>
            <w:hyperlink r:id="rId22">
              <w:r>
                <w:rPr>
                  <w:rStyle w:val="Hyperlink"/>
                </w:rPr>
                <w:t xml:space="preserve">[12]</w:t>
              </w:r>
            </w:hyperlink>
            <w:r>
              <w:t xml:space="preserve"> </w:t>
            </w:r>
            <w:r>
              <w:t xml:space="preserve">EU traceability still applies to EU buyers/importers.</w:t>
            </w:r>
            <w:r>
              <w:t xml:space="preserve"> </w:t>
            </w:r>
            <w:hyperlink r:id="rId28">
              <w:r>
                <w:rPr>
                  <w:rStyle w:val="Hyperlink"/>
                </w:rPr>
                <w:t xml:space="preserve">[13]</w:t>
              </w:r>
            </w:hyperlink>
          </w:p>
        </w:tc>
      </w:tr>
      <w:tr>
        <w:tc>
          <w:tcPr/>
          <w:p>
            <w:pPr>
              <w:pStyle w:val="Compact"/>
            </w:pPr>
            <w:r>
              <w:t xml:space="preserve">Dropship India→customer</w:t>
            </w:r>
          </w:p>
        </w:tc>
        <w:tc>
          <w:tcPr/>
          <w:p>
            <w:pPr>
              <w:pStyle w:val="Compact"/>
            </w:pPr>
            <w:r>
              <w:t xml:space="preserve">Medium</w:t>
            </w:r>
          </w:p>
        </w:tc>
        <w:tc>
          <w:tcPr/>
          <w:p>
            <w:pPr>
              <w:pStyle w:val="Compact"/>
            </w:pPr>
            <w:r>
              <w:t xml:space="preserve">Medium (operationally possible, economically tough)</w:t>
            </w:r>
          </w:p>
        </w:tc>
        <w:tc>
          <w:tcPr/>
          <w:p>
            <w:pPr>
              <w:pStyle w:val="Compact"/>
            </w:pPr>
            <w:r>
              <w:t xml:space="preserve">Low inventory, but high per-order logistics cost</w:t>
            </w:r>
          </w:p>
        </w:tc>
        <w:tc>
          <w:tcPr/>
          <w:p>
            <w:pPr>
              <w:pStyle w:val="Compact"/>
            </w:pPr>
            <w:r>
              <w:t xml:space="preserve">No warehousing; “infinite SKU” catalog potential</w:t>
            </w:r>
          </w:p>
        </w:tc>
        <w:tc>
          <w:tcPr/>
          <w:p>
            <w:pPr>
              <w:pStyle w:val="Compact"/>
            </w:pPr>
            <w:r>
              <w:t xml:space="preserve">EU: import declarations required for all goods; IOSS limited to €150; parcel duty rules trending tighter.</w:t>
            </w:r>
            <w:r>
              <w:t xml:space="preserve"> </w:t>
            </w:r>
            <w:hyperlink r:id="rId29">
              <w:r>
                <w:rPr>
                  <w:rStyle w:val="Hyperlink"/>
                </w:rPr>
                <w:t xml:space="preserve">[10]</w:t>
              </w:r>
            </w:hyperlink>
            <w:r>
              <w:t xml:space="preserve"> </w:t>
            </w:r>
            <w:r>
              <w:t xml:space="preserve">EU labeling responsibility falls to operator under whose name food is marketed or importer if not EU-established.</w:t>
            </w:r>
            <w:r>
              <w:t xml:space="preserve"> </w:t>
            </w:r>
            <w:hyperlink r:id="rId33">
              <w:r>
                <w:rPr>
                  <w:rStyle w:val="Hyperlink"/>
                </w:rPr>
                <w:t xml:space="preserve">[14]</w:t>
              </w:r>
            </w:hyperlink>
            <w:r>
              <w:t xml:space="preserve"> </w:t>
            </w:r>
            <w:r>
              <w:t xml:space="preserve">US: prior notice required for food imported/offered for import.</w:t>
            </w:r>
            <w:r>
              <w:t xml:space="preserve"> </w:t>
            </w:r>
            <w:hyperlink r:id="rId23">
              <w:r>
                <w:rPr>
                  <w:rStyle w:val="Hyperlink"/>
                </w:rPr>
                <w:t xml:space="preserve">[15]</w:t>
              </w:r>
            </w:hyperlink>
            <w:r>
              <w:t xml:space="preserve"> </w:t>
            </w:r>
            <w:r>
              <w:t xml:space="preserve">Quality control blind spots.</w:t>
            </w:r>
          </w:p>
        </w:tc>
      </w:tr>
      <w:tr>
        <w:tc>
          <w:tcPr/>
          <w:p>
            <w:pPr>
              <w:pStyle w:val="Compact"/>
            </w:pPr>
            <w:r>
              <w:t xml:space="preserve">Consignment in-market</w:t>
            </w:r>
          </w:p>
        </w:tc>
        <w:tc>
          <w:tcPr/>
          <w:p>
            <w:pPr>
              <w:pStyle w:val="Compact"/>
            </w:pPr>
            <w:r>
              <w:t xml:space="preserve">High</w:t>
            </w:r>
          </w:p>
        </w:tc>
        <w:tc>
          <w:tcPr/>
          <w:p>
            <w:pPr>
              <w:pStyle w:val="Compact"/>
            </w:pPr>
            <w:r>
              <w:t xml:space="preserve">High</w:t>
            </w:r>
          </w:p>
        </w:tc>
        <w:tc>
          <w:tcPr/>
          <w:p>
            <w:pPr>
              <w:pStyle w:val="Compact"/>
            </w:pPr>
            <w:r>
              <w:t xml:space="preserve">Medium (freight + storage + handling; lower COGS cash outlay)</w:t>
            </w:r>
          </w:p>
        </w:tc>
        <w:tc>
          <w:tcPr/>
          <w:p>
            <w:pPr>
              <w:pStyle w:val="Compact"/>
            </w:pPr>
            <w:r>
              <w:t xml:space="preserve">Better freshness; better QC; reduces working-capital vs outright purchase</w:t>
            </w:r>
          </w:p>
        </w:tc>
        <w:tc>
          <w:tcPr/>
          <w:p>
            <w:pPr>
              <w:pStyle w:val="Compact"/>
            </w:pPr>
            <w:r>
              <w:t xml:space="preserve">Supplier may refuse without proven sell-through; you still face EU importer roles (EORI often needed for customs), VAT logistics, and food labeling responsibilities.</w:t>
            </w:r>
            <w:r>
              <w:t xml:space="preserve"> </w:t>
            </w:r>
            <w:hyperlink r:id="rId34">
              <w:r>
                <w:rPr>
                  <w:rStyle w:val="Hyperlink"/>
                </w:rPr>
                <w:t xml:space="preserve">[16]</w:t>
              </w:r>
            </w:hyperlink>
          </w:p>
        </w:tc>
      </w:tr>
    </w:tbl>
    <w:bookmarkEnd w:id="35"/>
    <w:bookmarkStart w:id="36" w:name="operational-flow-diagrams"/>
    <w:p>
      <w:pPr>
        <w:pStyle w:val="Heading3"/>
      </w:pPr>
      <w:r>
        <w:t xml:space="preserve">Operational flow diagrams</w:t>
      </w:r>
    </w:p>
    <w:p>
      <w:pPr>
        <w:pStyle w:val="FirstParagraph"/>
      </w:pPr>
      <w:r>
        <w:rPr>
          <w:b/>
          <w:bCs/>
        </w:rPr>
        <w:t xml:space="preserve">Charge-on-order marketplace (buyer imports) – supply-chain flow</w:t>
      </w:r>
    </w:p>
    <w:p>
      <w:pPr>
        <w:pStyle w:val="SourceCode"/>
      </w:pPr>
      <w:r>
        <w:rPr>
          <w:rStyle w:val="VerbatimChar"/>
        </w:rPr>
        <w:t xml:space="preserve">flowchart LR</w:t>
      </w:r>
      <w:r>
        <w:br/>
      </w:r>
      <w:r>
        <w:rPr>
          <w:rStyle w:val="VerbatimChar"/>
        </w:rPr>
        <w:t xml:space="preserve">  A[Indian exporter / supplier] --&gt; B[Offer lots + documents in portal]</w:t>
      </w:r>
      <w:r>
        <w:br/>
      </w:r>
      <w:r>
        <w:rPr>
          <w:rStyle w:val="VerbatimChar"/>
        </w:rPr>
        <w:t xml:space="preserve">  B --&gt; C[Marketplace listing + lot ledger]</w:t>
      </w:r>
      <w:r>
        <w:br/>
      </w:r>
      <w:r>
        <w:rPr>
          <w:rStyle w:val="VerbatimChar"/>
        </w:rPr>
        <w:t xml:space="preserve">  D[B2B buyer in US/EU] --&gt; C</w:t>
      </w:r>
      <w:r>
        <w:br/>
      </w:r>
      <w:r>
        <w:rPr>
          <w:rStyle w:val="VerbatimChar"/>
        </w:rPr>
        <w:t xml:space="preserve">  D --&gt; E[Order + payment to platform]</w:t>
      </w:r>
      <w:r>
        <w:br/>
      </w:r>
      <w:r>
        <w:rPr>
          <w:rStyle w:val="VerbatimChar"/>
        </w:rPr>
        <w:t xml:space="preserve">  C --&gt; F[Order routed to exporter]</w:t>
      </w:r>
      <w:r>
        <w:br/>
      </w:r>
      <w:r>
        <w:rPr>
          <w:rStyle w:val="VerbatimChar"/>
        </w:rPr>
        <w:t xml:space="preserve">  F --&gt; G[Shipment under agreed Incoterm]</w:t>
      </w:r>
      <w:r>
        <w:br/>
      </w:r>
      <w:r>
        <w:rPr>
          <w:rStyle w:val="VerbatimChar"/>
        </w:rPr>
        <w:t xml:space="preserve">  G --&gt; H[Buyer import clearance + duties/VAT (buyer)]</w:t>
      </w:r>
      <w:r>
        <w:br/>
      </w:r>
      <w:r>
        <w:rPr>
          <w:rStyle w:val="VerbatimChar"/>
        </w:rPr>
        <w:t xml:space="preserve">  H --&gt; I[Buyer receives goods]</w:t>
      </w:r>
      <w:r>
        <w:br/>
      </w:r>
      <w:r>
        <w:rPr>
          <w:rStyle w:val="VerbatimChar"/>
        </w:rPr>
        <w:t xml:space="preserve">  E --&gt; J[Platform payout to supplier minus commission]</w:t>
      </w:r>
    </w:p>
    <w:p>
      <w:pPr>
        <w:pStyle w:val="FirstParagraph"/>
      </w:pPr>
      <w:r>
        <w:rPr>
          <w:b/>
          <w:bCs/>
        </w:rPr>
        <w:t xml:space="preserve">Dropship India→customer – supply-chain flow</w:t>
      </w:r>
    </w:p>
    <w:p>
      <w:pPr>
        <w:pStyle w:val="SourceCode"/>
      </w:pPr>
      <w:r>
        <w:rPr>
          <w:rStyle w:val="VerbatimChar"/>
        </w:rPr>
        <w:t xml:space="preserve">flowchart LR</w:t>
      </w:r>
      <w:r>
        <w:br/>
      </w:r>
      <w:r>
        <w:rPr>
          <w:rStyle w:val="VerbatimChar"/>
        </w:rPr>
        <w:t xml:space="preserve">  A[Indian supplier] --&gt; B[Platform storefront]</w:t>
      </w:r>
      <w:r>
        <w:br/>
      </w:r>
      <w:r>
        <w:rPr>
          <w:rStyle w:val="VerbatimChar"/>
        </w:rPr>
        <w:t xml:space="preserve">  C[Consumer in US/EU] --&gt; B</w:t>
      </w:r>
      <w:r>
        <w:br/>
      </w:r>
      <w:r>
        <w:rPr>
          <w:rStyle w:val="VerbatimChar"/>
        </w:rPr>
        <w:t xml:space="preserve">  C --&gt; D[Pays platform]</w:t>
      </w:r>
      <w:r>
        <w:br/>
      </w:r>
      <w:r>
        <w:rPr>
          <w:rStyle w:val="VerbatimChar"/>
        </w:rPr>
        <w:t xml:space="preserve">  B --&gt; E[Order routed to supplier]</w:t>
      </w:r>
      <w:r>
        <w:br/>
      </w:r>
      <w:r>
        <w:rPr>
          <w:rStyle w:val="VerbatimChar"/>
        </w:rPr>
        <w:t xml:space="preserve">  E --&gt; F[Parcel export + carrier]</w:t>
      </w:r>
      <w:r>
        <w:br/>
      </w:r>
      <w:r>
        <w:rPr>
          <w:rStyle w:val="VerbatimChar"/>
        </w:rPr>
        <w:t xml:space="preserve">  F --&gt; G[Customs clearance + VAT/duties handling]</w:t>
      </w:r>
      <w:r>
        <w:br/>
      </w:r>
      <w:r>
        <w:rPr>
          <w:rStyle w:val="VerbatimChar"/>
        </w:rPr>
        <w:t xml:space="preserve">  G --&gt; H[Last-mile delivery]</w:t>
      </w:r>
      <w:r>
        <w:br/>
      </w:r>
      <w:r>
        <w:rPr>
          <w:rStyle w:val="VerbatimChar"/>
        </w:rPr>
        <w:t xml:space="preserve">  H --&gt; I[Refund/return request]</w:t>
      </w:r>
      <w:r>
        <w:br/>
      </w:r>
      <w:r>
        <w:rPr>
          <w:rStyle w:val="VerbatimChar"/>
        </w:rPr>
        <w:t xml:space="preserve">  I --&gt; J[Cross-border return or refund-without-return]</w:t>
      </w:r>
    </w:p>
    <w:p>
      <w:pPr>
        <w:pStyle w:val="FirstParagraph"/>
      </w:pPr>
      <w:r>
        <w:rPr>
          <w:b/>
          <w:bCs/>
        </w:rPr>
        <w:t xml:space="preserve">Consignment in-market – supply-chain flow</w:t>
      </w:r>
    </w:p>
    <w:p>
      <w:pPr>
        <w:pStyle w:val="SourceCode"/>
      </w:pPr>
      <w:r>
        <w:rPr>
          <w:rStyle w:val="VerbatimChar"/>
        </w:rPr>
        <w:t xml:space="preserve">flowchart LR</w:t>
      </w:r>
      <w:r>
        <w:br/>
      </w:r>
      <w:r>
        <w:rPr>
          <w:rStyle w:val="VerbatimChar"/>
        </w:rPr>
        <w:t xml:space="preserve">  A[Indian exporter] --&gt; B[Bulk shipment to destination]</w:t>
      </w:r>
      <w:r>
        <w:br/>
      </w:r>
      <w:r>
        <w:rPr>
          <w:rStyle w:val="VerbatimChar"/>
        </w:rPr>
        <w:t xml:space="preserve">  B --&gt; C[Import clearance]</w:t>
      </w:r>
      <w:r>
        <w:br/>
      </w:r>
      <w:r>
        <w:rPr>
          <w:rStyle w:val="VerbatimChar"/>
        </w:rPr>
        <w:t xml:space="preserve">  C --&gt; D[Consignment inventory at 3PL/roaster]</w:t>
      </w:r>
      <w:r>
        <w:br/>
      </w:r>
      <w:r>
        <w:rPr>
          <w:rStyle w:val="VerbatimChar"/>
        </w:rPr>
        <w:t xml:space="preserve">  E[Customer/B2B buyer] --&gt; F[Platform order]</w:t>
      </w:r>
      <w:r>
        <w:br/>
      </w:r>
      <w:r>
        <w:rPr>
          <w:rStyle w:val="VerbatimChar"/>
        </w:rPr>
        <w:t xml:space="preserve">  F --&gt; D</w:t>
      </w:r>
      <w:r>
        <w:br/>
      </w:r>
      <w:r>
        <w:rPr>
          <w:rStyle w:val="VerbatimChar"/>
        </w:rPr>
        <w:t xml:space="preserve">  D --&gt; G[Pick/pack/ship]</w:t>
      </w:r>
      <w:r>
        <w:br/>
      </w:r>
      <w:r>
        <w:rPr>
          <w:rStyle w:val="VerbatimChar"/>
        </w:rPr>
        <w:t xml:space="preserve">  G --&gt; H[Delivery]</w:t>
      </w:r>
      <w:r>
        <w:br/>
      </w:r>
      <w:r>
        <w:rPr>
          <w:rStyle w:val="VerbatimChar"/>
        </w:rPr>
        <w:t xml:space="preserve">  F --&gt; I[Collect payment]</w:t>
      </w:r>
      <w:r>
        <w:br/>
      </w:r>
      <w:r>
        <w:rPr>
          <w:rStyle w:val="VerbatimChar"/>
        </w:rPr>
        <w:t xml:space="preserve">  I --&gt; J[Periodic settlement to supplier for sold units]</w:t>
      </w:r>
      <w:r>
        <w:br/>
      </w:r>
      <w:r>
        <w:rPr>
          <w:rStyle w:val="VerbatimChar"/>
        </w:rPr>
        <w:t xml:space="preserve">  H --&gt; K[Returns/disputes handling]</w:t>
      </w:r>
    </w:p>
    <w:bookmarkEnd w:id="36"/>
    <w:bookmarkEnd w:id="37"/>
    <w:bookmarkStart w:id="46" w:name="X9980396d2ad9c65a1b1357cf416761b353fe855"/>
    <w:p>
      <w:pPr>
        <w:pStyle w:val="Heading2"/>
      </w:pPr>
      <w:r>
        <w:t xml:space="preserve">Compliance and import constraints for US and EU</w:t>
      </w:r>
    </w:p>
    <w:p>
      <w:pPr>
        <w:pStyle w:val="FirstParagraph"/>
      </w:pPr>
      <w:r>
        <w:t xml:space="preserve">This section highlights the compliance “tripwires” that decide whether a model remains asset-light or becomes capital- and liability-heavy.</w:t>
      </w:r>
    </w:p>
    <w:bookmarkStart w:id="40" w:name="united-states"/>
    <w:p>
      <w:pPr>
        <w:pStyle w:val="Heading3"/>
      </w:pPr>
      <w:r>
        <w:t xml:space="preserve">United States</w:t>
      </w:r>
    </w:p>
    <w:p>
      <w:pPr>
        <w:pStyle w:val="FirstParagraph"/>
      </w:pPr>
      <w:r>
        <w:rPr>
          <w:b/>
          <w:bCs/>
        </w:rPr>
        <w:t xml:space="preserve">Prior Notice:</w:t>
      </w:r>
      <w:r>
        <w:t xml:space="preserve"> </w:t>
      </w:r>
      <w:r>
        <w:t xml:space="preserve">FDA states prior notice must be provided for all food imported or offered for import into the US, and points to 21 CFR Part 1 Subpart I as the regulatory basis.</w:t>
      </w:r>
      <w:r>
        <w:t xml:space="preserve"> </w:t>
      </w:r>
      <w:hyperlink r:id="rId23">
        <w:r>
          <w:rPr>
            <w:rStyle w:val="Hyperlink"/>
          </w:rPr>
          <w:t xml:space="preserve">[17]</w:t>
        </w:r>
      </w:hyperlink>
      <w:r>
        <w:br/>
      </w:r>
      <w:r>
        <w:t xml:space="preserve">Implication: a pure dropship-to-consumer model turns every customer order into an import event with prior notice expectations, increasing operational overhead and failure points.</w:t>
      </w:r>
    </w:p>
    <w:p>
      <w:pPr>
        <w:pStyle w:val="BodyText"/>
      </w:pPr>
      <w:r>
        <w:rPr>
          <w:b/>
          <w:bCs/>
        </w:rPr>
        <w:t xml:space="preserve">FSVP (Foreign Supplier Verification Programs):</w:t>
      </w:r>
      <w:r>
        <w:t xml:space="preserve"> </w:t>
      </w:r>
      <w:r>
        <w:t xml:space="preserve">the FDA defines the FSVP importer as the</w:t>
      </w:r>
      <w:r>
        <w:t xml:space="preserve"> </w:t>
      </w:r>
      <w:r>
        <w:rPr>
          <w:b/>
          <w:bCs/>
        </w:rPr>
        <w:t xml:space="preserve">U.S. owner or consignee</w:t>
      </w:r>
      <w:r>
        <w:t xml:space="preserve">, or a U.S. agent/representative if none, and emphasizes that importers must develop and follow an FSVP for each food imported (unless exempt).</w:t>
      </w:r>
      <w:r>
        <w:t xml:space="preserve"> </w:t>
      </w:r>
      <w:hyperlink r:id="rId22">
        <w:r>
          <w:rPr>
            <w:rStyle w:val="Hyperlink"/>
          </w:rPr>
          <w:t xml:space="preserve">[18]</w:t>
        </w:r>
      </w:hyperlink>
      <w:r>
        <w:br/>
      </w:r>
      <w:r>
        <w:t xml:space="preserve">Implication: if your platform structure means you “own,” “purchase,” or are the U.S. consignee at entry, you likely inherit FSVP program obligations and related costs.</w:t>
      </w:r>
    </w:p>
    <w:p>
      <w:pPr>
        <w:pStyle w:val="BodyText"/>
      </w:pPr>
      <w:r>
        <w:rPr>
          <w:b/>
          <w:bCs/>
        </w:rPr>
        <w:t xml:space="preserve">Facility registration:</w:t>
      </w:r>
      <w:r>
        <w:t xml:space="preserve"> </w:t>
      </w:r>
      <w:r>
        <w:t xml:space="preserve">21 CFR Part 1 Subpart H describes who must register facilities that manufacture/process/pack/hold food for US consumption.</w:t>
      </w:r>
      <w:r>
        <w:t xml:space="preserve"> </w:t>
      </w:r>
      <w:hyperlink r:id="rId38">
        <w:r>
          <w:rPr>
            <w:rStyle w:val="Hyperlink"/>
          </w:rPr>
          <w:t xml:space="preserve">[19]</w:t>
        </w:r>
      </w:hyperlink>
      <w:r>
        <w:br/>
      </w:r>
      <w:r>
        <w:t xml:space="preserve">Practical implication: if you rely on a contract roaster or co-packer, you need to ensure facility registration and documentation readiness for import flows and inspections.</w:t>
      </w:r>
    </w:p>
    <w:p>
      <w:pPr>
        <w:pStyle w:val="BodyText"/>
      </w:pPr>
      <w:r>
        <w:rPr>
          <w:b/>
          <w:bCs/>
        </w:rPr>
        <w:t xml:space="preserve">Country-of-origin marking:</w:t>
      </w:r>
      <w:r>
        <w:t xml:space="preserve"> </w:t>
      </w:r>
      <w:r>
        <w:t xml:space="preserve">U.S. law requires foreign-origin articles (or containers, as applicable) to be marked with country of origin, and CBP provides an informed compliance publication on marking.</w:t>
      </w:r>
      <w:r>
        <w:t xml:space="preserve"> </w:t>
      </w:r>
      <w:hyperlink r:id="rId39">
        <w:r>
          <w:rPr>
            <w:rStyle w:val="Hyperlink"/>
          </w:rPr>
          <w:t xml:space="preserve">[20]</w:t>
        </w:r>
      </w:hyperlink>
      <w:r>
        <w:br/>
      </w:r>
      <w:r>
        <w:t xml:space="preserve">Implication: packaging supply chain and labeling workflows must enforce “Product of India” (or equivalent) marking rules.</w:t>
      </w:r>
    </w:p>
    <w:bookmarkEnd w:id="40"/>
    <w:bookmarkStart w:id="45" w:name="european-union"/>
    <w:p>
      <w:pPr>
        <w:pStyle w:val="Heading3"/>
      </w:pPr>
      <w:r>
        <w:t xml:space="preserve">European Union</w:t>
      </w:r>
    </w:p>
    <w:p>
      <w:pPr>
        <w:pStyle w:val="FirstParagraph"/>
      </w:pPr>
      <w:r>
        <w:rPr>
          <w:b/>
          <w:bCs/>
        </w:rPr>
        <w:t xml:space="preserve">Traceability:</w:t>
      </w:r>
      <w:r>
        <w:t xml:space="preserve"> </w:t>
      </w:r>
      <w:r>
        <w:t xml:space="preserve">EU food law requires traceability systems at all stages; food business operators must identify who supplied them and who they supplied, and maintain systems to provide that information to competent authorities.</w:t>
      </w:r>
      <w:r>
        <w:t xml:space="preserve"> </w:t>
      </w:r>
      <w:hyperlink r:id="rId28">
        <w:r>
          <w:rPr>
            <w:rStyle w:val="Hyperlink"/>
          </w:rPr>
          <w:t xml:space="preserve">[13]</w:t>
        </w:r>
      </w:hyperlink>
      <w:r>
        <w:br/>
      </w:r>
      <w:r>
        <w:t xml:space="preserve">Implication: your lot ledger is not just “brand UX”; it’s aligned to regulatory expectations and supports incident response.</w:t>
      </w:r>
    </w:p>
    <w:p>
      <w:pPr>
        <w:pStyle w:val="BodyText"/>
      </w:pPr>
      <w:r>
        <w:rPr>
          <w:b/>
          <w:bCs/>
        </w:rPr>
        <w:t xml:space="preserve">Food information and labeling responsibility:</w:t>
      </w:r>
      <w:r>
        <w:t xml:space="preserve"> </w:t>
      </w:r>
      <w:r>
        <w:t xml:space="preserve">Regulation (EU) 1169/2011 states the food business operator responsible for food information is the operator under whose name the food is marketed, or if not established in the EU, the importer into the EU market.</w:t>
      </w:r>
      <w:r>
        <w:t xml:space="preserve"> </w:t>
      </w:r>
      <w:hyperlink r:id="rId33">
        <w:r>
          <w:rPr>
            <w:rStyle w:val="Hyperlink"/>
          </w:rPr>
          <w:t xml:space="preserve">[14]</w:t>
        </w:r>
      </w:hyperlink>
      <w:r>
        <w:br/>
      </w:r>
      <w:r>
        <w:t xml:space="preserve">Implication: in many dropship scenarios, your structure effectively makes someone the “importer” responsible for labeling accuracy; for B2C, that tends to be you or your EU intermediary—not the consumer—if you want a good customer experience.</w:t>
      </w:r>
    </w:p>
    <w:p>
      <w:pPr>
        <w:pStyle w:val="BodyText"/>
      </w:pPr>
      <w:r>
        <w:rPr>
          <w:b/>
          <w:bCs/>
        </w:rPr>
        <w:t xml:space="preserve">HACCP-based procedures:</w:t>
      </w:r>
      <w:r>
        <w:t xml:space="preserve"> </w:t>
      </w:r>
      <w:r>
        <w:t xml:space="preserve">EU hygiene regulation requires food business operators to implement and maintain procedures based on HACCP principles.</w:t>
      </w:r>
      <w:r>
        <w:t xml:space="preserve"> </w:t>
      </w:r>
      <w:hyperlink r:id="rId41">
        <w:r>
          <w:rPr>
            <w:rStyle w:val="Hyperlink"/>
          </w:rPr>
          <w:t xml:space="preserve">[21]</w:t>
        </w:r>
      </w:hyperlink>
      <w:r>
        <w:br/>
      </w:r>
      <w:r>
        <w:t xml:space="preserve">Implication: if you operate roasting/packing (directly or via controlled contractors), your quality system must be auditable.</w:t>
      </w:r>
    </w:p>
    <w:p>
      <w:pPr>
        <w:pStyle w:val="BodyText"/>
      </w:pPr>
      <w:r>
        <w:rPr>
          <w:b/>
          <w:bCs/>
        </w:rPr>
        <w:t xml:space="preserve">Official controls and border enforcement:</w:t>
      </w:r>
      <w:r>
        <w:t xml:space="preserve"> </w:t>
      </w:r>
      <w:r>
        <w:t xml:space="preserve">Regulation (EU) 2017/625 sets the framework for official controls, including goods entering the EU from third countries.</w:t>
      </w:r>
      <w:r>
        <w:t xml:space="preserve"> </w:t>
      </w:r>
      <w:hyperlink r:id="rId42">
        <w:r>
          <w:rPr>
            <w:rStyle w:val="Hyperlink"/>
          </w:rPr>
          <w:t xml:space="preserve">[22]</w:t>
        </w:r>
      </w:hyperlink>
      <w:r>
        <w:br/>
      </w:r>
      <w:r>
        <w:t xml:space="preserve">Implication: documentation completeness and traceability influence border outcomes and enforcement interactions.</w:t>
      </w:r>
    </w:p>
    <w:p>
      <w:pPr>
        <w:pStyle w:val="BodyText"/>
      </w:pPr>
      <w:r>
        <w:rPr>
          <w:b/>
          <w:bCs/>
        </w:rPr>
        <w:t xml:space="preserve">VAT, customs declarations, and distance sales constraints:</w:t>
      </w:r>
      <w:r>
        <w:t xml:space="preserve"> </w:t>
      </w:r>
      <w:r>
        <w:t xml:space="preserve">EU Commission guidance states that VAT exemption for imported goods below €22 was abolished and that import declarations are required for all goods entering the EU; IOSS simplifies VAT for distance sales of low value goods not exceeding €150.</w:t>
      </w:r>
      <w:r>
        <w:t xml:space="preserve"> </w:t>
      </w:r>
      <w:hyperlink r:id="rId29">
        <w:r>
          <w:rPr>
            <w:rStyle w:val="Hyperlink"/>
          </w:rPr>
          <w:t xml:space="preserve">[23]</w:t>
        </w:r>
      </w:hyperlink>
      <w:r>
        <w:br/>
      </w:r>
      <w:r>
        <w:t xml:space="preserve">Separately, the EU has announced plans to remove the €150 customs duty exemption threshold for parcels, which is directly hostile to long-term parcel dropship economics.</w:t>
      </w:r>
      <w:r>
        <w:t xml:space="preserve"> </w:t>
      </w:r>
      <w:hyperlink r:id="rId43">
        <w:r>
          <w:rPr>
            <w:rStyle w:val="Hyperlink"/>
          </w:rPr>
          <w:t xml:space="preserve">[24]</w:t>
        </w:r>
      </w:hyperlink>
    </w:p>
    <w:p>
      <w:pPr>
        <w:pStyle w:val="BodyText"/>
      </w:pPr>
      <w:r>
        <w:rPr>
          <w:b/>
          <w:bCs/>
        </w:rPr>
        <w:t xml:space="preserve">EUDR readiness (deforestation due diligence):</w:t>
      </w:r>
      <w:r>
        <w:t xml:space="preserve"> </w:t>
      </w:r>
      <w:r>
        <w:t xml:space="preserve">coffee is explicitly within scope of Regulation (EU) 2023/1115, and Annex I includes HS 0901 coffee products.</w:t>
      </w:r>
      <w:r>
        <w:t xml:space="preserve"> </w:t>
      </w:r>
      <w:hyperlink r:id="rId27">
        <w:r>
          <w:rPr>
            <w:rStyle w:val="Hyperlink"/>
          </w:rPr>
          <w:t xml:space="preserve">[25]</w:t>
        </w:r>
      </w:hyperlink>
      <w:r>
        <w:br/>
      </w:r>
      <w:r>
        <w:t xml:space="preserve">EU Commission and official sources document the postponement of main obligations to</w:t>
      </w:r>
      <w:r>
        <w:t xml:space="preserve"> </w:t>
      </w:r>
      <w:r>
        <w:rPr>
          <w:b/>
          <w:bCs/>
        </w:rPr>
        <w:t xml:space="preserve">30 Dec 2026</w:t>
      </w:r>
      <w:r>
        <w:t xml:space="preserve"> </w:t>
      </w:r>
      <w:r>
        <w:t xml:space="preserve">for large operators, while the regulation requires due diligence systems including geolocation of plots of land.</w:t>
      </w:r>
      <w:r>
        <w:t xml:space="preserve"> </w:t>
      </w:r>
      <w:hyperlink r:id="rId25">
        <w:r>
          <w:rPr>
            <w:rStyle w:val="Hyperlink"/>
          </w:rPr>
          <w:t xml:space="preserve">[26]</w:t>
        </w:r>
      </w:hyperlink>
      <w:r>
        <w:br/>
      </w:r>
      <w:r>
        <w:t xml:space="preserve">The Coffee Board’s INDICOFS documentation explicitly frames traceability and emerging regulations such as EUDR as motivators for a nationally anchored sustainability standard, and references geocoordinates in documentation requirements.</w:t>
      </w:r>
      <w:r>
        <w:t xml:space="preserve"> </w:t>
      </w:r>
      <w:hyperlink r:id="rId44">
        <w:r>
          <w:rPr>
            <w:rStyle w:val="Hyperlink"/>
          </w:rPr>
          <w:t xml:space="preserve">[27]</w:t>
        </w:r>
      </w:hyperlink>
    </w:p>
    <w:bookmarkEnd w:id="45"/>
    <w:bookmarkEnd w:id="46"/>
    <w:bookmarkStart w:id="52" w:name="Xe2044ab6213b856d1da11400bdb91fe75694bf4"/>
    <w:p>
      <w:pPr>
        <w:pStyle w:val="Heading2"/>
      </w:pPr>
      <w:r>
        <w:t xml:space="preserve">Quality control, returns handling, and supplier incentives</w:t>
      </w:r>
    </w:p>
    <w:bookmarkStart w:id="47" w:name="quality-control-realities-by-model"/>
    <w:p>
      <w:pPr>
        <w:pStyle w:val="Heading3"/>
      </w:pPr>
      <w:r>
        <w:t xml:space="preserve">Quality control realities by model</w:t>
      </w:r>
    </w:p>
    <w:p>
      <w:pPr>
        <w:pStyle w:val="FirstParagraph"/>
      </w:pPr>
      <w:r>
        <w:rPr>
          <w:b/>
          <w:bCs/>
        </w:rPr>
        <w:t xml:space="preserve">Marketplace (buyer imports):</w:t>
      </w:r>
      <w:r>
        <w:br/>
      </w:r>
      <w:r>
        <w:t xml:space="preserve">You can do sampling + documentation checks, but you do not control the physical chain-of-custody unless you add independent inspection or third-party QC services. This favors</w:t>
      </w:r>
      <w:r>
        <w:t xml:space="preserve"> </w:t>
      </w:r>
      <w:r>
        <w:rPr>
          <w:b/>
          <w:bCs/>
        </w:rPr>
        <w:t xml:space="preserve">B2B buyers</w:t>
      </w:r>
      <w:r>
        <w:t xml:space="preserve"> </w:t>
      </w:r>
      <w:r>
        <w:t xml:space="preserve">who already have QC labs and acceptance processes, and it pressures you to position your platform as “better sourcing intelligence” rather than “we guarantee the cup.” EU traceability obligations still apply across the chain.</w:t>
      </w:r>
      <w:r>
        <w:t xml:space="preserve"> </w:t>
      </w:r>
      <w:hyperlink r:id="rId28">
        <w:r>
          <w:rPr>
            <w:rStyle w:val="Hyperlink"/>
          </w:rPr>
          <w:t xml:space="preserve">[13]</w:t>
        </w:r>
      </w:hyperlink>
    </w:p>
    <w:p>
      <w:pPr>
        <w:pStyle w:val="BodyText"/>
      </w:pPr>
      <w:r>
        <w:rPr>
          <w:b/>
          <w:bCs/>
        </w:rPr>
        <w:t xml:space="preserve">Dropship:</w:t>
      </w:r>
      <w:r>
        <w:br/>
      </w:r>
      <w:r>
        <w:t xml:space="preserve">Quality risk is highest because (a) you often cannot recall/rework product in transit, and (b) cross-border returns are costly and frequently end as “refund without return.” EU food recall responsibilities contemplate withdrawal/recall capabilities when products may have reached the consumer.</w:t>
      </w:r>
      <w:r>
        <w:t xml:space="preserve"> </w:t>
      </w:r>
      <w:hyperlink r:id="rId28">
        <w:r>
          <w:rPr>
            <w:rStyle w:val="Hyperlink"/>
          </w:rPr>
          <w:t xml:space="preserve">[13]</w:t>
        </w:r>
      </w:hyperlink>
      <w:r>
        <w:br/>
      </w:r>
      <w:r>
        <w:t xml:space="preserve">If you sell roasted coffee, you also face “time-to-stale” perception issues that can increase refund rates (assumption based on coffee freshness expectations; quantify with pilot data).</w:t>
      </w:r>
    </w:p>
    <w:p>
      <w:pPr>
        <w:pStyle w:val="BodyText"/>
      </w:pPr>
      <w:r>
        <w:rPr>
          <w:b/>
          <w:bCs/>
        </w:rPr>
        <w:t xml:space="preserve">Consignment in-market:</w:t>
      </w:r>
      <w:r>
        <w:br/>
      </w:r>
      <w:r>
        <w:t xml:space="preserve">Quality is best controllable: you can test green coffee intake, audit roast curves, verify packaging integrity, and run lot-based hold/release. This is the most compatible model for a premium D2C brand, even if supplier retains title.</w:t>
      </w:r>
    </w:p>
    <w:bookmarkEnd w:id="47"/>
    <w:bookmarkStart w:id="48" w:name="X69b7eee86058dc7ba870134cc2c64723bca0a72"/>
    <w:p>
      <w:pPr>
        <w:pStyle w:val="Heading3"/>
      </w:pPr>
      <w:r>
        <w:t xml:space="preserve">Returns and disputes handling (recommended policies by model)</w:t>
      </w:r>
    </w:p>
    <w:p>
      <w:pPr>
        <w:pStyle w:val="Compact"/>
        <w:numPr>
          <w:ilvl w:val="0"/>
          <w:numId w:val="1005"/>
        </w:numPr>
      </w:pPr>
      <w:r>
        <w:rPr>
          <w:b/>
          <w:bCs/>
        </w:rPr>
        <w:t xml:space="preserve">Food returns policy baseline:</w:t>
      </w:r>
      <w:r>
        <w:t xml:space="preserve"> </w:t>
      </w:r>
      <w:r>
        <w:t xml:space="preserve">treat “opened food” as non-returnable for safety; offer refunds or reshipments tied to lot-level issue codes and photo evidence (policy design rather than regulation).</w:t>
      </w:r>
    </w:p>
    <w:p>
      <w:pPr>
        <w:pStyle w:val="Compact"/>
        <w:numPr>
          <w:ilvl w:val="0"/>
          <w:numId w:val="1005"/>
        </w:numPr>
      </w:pPr>
      <w:r>
        <w:rPr>
          <w:b/>
          <w:bCs/>
        </w:rPr>
        <w:t xml:space="preserve">Lot-based claims process:</w:t>
      </w:r>
      <w:r>
        <w:t xml:space="preserve"> </w:t>
      </w:r>
      <w:r>
        <w:t xml:space="preserve">EU law expects traceability for targeted withdrawals/recalls; your dispute mechanics should mirror “lot triage” rather than generic refunds.</w:t>
      </w:r>
      <w:r>
        <w:t xml:space="preserve"> </w:t>
      </w:r>
      <w:hyperlink r:id="rId28">
        <w:r>
          <w:rPr>
            <w:rStyle w:val="Hyperlink"/>
          </w:rPr>
          <w:t xml:space="preserve">[13]</w:t>
        </w:r>
      </w:hyperlink>
    </w:p>
    <w:bookmarkEnd w:id="48"/>
    <w:bookmarkStart w:id="49" w:name="X68e33baddbb13666e90fd47637132d4cdd28ee8"/>
    <w:p>
      <w:pPr>
        <w:pStyle w:val="Heading3"/>
      </w:pPr>
      <w:r>
        <w:t xml:space="preserve">Supplier incentives and contract posture in India</w:t>
      </w:r>
    </w:p>
    <w:p>
      <w:pPr>
        <w:pStyle w:val="FirstParagraph"/>
      </w:pPr>
      <w:r>
        <w:t xml:space="preserve">Indian exporters operate within Coffee Board export registration and permitting structures: exporter registration (RCMC), export permits, and certificates of origin are part of the formal export pathway.</w:t>
      </w:r>
      <w:r>
        <w:t xml:space="preserve"> </w:t>
      </w:r>
      <w:hyperlink r:id="rId24">
        <w:r>
          <w:rPr>
            <w:rStyle w:val="Hyperlink"/>
          </w:rPr>
          <w:t xml:space="preserve">[28]</w:t>
        </w:r>
      </w:hyperlink>
      <w:r>
        <w:br/>
      </w:r>
      <w:r>
        <w:t xml:space="preserve">Implications for supplier onboarding incentives:</w:t>
      </w:r>
    </w:p>
    <w:p>
      <w:pPr>
        <w:pStyle w:val="Compact"/>
        <w:numPr>
          <w:ilvl w:val="0"/>
          <w:numId w:val="1006"/>
        </w:numPr>
      </w:pPr>
      <w:r>
        <w:t xml:space="preserve">Exporters are often optimized for</w:t>
      </w:r>
      <w:r>
        <w:t xml:space="preserve"> </w:t>
      </w:r>
      <w:r>
        <w:rPr>
          <w:b/>
          <w:bCs/>
        </w:rPr>
        <w:t xml:space="preserve">bulk shipments</w:t>
      </w:r>
      <w:r>
        <w:t xml:space="preserve"> </w:t>
      </w:r>
      <w:r>
        <w:t xml:space="preserve">and predictable counterparties; they will discount “dropship one bag to one consumer” unless you aggregate demand or pay high fulfillment premiums (assumption; validate with supplier interviews).</w:t>
      </w:r>
    </w:p>
    <w:p>
      <w:pPr>
        <w:pStyle w:val="Compact"/>
        <w:numPr>
          <w:ilvl w:val="0"/>
          <w:numId w:val="1006"/>
        </w:numPr>
      </w:pPr>
      <w:r>
        <w:rPr>
          <w:b/>
          <w:bCs/>
        </w:rPr>
        <w:t xml:space="preserve">Consignment</w:t>
      </w:r>
      <w:r>
        <w:t xml:space="preserve"> </w:t>
      </w:r>
      <w:r>
        <w:t xml:space="preserve">is attractive to you but implies exporters carry inventory risk abroad; offering (a) minimum sell-through guarantees or (b) partial advances can unlock participation (assumption; common trade incentive pattern).</w:t>
      </w:r>
    </w:p>
    <w:p>
      <w:pPr>
        <w:pStyle w:val="Compact"/>
        <w:numPr>
          <w:ilvl w:val="0"/>
          <w:numId w:val="1006"/>
        </w:numPr>
      </w:pPr>
      <w:r>
        <w:t xml:space="preserve">Aligning with INDICOFS-style sustainability and traceability expectations can be a</w:t>
      </w:r>
      <w:r>
        <w:t xml:space="preserve"> </w:t>
      </w:r>
      <w:r>
        <w:rPr>
          <w:i/>
          <w:iCs/>
        </w:rPr>
        <w:t xml:space="preserve">supplier-facing benefit</w:t>
      </w:r>
      <w:r>
        <w:t xml:space="preserve"> </w:t>
      </w:r>
      <w:r>
        <w:t xml:space="preserve">because it helps exporters meet buyer compliance demands tied to EUDR readiness.</w:t>
      </w:r>
      <w:r>
        <w:t xml:space="preserve"> </w:t>
      </w:r>
      <w:hyperlink r:id="rId44">
        <w:r>
          <w:rPr>
            <w:rStyle w:val="Hyperlink"/>
          </w:rPr>
          <w:t xml:space="preserve">[27]</w:t>
        </w:r>
      </w:hyperlink>
    </w:p>
    <w:bookmarkEnd w:id="49"/>
    <w:bookmarkStart w:id="51" w:name="X55552eedb884da1a616ab3c7eac1d91e3db3932"/>
    <w:p>
      <w:pPr>
        <w:pStyle w:val="Heading3"/>
      </w:pPr>
      <w:r>
        <w:t xml:space="preserve">Sample supplier contract clauses table (illustrative, not legal advice)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Clause area</w:t>
            </w:r>
          </w:p>
        </w:tc>
        <w:tc>
          <w:tcPr/>
          <w:p>
            <w:pPr>
              <w:pStyle w:val="Compact"/>
            </w:pPr>
            <w:r>
              <w:t xml:space="preserve">Marketplace clause concept</w:t>
            </w:r>
          </w:p>
        </w:tc>
        <w:tc>
          <w:tcPr/>
          <w:p>
            <w:pPr>
              <w:pStyle w:val="Compact"/>
            </w:pPr>
            <w:r>
              <w:t xml:space="preserve">Dropship clause concept</w:t>
            </w:r>
          </w:p>
        </w:tc>
        <w:tc>
          <w:tcPr/>
          <w:p>
            <w:pPr>
              <w:pStyle w:val="Compact"/>
            </w:pPr>
            <w:r>
              <w:t xml:space="preserve">Consignment clause concept</w:t>
            </w:r>
          </w:p>
        </w:tc>
      </w:tr>
      <w:tr>
        <w:tc>
          <w:tcPr/>
          <w:p>
            <w:pPr>
              <w:pStyle w:val="Compact"/>
            </w:pPr>
            <w:r>
              <w:t xml:space="preserve">Title / risk transfer</w:t>
            </w:r>
          </w:p>
        </w:tc>
        <w:tc>
          <w:tcPr/>
          <w:p>
            <w:pPr>
              <w:pStyle w:val="Compact"/>
            </w:pPr>
            <w:r>
              <w:t xml:space="preserve">“Platform never takes title; buyer is importer/consignee; supplier sells to buyer.” Aligns to FSVP importer definition being tied to U.S. owner/consignee.</w:t>
            </w:r>
            <w:r>
              <w:t xml:space="preserve"> </w:t>
            </w:r>
            <w:hyperlink r:id="rId22">
              <w:r>
                <w:rPr>
                  <w:rStyle w:val="Hyperlink"/>
                </w:rPr>
                <w:t xml:space="preserve">[29]</w:t>
              </w:r>
            </w:hyperlink>
          </w:p>
        </w:tc>
        <w:tc>
          <w:tcPr/>
          <w:p>
            <w:pPr>
              <w:pStyle w:val="Compact"/>
            </w:pPr>
            <w:r>
              <w:t xml:space="preserve">“Platform may be seller-of-record; clarify whether platform or buyer is importer under chosen Incoterm.” Incoterms clarify task/cost/risk allocation.</w:t>
            </w:r>
            <w:r>
              <w:t xml:space="preserve"> </w:t>
            </w:r>
            <w:hyperlink r:id="rId50">
              <w:r>
                <w:rPr>
                  <w:rStyle w:val="Hyperlink"/>
                </w:rPr>
                <w:t xml:space="preserve">[30]</w:t>
              </w:r>
            </w:hyperlink>
          </w:p>
        </w:tc>
        <w:tc>
          <w:tcPr/>
          <w:p>
            <w:pPr>
              <w:pStyle w:val="Compact"/>
            </w:pPr>
            <w:r>
              <w:t xml:space="preserve">“Supplier retains title until sale; platform holds inventory as bailee; define loss/theft allocation and insurance.” Incoterms still govern cross-border shipment.</w:t>
            </w:r>
            <w:r>
              <w:t xml:space="preserve"> </w:t>
            </w:r>
            <w:hyperlink r:id="rId50">
              <w:r>
                <w:rPr>
                  <w:rStyle w:val="Hyperlink"/>
                </w:rPr>
                <w:t xml:space="preserve">[31]</w:t>
              </w:r>
            </w:hyperlink>
          </w:p>
        </w:tc>
      </w:tr>
      <w:tr>
        <w:tc>
          <w:tcPr/>
          <w:p>
            <w:pPr>
              <w:pStyle w:val="Compact"/>
            </w:pPr>
            <w:r>
              <w:t xml:space="preserve">Payment terms</w:t>
            </w:r>
          </w:p>
        </w:tc>
        <w:tc>
          <w:tcPr/>
          <w:p>
            <w:pPr>
              <w:pStyle w:val="Compact"/>
            </w:pPr>
            <w:r>
              <w:t xml:space="preserve">“Platform collects from buyer; pays supplier net of commission on schedule; chargebacks deducted from reserve.”</w:t>
            </w:r>
          </w:p>
        </w:tc>
        <w:tc>
          <w:tcPr/>
          <w:p>
            <w:pPr>
              <w:pStyle w:val="Compact"/>
            </w:pPr>
            <w:r>
              <w:t xml:space="preserve">“Platform pays supplier per order; define who bears failed-delivery risk and customs/VAT surprises.” EU VAT rules can force VAT collection mechanisms and declarations.</w:t>
            </w:r>
            <w:r>
              <w:t xml:space="preserve"> </w:t>
            </w:r>
            <w:hyperlink r:id="rId29">
              <w:r>
                <w:rPr>
                  <w:rStyle w:val="Hyperlink"/>
                </w:rPr>
                <w:t xml:space="preserve">[23]</w:t>
              </w:r>
            </w:hyperlink>
          </w:p>
        </w:tc>
        <w:tc>
          <w:tcPr/>
          <w:p>
            <w:pPr>
              <w:pStyle w:val="Compact"/>
            </w:pPr>
            <w:r>
              <w:t xml:space="preserve">“Settlement monthly based on sell-through; aged inventory return rights; storage fee pass-through.”</w:t>
            </w:r>
          </w:p>
        </w:tc>
      </w:tr>
      <w:tr>
        <w:tc>
          <w:tcPr/>
          <w:p>
            <w:pPr>
              <w:pStyle w:val="Compact"/>
            </w:pPr>
            <w:r>
              <w:t xml:space="preserve">MOQ / lead times</w:t>
            </w:r>
          </w:p>
        </w:tc>
        <w:tc>
          <w:tcPr/>
          <w:p>
            <w:pPr>
              <w:pStyle w:val="Compact"/>
            </w:pPr>
            <w:r>
              <w:t xml:space="preserve">“MOQ per lot; lead time SLA; substitution rules if lot unavailable.”</w:t>
            </w:r>
          </w:p>
        </w:tc>
        <w:tc>
          <w:tcPr/>
          <w:p>
            <w:pPr>
              <w:pStyle w:val="Compact"/>
            </w:pPr>
            <w:r>
              <w:t xml:space="preserve">“MOQ may be 1 for parcel dropship but shipping cost premium applies.”</w:t>
            </w:r>
          </w:p>
        </w:tc>
        <w:tc>
          <w:tcPr/>
          <w:p>
            <w:pPr>
              <w:pStyle w:val="Compact"/>
            </w:pPr>
            <w:r>
              <w:t xml:space="preserve">“MOQ for bulk import; replenishment triggers; safety stock targets.”</w:t>
            </w:r>
          </w:p>
        </w:tc>
      </w:tr>
      <w:tr>
        <w:tc>
          <w:tcPr/>
          <w:p>
            <w:pPr>
              <w:pStyle w:val="Compact"/>
            </w:pPr>
            <w:r>
              <w:t xml:space="preserve">Traceability + data rights</w:t>
            </w:r>
          </w:p>
        </w:tc>
        <w:tc>
          <w:tcPr/>
          <w:p>
            <w:pPr>
              <w:pStyle w:val="Compact"/>
            </w:pPr>
            <w:r>
              <w:t xml:space="preserve">“Supplier must provide lot metadata and documents; platform gets a license to use traceability data for compliance/analytics.” EU traceability requirements support need for systems and documentation.</w:t>
            </w:r>
            <w:r>
              <w:t xml:space="preserve"> </w:t>
            </w:r>
            <w:hyperlink r:id="rId28">
              <w:r>
                <w:rPr>
                  <w:rStyle w:val="Hyperlink"/>
                </w:rPr>
                <w:t xml:space="preserve">[13]</w:t>
              </w:r>
            </w:hyperlink>
          </w:p>
        </w:tc>
        <w:tc>
          <w:tcPr/>
          <w:p>
            <w:pPr>
              <w:pStyle w:val="Compact"/>
            </w:pPr>
            <w:r>
              <w:t xml:space="preserve">Same + tighter requirements because consumer-facing claims must be accurate; EU labeling responsibility may fall to importer/brand.</w:t>
            </w:r>
            <w:r>
              <w:t xml:space="preserve"> </w:t>
            </w:r>
            <w:hyperlink r:id="rId33">
              <w:r>
                <w:rPr>
                  <w:rStyle w:val="Hyperlink"/>
                </w:rPr>
                <w:t xml:space="preserve">[14]</w:t>
              </w:r>
            </w:hyperlink>
          </w:p>
        </w:tc>
        <w:tc>
          <w:tcPr/>
          <w:p>
            <w:pPr>
              <w:pStyle w:val="Compact"/>
            </w:pPr>
            <w:r>
              <w:t xml:space="preserve">Same + platform audit rights and hold/release authority for QC.</w:t>
            </w:r>
          </w:p>
        </w:tc>
      </w:tr>
      <w:tr>
        <w:tc>
          <w:tcPr/>
          <w:p>
            <w:pPr>
              <w:pStyle w:val="Compact"/>
            </w:pPr>
            <w:r>
              <w:t xml:space="preserve">Compliance warranties</w:t>
            </w:r>
          </w:p>
        </w:tc>
        <w:tc>
          <w:tcPr/>
          <w:p>
            <w:pPr>
              <w:pStyle w:val="Compact"/>
            </w:pPr>
            <w:r>
              <w:t xml:space="preserve">“Supplier warrants export permits/certificates of origin where applicable under Coffee Board processes.”</w:t>
            </w:r>
            <w:r>
              <w:t xml:space="preserve"> </w:t>
            </w:r>
            <w:hyperlink r:id="rId24">
              <w:r>
                <w:rPr>
                  <w:rStyle w:val="Hyperlink"/>
                </w:rPr>
                <w:t xml:space="preserve">[28]</w:t>
              </w:r>
            </w:hyperlink>
          </w:p>
        </w:tc>
        <w:tc>
          <w:tcPr/>
          <w:p>
            <w:pPr>
              <w:pStyle w:val="Compact"/>
            </w:pPr>
            <w:r>
              <w:t xml:space="preserve">“Supplier warrants compliant documentation for each parcel shipment.”</w:t>
            </w:r>
          </w:p>
        </w:tc>
        <w:tc>
          <w:tcPr/>
          <w:p>
            <w:pPr>
              <w:pStyle w:val="Compact"/>
            </w:pPr>
            <w:r>
              <w:t xml:space="preserve">“Supplier warrants bulk shipment paperwork; platform warrants in-market labeling and safety controls if it is the responsible operator.”</w:t>
            </w:r>
            <w:r>
              <w:t xml:space="preserve"> </w:t>
            </w:r>
            <w:hyperlink r:id="rId33">
              <w:r>
                <w:rPr>
                  <w:rStyle w:val="Hyperlink"/>
                </w:rPr>
                <w:t xml:space="preserve">[32]</w:t>
              </w:r>
            </w:hyperlink>
          </w:p>
        </w:tc>
      </w:tr>
      <w:tr>
        <w:tc>
          <w:tcPr/>
          <w:p>
            <w:pPr>
              <w:pStyle w:val="Compact"/>
            </w:pPr>
            <w:r>
              <w:t xml:space="preserve">QC acceptance &amp; claims</w:t>
            </w:r>
          </w:p>
        </w:tc>
        <w:tc>
          <w:tcPr/>
          <w:p>
            <w:pPr>
              <w:pStyle w:val="Compact"/>
            </w:pPr>
            <w:r>
              <w:t xml:space="preserve">“Pre-shipment sample approval; defect thresholds; arbitration of disputes.”</w:t>
            </w:r>
          </w:p>
        </w:tc>
        <w:tc>
          <w:tcPr/>
          <w:p>
            <w:pPr>
              <w:pStyle w:val="Compact"/>
            </w:pPr>
            <w:r>
              <w:t xml:space="preserve">“Refund/replace rules; no-return handling for food; photos required.”</w:t>
            </w:r>
          </w:p>
        </w:tc>
        <w:tc>
          <w:tcPr/>
          <w:p>
            <w:pPr>
              <w:pStyle w:val="Compact"/>
            </w:pPr>
            <w:r>
              <w:t xml:space="preserve">“Inbound QC; right to reject lots; recall cooperation obligations aligned to EU withdrawal/recall responsibilities.”</w:t>
            </w:r>
            <w:r>
              <w:t xml:space="preserve"> </w:t>
            </w:r>
            <w:hyperlink r:id="rId28">
              <w:r>
                <w:rPr>
                  <w:rStyle w:val="Hyperlink"/>
                </w:rPr>
                <w:t xml:space="preserve">[13]</w:t>
              </w:r>
            </w:hyperlink>
          </w:p>
        </w:tc>
      </w:tr>
    </w:tbl>
    <w:bookmarkEnd w:id="51"/>
    <w:bookmarkEnd w:id="52"/>
    <w:bookmarkStart w:id="55" w:name="platform-and-app-requirements"/>
    <w:p>
      <w:pPr>
        <w:pStyle w:val="Heading2"/>
      </w:pPr>
      <w:r>
        <w:t xml:space="preserve">Platform and app requirements</w:t>
      </w:r>
    </w:p>
    <w:p>
      <w:pPr>
        <w:pStyle w:val="FirstParagraph"/>
      </w:pPr>
      <w:r>
        <w:t xml:space="preserve">Your platform must support three “hard things” simultaneously: (1) cross-border trade workflows, (2) food compliance documentation, and (3) marketplace payment logic where you charge by category/order without turning yourself into the importer-of-record by accident.</w:t>
      </w:r>
    </w:p>
    <w:bookmarkStart w:id="53" w:name="X2221efd50cfc2b47c576661168d29e1507384ce"/>
    <w:p>
      <w:pPr>
        <w:pStyle w:val="Heading3"/>
      </w:pPr>
      <w:r>
        <w:t xml:space="preserve">Product architecture diagram (supports both marketplace and consignment variants)</w:t>
      </w:r>
    </w:p>
    <w:p>
      <w:pPr>
        <w:pStyle w:val="SourceCode"/>
      </w:pPr>
      <w:r>
        <w:rPr>
          <w:rStyle w:val="VerbatimChar"/>
        </w:rPr>
        <w:t xml:space="preserve">flowchart TB</w:t>
      </w:r>
      <w:r>
        <w:br/>
      </w:r>
      <w:r>
        <w:rPr>
          <w:rStyle w:val="VerbatimChar"/>
        </w:rPr>
        <w:t xml:space="preserve">  subgraph Frontend</w:t>
      </w:r>
      <w:r>
        <w:br/>
      </w:r>
      <w:r>
        <w:rPr>
          <w:rStyle w:val="VerbatimChar"/>
        </w:rPr>
        <w:t xml:space="preserve">    A[D2C storefront]</w:t>
      </w:r>
      <w:r>
        <w:br/>
      </w:r>
      <w:r>
        <w:rPr>
          <w:rStyle w:val="VerbatimChar"/>
        </w:rPr>
        <w:t xml:space="preserve">    B[B2B buyer portal]</w:t>
      </w:r>
      <w:r>
        <w:br/>
      </w:r>
      <w:r>
        <w:rPr>
          <w:rStyle w:val="VerbatimChar"/>
        </w:rPr>
        <w:t xml:space="preserve">    C[Supplier portal]</w:t>
      </w:r>
      <w:r>
        <w:br/>
      </w:r>
      <w:r>
        <w:rPr>
          <w:rStyle w:val="VerbatimChar"/>
        </w:rPr>
        <w:t xml:space="preserve">    D[Lot QR pages]</w:t>
      </w:r>
      <w:r>
        <w:br/>
      </w:r>
      <w:r>
        <w:rPr>
          <w:rStyle w:val="VerbatimChar"/>
        </w:rPr>
        <w:t xml:space="preserve">  end</w:t>
      </w:r>
      <w:r>
        <w:br/>
      </w:r>
      <w:r>
        <w:br/>
      </w:r>
      <w:r>
        <w:rPr>
          <w:rStyle w:val="VerbatimChar"/>
        </w:rPr>
        <w:t xml:space="preserve">  subgraph Core</w:t>
      </w:r>
      <w:r>
        <w:br/>
      </w:r>
      <w:r>
        <w:rPr>
          <w:rStyle w:val="VerbatimChar"/>
        </w:rPr>
        <w:t xml:space="preserve">    E[Catalog + category rules]</w:t>
      </w:r>
      <w:r>
        <w:br/>
      </w:r>
      <w:r>
        <w:rPr>
          <w:rStyle w:val="VerbatimChar"/>
        </w:rPr>
        <w:t xml:space="preserve">    F[Lot ledger + documents]</w:t>
      </w:r>
      <w:r>
        <w:br/>
      </w:r>
      <w:r>
        <w:rPr>
          <w:rStyle w:val="VerbatimChar"/>
        </w:rPr>
        <w:t xml:space="preserve">    G[Order routing + SLAs]</w:t>
      </w:r>
      <w:r>
        <w:br/>
      </w:r>
      <w:r>
        <w:rPr>
          <w:rStyle w:val="VerbatimChar"/>
        </w:rPr>
        <w:t xml:space="preserve">    H[Pricing + commissions]</w:t>
      </w:r>
      <w:r>
        <w:br/>
      </w:r>
      <w:r>
        <w:rPr>
          <w:rStyle w:val="VerbatimChar"/>
        </w:rPr>
        <w:t xml:space="preserve">    I[Payments + payouts + reserves]</w:t>
      </w:r>
      <w:r>
        <w:br/>
      </w:r>
      <w:r>
        <w:rPr>
          <w:rStyle w:val="VerbatimChar"/>
        </w:rPr>
        <w:t xml:space="preserve">  end</w:t>
      </w:r>
      <w:r>
        <w:br/>
      </w:r>
      <w:r>
        <w:br/>
      </w:r>
      <w:r>
        <w:rPr>
          <w:rStyle w:val="VerbatimChar"/>
        </w:rPr>
        <w:t xml:space="preserve">  subgraph Ops_Integrations</w:t>
      </w:r>
      <w:r>
        <w:br/>
      </w:r>
      <w:r>
        <w:rPr>
          <w:rStyle w:val="VerbatimChar"/>
        </w:rPr>
        <w:t xml:space="preserve">    J[3PL/WMS integration]</w:t>
      </w:r>
      <w:r>
        <w:br/>
      </w:r>
      <w:r>
        <w:rPr>
          <w:rStyle w:val="VerbatimChar"/>
        </w:rPr>
        <w:t xml:space="preserve">    K[Carrier/label integration]</w:t>
      </w:r>
      <w:r>
        <w:br/>
      </w:r>
      <w:r>
        <w:rPr>
          <w:rStyle w:val="VerbatimChar"/>
        </w:rPr>
        <w:t xml:space="preserve">    L[Customs docs pack generator]</w:t>
      </w:r>
      <w:r>
        <w:br/>
      </w:r>
      <w:r>
        <w:rPr>
          <w:rStyle w:val="VerbatimChar"/>
        </w:rPr>
        <w:t xml:space="preserve">    M[Compliance registry: prior notice IDs, certificates]</w:t>
      </w:r>
      <w:r>
        <w:br/>
      </w:r>
      <w:r>
        <w:rPr>
          <w:rStyle w:val="VerbatimChar"/>
        </w:rPr>
        <w:t xml:space="preserve">  end</w:t>
      </w:r>
      <w:r>
        <w:br/>
      </w:r>
      <w:r>
        <w:br/>
      </w:r>
      <w:r>
        <w:rPr>
          <w:rStyle w:val="VerbatimChar"/>
        </w:rPr>
        <w:t xml:space="preserve">  subgraph Data_AI</w:t>
      </w:r>
      <w:r>
        <w:br/>
      </w:r>
      <w:r>
        <w:rPr>
          <w:rStyle w:val="VerbatimChar"/>
        </w:rPr>
        <w:t xml:space="preserve">    N[Events pipeline]</w:t>
      </w:r>
      <w:r>
        <w:br/>
      </w:r>
      <w:r>
        <w:rPr>
          <w:rStyle w:val="VerbatimChar"/>
        </w:rPr>
        <w:t xml:space="preserve">    O[Warehouse]</w:t>
      </w:r>
      <w:r>
        <w:br/>
      </w:r>
      <w:r>
        <w:rPr>
          <w:rStyle w:val="VerbatimChar"/>
        </w:rPr>
        <w:t xml:space="preserve">    P[Forecasting + recommender models]</w:t>
      </w:r>
      <w:r>
        <w:br/>
      </w:r>
      <w:r>
        <w:rPr>
          <w:rStyle w:val="VerbatimChar"/>
        </w:rPr>
        <w:t xml:space="preserve">    Q[Monitoring]</w:t>
      </w:r>
      <w:r>
        <w:br/>
      </w:r>
      <w:r>
        <w:rPr>
          <w:rStyle w:val="VerbatimChar"/>
        </w:rPr>
        <w:t xml:space="preserve">  end</w:t>
      </w:r>
      <w:r>
        <w:br/>
      </w:r>
      <w:r>
        <w:br/>
      </w:r>
      <w:r>
        <w:rPr>
          <w:rStyle w:val="VerbatimChar"/>
        </w:rPr>
        <w:t xml:space="preserve">  A --&gt; E --&gt; G --&gt; I</w:t>
      </w:r>
      <w:r>
        <w:br/>
      </w:r>
      <w:r>
        <w:rPr>
          <w:rStyle w:val="VerbatimChar"/>
        </w:rPr>
        <w:t xml:space="preserve">  B --&gt; E --&gt; G --&gt; I</w:t>
      </w:r>
      <w:r>
        <w:br/>
      </w:r>
      <w:r>
        <w:rPr>
          <w:rStyle w:val="VerbatimChar"/>
        </w:rPr>
        <w:t xml:space="preserve">  C --&gt; F</w:t>
      </w:r>
      <w:r>
        <w:br/>
      </w:r>
      <w:r>
        <w:rPr>
          <w:rStyle w:val="VerbatimChar"/>
        </w:rPr>
        <w:t xml:space="preserve">  F --&gt; D</w:t>
      </w:r>
      <w:r>
        <w:br/>
      </w:r>
      <w:r>
        <w:rPr>
          <w:rStyle w:val="VerbatimChar"/>
        </w:rPr>
        <w:t xml:space="preserve">  F --&gt; G</w:t>
      </w:r>
      <w:r>
        <w:br/>
      </w:r>
      <w:r>
        <w:rPr>
          <w:rStyle w:val="VerbatimChar"/>
        </w:rPr>
        <w:t xml:space="preserve">  G --&gt; L</w:t>
      </w:r>
      <w:r>
        <w:br/>
      </w:r>
      <w:r>
        <w:rPr>
          <w:rStyle w:val="VerbatimChar"/>
        </w:rPr>
        <w:t xml:space="preserve">  I --&gt; M</w:t>
      </w:r>
      <w:r>
        <w:br/>
      </w:r>
      <w:r>
        <w:rPr>
          <w:rStyle w:val="VerbatimChar"/>
        </w:rPr>
        <w:t xml:space="preserve">  G --&gt; J --&gt; K</w:t>
      </w:r>
      <w:r>
        <w:br/>
      </w:r>
      <w:r>
        <w:rPr>
          <w:rStyle w:val="VerbatimChar"/>
        </w:rPr>
        <w:t xml:space="preserve">  A --&gt; N --&gt; O --&gt; P --&gt; Q</w:t>
      </w:r>
      <w:r>
        <w:br/>
      </w:r>
      <w:r>
        <w:rPr>
          <w:rStyle w:val="VerbatimChar"/>
        </w:rPr>
        <w:t xml:space="preserve">  B --&gt; N</w:t>
      </w:r>
      <w:r>
        <w:br/>
      </w:r>
      <w:r>
        <w:rPr>
          <w:rStyle w:val="VerbatimChar"/>
        </w:rPr>
        <w:t xml:space="preserve">  G --&gt; N</w:t>
      </w:r>
      <w:r>
        <w:br/>
      </w:r>
      <w:r>
        <w:rPr>
          <w:rStyle w:val="VerbatimChar"/>
        </w:rPr>
        <w:t xml:space="preserve">  F --&gt; N</w:t>
      </w:r>
    </w:p>
    <w:bookmarkEnd w:id="53"/>
    <w:bookmarkStart w:id="54" w:name="Xcf9a658aee9143450a8eb836e8290f2dc3de3d9"/>
    <w:p>
      <w:pPr>
        <w:pStyle w:val="Heading3"/>
      </w:pPr>
      <w:r>
        <w:t xml:space="preserve">Minimum features required to support “charge-on-order” and dropship logic</w:t>
      </w:r>
    </w:p>
    <w:p>
      <w:pPr>
        <w:pStyle w:val="FirstParagraph"/>
      </w:pPr>
      <w:r>
        <w:rPr>
          <w:b/>
          <w:bCs/>
        </w:rPr>
        <w:t xml:space="preserve">Order routing engine</w:t>
      </w:r>
      <w:r>
        <w:t xml:space="preserve"> </w:t>
      </w:r>
      <w:r>
        <w:t xml:space="preserve">- Routes orders by category and fulfillment model (marketplace vs dropship vs consignment).</w:t>
      </w:r>
      <w:r>
        <w:br/>
      </w:r>
      <w:r>
        <w:t xml:space="preserve">- Enforces MOQs and lead times; blocks orders if documentation incomplete.</w:t>
      </w:r>
    </w:p>
    <w:p>
      <w:pPr>
        <w:pStyle w:val="BodyText"/>
      </w:pPr>
      <w:r>
        <w:rPr>
          <w:b/>
          <w:bCs/>
        </w:rPr>
        <w:t xml:space="preserve">Lot ledger + document management</w:t>
      </w:r>
      <w:r>
        <w:t xml:space="preserve"> </w:t>
      </w:r>
      <w:r>
        <w:t xml:space="preserve">- Lot IDs, origin metadata, processing type, exporter docs. EU traceability requires operators to identify suppliers and customers and retain systems/procedures.</w:t>
      </w:r>
      <w:r>
        <w:t xml:space="preserve"> </w:t>
      </w:r>
      <w:hyperlink r:id="rId28">
        <w:r>
          <w:rPr>
            <w:rStyle w:val="Hyperlink"/>
          </w:rPr>
          <w:t xml:space="preserve">[13]</w:t>
        </w:r>
      </w:hyperlink>
      <w:r>
        <w:br/>
      </w:r>
      <w:r>
        <w:t xml:space="preserve">- EUDR-ready fields: HS code mapping, country of production, and plot geolocation intake (even if you’re not yet required to file DDS, this becomes a differentiator).</w:t>
      </w:r>
      <w:r>
        <w:t xml:space="preserve"> </w:t>
      </w:r>
      <w:hyperlink r:id="rId27">
        <w:r>
          <w:rPr>
            <w:rStyle w:val="Hyperlink"/>
          </w:rPr>
          <w:t xml:space="preserve">[33]</w:t>
        </w:r>
      </w:hyperlink>
      <w:r>
        <w:br/>
      </w:r>
      <w:r>
        <w:t xml:space="preserve">- INDICOFS-aligned optional fields (as supplier capability increases), including geocoordinates in documentation requirements.</w:t>
      </w:r>
      <w:r>
        <w:t xml:space="preserve"> </w:t>
      </w:r>
      <w:hyperlink r:id="rId44">
        <w:r>
          <w:rPr>
            <w:rStyle w:val="Hyperlink"/>
          </w:rPr>
          <w:t xml:space="preserve">[34]</w:t>
        </w:r>
      </w:hyperlink>
    </w:p>
    <w:p>
      <w:pPr>
        <w:pStyle w:val="BodyText"/>
      </w:pPr>
      <w:r>
        <w:rPr>
          <w:b/>
          <w:bCs/>
        </w:rPr>
        <w:t xml:space="preserve">Payments + payout controls</w:t>
      </w:r>
      <w:r>
        <w:t xml:space="preserve"> </w:t>
      </w:r>
      <w:r>
        <w:t xml:space="preserve">- Commission-by-category rules, reserves for chargebacks/disputes, scheduled payouts.</w:t>
      </w:r>
      <w:r>
        <w:br/>
      </w:r>
      <w:r>
        <w:t xml:space="preserve">- B2B invoicing support (net terms) or integrate trade finance later (assumption; investor-scale improvement).</w:t>
      </w:r>
    </w:p>
    <w:p>
      <w:pPr>
        <w:pStyle w:val="BodyText"/>
      </w:pPr>
      <w:r>
        <w:rPr>
          <w:b/>
          <w:bCs/>
        </w:rPr>
        <w:t xml:space="preserve">Compliance hooks (model-dependent)</w:t>
      </w:r>
      <w:r>
        <w:t xml:space="preserve"> </w:t>
      </w:r>
      <w:r>
        <w:t xml:space="preserve">- US: store Prior Notice confirmations and maintain importer documentation workflows if you are importer in any pathway. FDA states prior notice must be provided for imported food.</w:t>
      </w:r>
      <w:r>
        <w:t xml:space="preserve"> </w:t>
      </w:r>
      <w:hyperlink r:id="rId23">
        <w:r>
          <w:rPr>
            <w:rStyle w:val="Hyperlink"/>
          </w:rPr>
          <w:t xml:space="preserve">[15]</w:t>
        </w:r>
      </w:hyperlink>
      <w:r>
        <w:br/>
      </w:r>
      <w:r>
        <w:t xml:space="preserve">- EU: attach labeling responsibility records (which entity is the responsible food business operator), and import VAT workflow integration if you do any distance sales import. EU rules make import declarations mandatory for all goods and frame IOSS up to €150.</w:t>
      </w:r>
      <w:r>
        <w:t xml:space="preserve"> </w:t>
      </w:r>
      <w:hyperlink r:id="rId29">
        <w:r>
          <w:rPr>
            <w:rStyle w:val="Hyperlink"/>
          </w:rPr>
          <w:t xml:space="preserve">[35]</w:t>
        </w:r>
      </w:hyperlink>
      <w:r>
        <w:br/>
      </w:r>
      <w:r>
        <w:t xml:space="preserve">- Customs identifier handling: if you operate as importer into the EU, you likely need an EORI number for customs purposes per EU Commission guidance.</w:t>
      </w:r>
      <w:r>
        <w:t xml:space="preserve"> </w:t>
      </w:r>
      <w:hyperlink r:id="rId34">
        <w:r>
          <w:rPr>
            <w:rStyle w:val="Hyperlink"/>
          </w:rPr>
          <w:t xml:space="preserve">[36]</w:t>
        </w:r>
      </w:hyperlink>
    </w:p>
    <w:bookmarkEnd w:id="54"/>
    <w:bookmarkEnd w:id="55"/>
    <w:bookmarkStart w:id="59" w:name="X6cedadf68348fc9b0e4f87f07bd960d1a5c7adb"/>
    <w:p>
      <w:pPr>
        <w:pStyle w:val="Heading2"/>
      </w:pPr>
      <w:r>
        <w:t xml:space="preserve">Unit economics, cashflow implications, and capital estimates</w:t>
      </w:r>
    </w:p>
    <w:p>
      <w:pPr>
        <w:pStyle w:val="FirstParagraph"/>
      </w:pPr>
      <w:r>
        <w:t xml:space="preserve">Because you requested capital needs “before approaching investors,” this section focuses on</w:t>
      </w:r>
      <w:r>
        <w:t xml:space="preserve"> </w:t>
      </w:r>
      <w:r>
        <w:rPr>
          <w:i/>
          <w:iCs/>
        </w:rPr>
        <w:t xml:space="preserve">cash conversion cycle</w:t>
      </w:r>
      <w:r>
        <w:t xml:space="preserve"> </w:t>
      </w:r>
      <w:r>
        <w:t xml:space="preserve">and what each model does to working capital.</w:t>
      </w:r>
    </w:p>
    <w:bookmarkStart w:id="56" w:name="X2108306c3fa1688651565b5a4a1702343840f2b"/>
    <w:p>
      <w:pPr>
        <w:pStyle w:val="Heading3"/>
      </w:pPr>
      <w:r>
        <w:t xml:space="preserve">Unit economics and cashflow patterns (high-level)</w:t>
      </w:r>
    </w:p>
    <w:p>
      <w:pPr>
        <w:pStyle w:val="FirstParagraph"/>
      </w:pPr>
      <w:r>
        <w:rPr>
          <w:b/>
          <w:bCs/>
        </w:rPr>
        <w:t xml:space="preserve">Charge-on-order marketplace (buyer imports)</w:t>
      </w:r>
      <w:r>
        <w:t xml:space="preserve"> </w:t>
      </w:r>
      <w:r>
        <w:t xml:space="preserve">-</w:t>
      </w:r>
      <w:r>
        <w:t xml:space="preserve"> </w:t>
      </w:r>
      <w:r>
        <w:rPr>
          <w:b/>
          <w:bCs/>
        </w:rPr>
        <w:t xml:space="preserve">Working capital:</w:t>
      </w:r>
      <w:r>
        <w:t xml:space="preserve"> </w:t>
      </w:r>
      <w:r>
        <w:t xml:space="preserve">best-case positive—collect from buyer, pay supplier after confirmation/settlement.</w:t>
      </w:r>
      <w:r>
        <w:br/>
      </w:r>
      <w:r>
        <w:t xml:space="preserve">-</w:t>
      </w:r>
      <w:r>
        <w:t xml:space="preserve"> </w:t>
      </w:r>
      <w:r>
        <w:rPr>
          <w:b/>
          <w:bCs/>
        </w:rPr>
        <w:t xml:space="preserve">Gross margin:</w:t>
      </w:r>
      <w:r>
        <w:t xml:space="preserve"> </w:t>
      </w:r>
      <w:r>
        <w:t xml:space="preserve">commission-based (e.g., 3–10% depending on service depth; assumption).</w:t>
      </w:r>
      <w:r>
        <w:br/>
      </w:r>
      <w:r>
        <w:t xml:space="preserve">-</w:t>
      </w:r>
      <w:r>
        <w:t xml:space="preserve"> </w:t>
      </w:r>
      <w:r>
        <w:rPr>
          <w:b/>
          <w:bCs/>
        </w:rPr>
        <w:t xml:space="preserve">Main cost centers:</w:t>
      </w:r>
      <w:r>
        <w:t xml:space="preserve"> </w:t>
      </w:r>
      <w:r>
        <w:t xml:space="preserve">engineering, supplier onboarding/QC verification, sales, and dispute handling.</w:t>
      </w:r>
      <w:r>
        <w:br/>
      </w:r>
      <w:r>
        <w:t xml:space="preserve">-</w:t>
      </w:r>
      <w:r>
        <w:t xml:space="preserve"> </w:t>
      </w:r>
      <w:r>
        <w:rPr>
          <w:b/>
          <w:bCs/>
        </w:rPr>
        <w:t xml:space="preserve">Main economic risk:</w:t>
      </w:r>
      <w:r>
        <w:t xml:space="preserve"> </w:t>
      </w:r>
      <w:r>
        <w:t xml:space="preserve">if you must extend net terms to B2B buyers, you become a de facto lender (assumption).</w:t>
      </w:r>
    </w:p>
    <w:p>
      <w:pPr>
        <w:pStyle w:val="BodyText"/>
      </w:pPr>
      <w:r>
        <w:rPr>
          <w:b/>
          <w:bCs/>
        </w:rPr>
        <w:t xml:space="preserve">Dropship (India→customer)</w:t>
      </w:r>
      <w:r>
        <w:t xml:space="preserve"> </w:t>
      </w:r>
      <w:r>
        <w:t xml:space="preserve">-</w:t>
      </w:r>
      <w:r>
        <w:t xml:space="preserve"> </w:t>
      </w:r>
      <w:r>
        <w:rPr>
          <w:b/>
          <w:bCs/>
        </w:rPr>
        <w:t xml:space="preserve">Working capital:</w:t>
      </w:r>
      <w:r>
        <w:t xml:space="preserve"> </w:t>
      </w:r>
      <w:r>
        <w:t xml:space="preserve">can be negative if you prepay shipping, duties, or supplier costs before customer payments settle.</w:t>
      </w:r>
      <w:r>
        <w:br/>
      </w:r>
      <w:r>
        <w:t xml:space="preserve">-</w:t>
      </w:r>
      <w:r>
        <w:t xml:space="preserve"> </w:t>
      </w:r>
      <w:r>
        <w:rPr>
          <w:b/>
          <w:bCs/>
        </w:rPr>
        <w:t xml:space="preserve">Gross margin:</w:t>
      </w:r>
      <w:r>
        <w:t xml:space="preserve"> </w:t>
      </w:r>
      <w:r>
        <w:t xml:space="preserve">squeezed by per-order international shipping, customs friction, and refund rates (assumption).</w:t>
      </w:r>
      <w:r>
        <w:br/>
      </w:r>
      <w:r>
        <w:t xml:space="preserve">-</w:t>
      </w:r>
      <w:r>
        <w:t xml:space="preserve"> </w:t>
      </w:r>
      <w:r>
        <w:rPr>
          <w:b/>
          <w:bCs/>
        </w:rPr>
        <w:t xml:space="preserve">Compliance overhead:</w:t>
      </w:r>
      <w:r>
        <w:t xml:space="preserve"> </w:t>
      </w:r>
      <w:r>
        <w:t xml:space="preserve">EU import declarations for every parcel; VAT collection mechanics via IOSS up to €150; and upcoming removal of the €150 customs duty exemption worsens economics.</w:t>
      </w:r>
      <w:r>
        <w:t xml:space="preserve"> </w:t>
      </w:r>
      <w:hyperlink r:id="rId29">
        <w:r>
          <w:rPr>
            <w:rStyle w:val="Hyperlink"/>
          </w:rPr>
          <w:t xml:space="preserve">[10]</w:t>
        </w:r>
      </w:hyperlink>
    </w:p>
    <w:p>
      <w:pPr>
        <w:pStyle w:val="BodyText"/>
      </w:pPr>
      <w:r>
        <w:rPr>
          <w:b/>
          <w:bCs/>
        </w:rPr>
        <w:t xml:space="preserve">Consignment in-market</w:t>
      </w:r>
      <w:r>
        <w:t xml:space="preserve"> </w:t>
      </w:r>
      <w:r>
        <w:t xml:space="preserve">-</w:t>
      </w:r>
      <w:r>
        <w:t xml:space="preserve"> </w:t>
      </w:r>
      <w:r>
        <w:rPr>
          <w:b/>
          <w:bCs/>
        </w:rPr>
        <w:t xml:space="preserve">Working capital:</w:t>
      </w:r>
      <w:r>
        <w:t xml:space="preserve"> </w:t>
      </w:r>
      <w:r>
        <w:t xml:space="preserve">medium—no upfront COGS purchase, but you still pay freight, storage, handling, and potentially import VAT/duties depending on structure.</w:t>
      </w:r>
      <w:r>
        <w:br/>
      </w:r>
      <w:r>
        <w:t xml:space="preserve">-</w:t>
      </w:r>
      <w:r>
        <w:t xml:space="preserve"> </w:t>
      </w:r>
      <w:r>
        <w:rPr>
          <w:b/>
          <w:bCs/>
        </w:rPr>
        <w:t xml:space="preserve">Gross margin:</w:t>
      </w:r>
      <w:r>
        <w:t xml:space="preserve"> </w:t>
      </w:r>
      <w:r>
        <w:t xml:space="preserve">better than dropship due to consolidated freight and controlled fulfillment (assumption).</w:t>
      </w:r>
      <w:r>
        <w:br/>
      </w:r>
      <w:r>
        <w:t xml:space="preserve">-</w:t>
      </w:r>
      <w:r>
        <w:t xml:space="preserve"> </w:t>
      </w:r>
      <w:r>
        <w:rPr>
          <w:b/>
          <w:bCs/>
        </w:rPr>
        <w:t xml:space="preserve">Supplier settlement:</w:t>
      </w:r>
      <w:r>
        <w:t xml:space="preserve"> </w:t>
      </w:r>
      <w:r>
        <w:t xml:space="preserve">periodic sell-through settlements; requires clean inventory accounting.</w:t>
      </w:r>
    </w:p>
    <w:bookmarkEnd w:id="56"/>
    <w:bookmarkStart w:id="57" w:name="simple-cashflowtiming-chart-illustrative"/>
    <w:p>
      <w:pPr>
        <w:pStyle w:val="Heading3"/>
      </w:pPr>
      <w:r>
        <w:t xml:space="preserve">Simple cashflow/timing chart (illustrative)</w:t>
      </w:r>
    </w:p>
    <w:p>
      <w:pPr>
        <w:pStyle w:val="FirstParagraph"/>
      </w:pPr>
      <w:r>
        <w:t xml:space="preserve">Assumptions: marketplace has near-immediate cash-in, consignment has freight upfront then staggered payables, dropship has per-order shipping costs and higher refund variance.</w:t>
      </w:r>
    </w:p>
    <w:p>
      <w:pPr>
        <w:pStyle w:val="SourceCode"/>
      </w:pPr>
      <w:r>
        <w:rPr>
          <w:rStyle w:val="VerbatimChar"/>
        </w:rPr>
        <w:t xml:space="preserve">xychart-beta</w:t>
      </w:r>
      <w:r>
        <w:br/>
      </w:r>
      <w:r>
        <w:rPr>
          <w:rStyle w:val="VerbatimChar"/>
        </w:rPr>
        <w:t xml:space="preserve">  title "Illustrative cash timing by model (relative)"</w:t>
      </w:r>
      <w:r>
        <w:br/>
      </w:r>
      <w:r>
        <w:rPr>
          <w:rStyle w:val="VerbatimChar"/>
        </w:rPr>
        <w:t xml:space="preserve">  x-axis ["Order day","Week 1","Week 2","Week 4","Week 8"]</w:t>
      </w:r>
      <w:r>
        <w:br/>
      </w:r>
      <w:r>
        <w:rPr>
          <w:rStyle w:val="VerbatimChar"/>
        </w:rPr>
        <w:t xml:space="preserve">  y-axis "Net cash impact (relative units)" -10 --&gt; 10</w:t>
      </w:r>
      <w:r>
        <w:br/>
      </w:r>
      <w:r>
        <w:rPr>
          <w:rStyle w:val="VerbatimChar"/>
        </w:rPr>
        <w:t xml:space="preserve">  line "Marketplace" [6,7,7,6,6]</w:t>
      </w:r>
      <w:r>
        <w:br/>
      </w:r>
      <w:r>
        <w:rPr>
          <w:rStyle w:val="VerbatimChar"/>
        </w:rPr>
        <w:t xml:space="preserve">  line "Consignment" [-6,-4,0,3,4]</w:t>
      </w:r>
      <w:r>
        <w:br/>
      </w:r>
      <w:r>
        <w:rPr>
          <w:rStyle w:val="VerbatimChar"/>
        </w:rPr>
        <w:t xml:space="preserve">  line "Dropship" [-3,-6,-2,1,0]</w:t>
      </w:r>
    </w:p>
    <w:bookmarkEnd w:id="57"/>
    <w:bookmarkStart w:id="58" w:name="X7675518970325f4a57296acf756a81a94a10c0d"/>
    <w:p>
      <w:pPr>
        <w:pStyle w:val="Heading3"/>
      </w:pPr>
      <w:r>
        <w:t xml:space="preserve">Capital estimates (three scenarios; USD; explicit assumptions)</w:t>
      </w:r>
    </w:p>
    <w:p>
      <w:pPr>
        <w:pStyle w:val="FirstParagraph"/>
      </w:pPr>
      <w:r>
        <w:t xml:space="preserve">All three assume you build core platform/app, supplier onboarding workflows, and a minimal lot ledger.</w:t>
      </w:r>
    </w:p>
    <w:p>
      <w:pPr>
        <w:pStyle w:val="BodyText"/>
      </w:pPr>
      <w:r>
        <w:rPr>
          <w:b/>
          <w:bCs/>
        </w:rPr>
        <w:t xml:space="preserve">Lean MVP: $150k–$400k</w:t>
      </w:r>
      <w:r>
        <w:t xml:space="preserve"> </w:t>
      </w:r>
      <w:r>
        <w:t xml:space="preserve">-</w:t>
      </w:r>
      <w:r>
        <w:t xml:space="preserve"> </w:t>
      </w:r>
      <w:r>
        <w:rPr>
          <w:b/>
          <w:bCs/>
        </w:rPr>
        <w:t xml:space="preserve">Assumptions:</w:t>
      </w:r>
      <w:r>
        <w:t xml:space="preserve"> </w:t>
      </w:r>
      <w:r>
        <w:t xml:space="preserve">you build most of the platform; B2B marketplace only; no inventory; minimal paid marketing; legal spend focused on contracts and marketplace terms; limited travel; 5–10 suppliers onboarded (exporters from Coffee Board directories) and 5–15 B2B buyers in pipeline. Coffee Board maintains exporter registration and exporter databases you can use for sourcing targets.</w:t>
      </w:r>
      <w:r>
        <w:t xml:space="preserve"> </w:t>
      </w:r>
      <w:hyperlink r:id="rId24">
        <w:r>
          <w:rPr>
            <w:rStyle w:val="Hyperlink"/>
          </w:rPr>
          <w:t xml:space="preserve">[37]</w:t>
        </w:r>
      </w:hyperlink>
      <w:r>
        <w:br/>
      </w:r>
      <w:r>
        <w:t xml:space="preserve">-</w:t>
      </w:r>
      <w:r>
        <w:t xml:space="preserve"> </w:t>
      </w:r>
      <w:r>
        <w:rPr>
          <w:b/>
          <w:bCs/>
        </w:rPr>
        <w:t xml:space="preserve">Spend drivers:</w:t>
      </w:r>
      <w:r>
        <w:t xml:space="preserve"> </w:t>
      </w:r>
      <w:r>
        <w:t xml:space="preserve">cloud + tooling ($1k–$3k/mo assumption), part-time ops/compliance support, sampling/inspection, minimal sales travel.</w:t>
      </w:r>
    </w:p>
    <w:p>
      <w:pPr>
        <w:pStyle w:val="BodyText"/>
      </w:pPr>
      <w:r>
        <w:rPr>
          <w:b/>
          <w:bCs/>
        </w:rPr>
        <w:t xml:space="preserve">Standard launch: $600k–$1.3M</w:t>
      </w:r>
      <w:r>
        <w:t xml:space="preserve"> </w:t>
      </w:r>
      <w:r>
        <w:t xml:space="preserve">-</w:t>
      </w:r>
      <w:r>
        <w:t xml:space="preserve"> </w:t>
      </w:r>
      <w:r>
        <w:rPr>
          <w:b/>
          <w:bCs/>
        </w:rPr>
        <w:t xml:space="preserve">Assumptions:</w:t>
      </w:r>
      <w:r>
        <w:t xml:space="preserve"> </w:t>
      </w:r>
      <w:r>
        <w:t xml:space="preserve">B2B marketplace + US D2C pilot (contract roaster + 3PL), modest inventory buffer, meaningful brand and acquisition spend, at least 2–4 hires/contractors.</w:t>
      </w:r>
      <w:r>
        <w:br/>
      </w:r>
      <w:r>
        <w:t xml:space="preserve">-</w:t>
      </w:r>
      <w:r>
        <w:t xml:space="preserve"> </w:t>
      </w:r>
      <w:r>
        <w:rPr>
          <w:b/>
          <w:bCs/>
        </w:rPr>
        <w:t xml:space="preserve">Compliance driver:</w:t>
      </w:r>
      <w:r>
        <w:t xml:space="preserve"> </w:t>
      </w:r>
      <w:r>
        <w:t xml:space="preserve">if you import food into the US, ensure prior notice workflows and facility registration alignment; FDA highlights imports are allowed without “prior sanction” if facility registration and prior notice requirements are met.</w:t>
      </w:r>
      <w:r>
        <w:t xml:space="preserve"> </w:t>
      </w:r>
      <w:hyperlink r:id="rId21">
        <w:r>
          <w:rPr>
            <w:rStyle w:val="Hyperlink"/>
          </w:rPr>
          <w:t xml:space="preserve">[38]</w:t>
        </w:r>
      </w:hyperlink>
      <w:r>
        <w:br/>
      </w:r>
      <w:r>
        <w:t xml:space="preserve">-</w:t>
      </w:r>
      <w:r>
        <w:t xml:space="preserve"> </w:t>
      </w:r>
      <w:r>
        <w:rPr>
          <w:b/>
          <w:bCs/>
        </w:rPr>
        <w:t xml:space="preserve">Working capital driver:</w:t>
      </w:r>
      <w:r>
        <w:t xml:space="preserve"> </w:t>
      </w:r>
      <w:r>
        <w:t xml:space="preserve">initial inventory and freight (assumption based on targeted SKU count and MOQs).</w:t>
      </w:r>
    </w:p>
    <w:p>
      <w:pPr>
        <w:pStyle w:val="BodyText"/>
      </w:pPr>
      <w:r>
        <w:rPr>
          <w:b/>
          <w:bCs/>
        </w:rPr>
        <w:t xml:space="preserve">Growth/scale: $2.0M–$4.0M</w:t>
      </w:r>
      <w:r>
        <w:t xml:space="preserve"> </w:t>
      </w:r>
      <w:r>
        <w:t xml:space="preserve">-</w:t>
      </w:r>
      <w:r>
        <w:t xml:space="preserve"> </w:t>
      </w:r>
      <w:r>
        <w:rPr>
          <w:b/>
          <w:bCs/>
        </w:rPr>
        <w:t xml:space="preserve">Assumptions:</w:t>
      </w:r>
      <w:r>
        <w:t xml:space="preserve"> </w:t>
      </w:r>
      <w:r>
        <w:t xml:space="preserve">expand into EU with in-market logistics, deeper compliance automation for EU traceability and EUDR readiness, add data/AI capabilities, grow B2B sales team, larger inventory buffer.</w:t>
      </w:r>
      <w:r>
        <w:br/>
      </w:r>
      <w:r>
        <w:t xml:space="preserve">-</w:t>
      </w:r>
      <w:r>
        <w:t xml:space="preserve"> </w:t>
      </w:r>
      <w:r>
        <w:rPr>
          <w:b/>
          <w:bCs/>
        </w:rPr>
        <w:t xml:space="preserve">EUDR driver:</w:t>
      </w:r>
      <w:r>
        <w:t xml:space="preserve"> </w:t>
      </w:r>
      <w:r>
        <w:t xml:space="preserve">coffee in scope; due diligence systems require geolocation data; although timing is delayed to end-2026 for larger operators, investor diligence increasingly treats EUDR readiness as a forward liability.</w:t>
      </w:r>
      <w:r>
        <w:t xml:space="preserve"> </w:t>
      </w:r>
      <w:hyperlink r:id="rId25">
        <w:r>
          <w:rPr>
            <w:rStyle w:val="Hyperlink"/>
          </w:rPr>
          <w:t xml:space="preserve">[39]</w:t>
        </w:r>
      </w:hyperlink>
    </w:p>
    <w:bookmarkEnd w:id="58"/>
    <w:bookmarkEnd w:id="59"/>
    <w:bookmarkStart w:id="65" w:name="Xe6fedd79e98f35968e53163e87d1d784a604302"/>
    <w:p>
      <w:pPr>
        <w:pStyle w:val="Heading2"/>
      </w:pPr>
      <w:r>
        <w:t xml:space="preserve">Fundraising strategy, onboarding playbook, and integrated timeline</w:t>
      </w:r>
    </w:p>
    <w:bookmarkStart w:id="60" w:name="Xaa381d85840b13a5c37de944e0af943ac1ce81d"/>
    <w:p>
      <w:pPr>
        <w:pStyle w:val="Heading3"/>
      </w:pPr>
      <w:r>
        <w:t xml:space="preserve">Fundraising strategy aligned to model risk</w:t>
      </w:r>
    </w:p>
    <w:p>
      <w:pPr>
        <w:pStyle w:val="FirstParagraph"/>
      </w:pPr>
      <w:r>
        <w:rPr>
          <w:b/>
          <w:bCs/>
        </w:rPr>
        <w:t xml:space="preserve">Best sequencing (recommended):</w:t>
      </w:r>
      <w:r>
        <w:t xml:space="preserve"> </w:t>
      </w:r>
      <w:r>
        <w:t xml:space="preserve">1.</w:t>
      </w:r>
      <w:r>
        <w:t xml:space="preserve"> </w:t>
      </w:r>
      <w:r>
        <w:rPr>
          <w:b/>
          <w:bCs/>
        </w:rPr>
        <w:t xml:space="preserve">Bootstrapped / angels (months 1–3):</w:t>
      </w:r>
      <w:r>
        <w:t xml:space="preserve"> </w:t>
      </w:r>
      <w:r>
        <w:t xml:space="preserve">build marketplace MVP + supplier portal + lot ledger skeleton; sign LOIs with exporters (exporters are formally registered and operate through Coffee Board export permit and certificate-of-origin processes).</w:t>
      </w:r>
      <w:r>
        <w:t xml:space="preserve"> </w:t>
      </w:r>
      <w:hyperlink r:id="rId24">
        <w:r>
          <w:rPr>
            <w:rStyle w:val="Hyperlink"/>
          </w:rPr>
          <w:t xml:space="preserve">[28]</w:t>
        </w:r>
      </w:hyperlink>
      <w:r>
        <w:br/>
      </w:r>
      <w:r>
        <w:t xml:space="preserve">2.</w:t>
      </w:r>
      <w:r>
        <w:t xml:space="preserve"> </w:t>
      </w:r>
      <w:r>
        <w:rPr>
          <w:b/>
          <w:bCs/>
        </w:rPr>
        <w:t xml:space="preserve">Pre-seed (months 4–6):</w:t>
      </w:r>
      <w:r>
        <w:t xml:space="preserve"> </w:t>
      </w:r>
      <w:r>
        <w:t xml:space="preserve">raise once you have (a) a credible supplier bench, (b) a repeatable buyer pipeline, and ideally (c) executed paid B2B pilot orders.</w:t>
      </w:r>
      <w:r>
        <w:br/>
      </w:r>
      <w:r>
        <w:t xml:space="preserve">3.</w:t>
      </w:r>
      <w:r>
        <w:t xml:space="preserve"> </w:t>
      </w:r>
      <w:r>
        <w:rPr>
          <w:b/>
          <w:bCs/>
        </w:rPr>
        <w:t xml:space="preserve">Seed (months 7–12):</w:t>
      </w:r>
      <w:r>
        <w:t xml:space="preserve"> </w:t>
      </w:r>
      <w:r>
        <w:t xml:space="preserve">raise to expand ops and launch US D2C with controlled fulfillment, or expand EU B2B compliance/traceability services.</w:t>
      </w:r>
    </w:p>
    <w:p>
      <w:pPr>
        <w:pStyle w:val="BodyText"/>
      </w:pPr>
      <w:r>
        <w:t xml:space="preserve">The pitch becomes strongest when you present yourself as</w:t>
      </w:r>
      <w:r>
        <w:t xml:space="preserve"> </w:t>
      </w:r>
      <w:r>
        <w:rPr>
          <w:b/>
          <w:bCs/>
        </w:rPr>
        <w:t xml:space="preserve">trade + compliance infrastructure with a coffee brand as a distribution wedge</w:t>
      </w:r>
      <w:r>
        <w:t xml:space="preserve">, explicitly anchored to EU traceability/EUDR data demands and Coffee Board sustainability alignment.</w:t>
      </w:r>
      <w:r>
        <w:t xml:space="preserve"> </w:t>
      </w:r>
      <w:hyperlink r:id="rId28">
        <w:r>
          <w:rPr>
            <w:rStyle w:val="Hyperlink"/>
          </w:rPr>
          <w:t xml:space="preserve">[40]</w:t>
        </w:r>
      </w:hyperlink>
    </w:p>
    <w:bookmarkEnd w:id="60"/>
    <w:bookmarkStart w:id="61" w:name="X850287e050ce5144ca651990a9e12187504fa11"/>
    <w:p>
      <w:pPr>
        <w:pStyle w:val="Heading3"/>
      </w:pPr>
      <w:r>
        <w:t xml:space="preserve">Investor pitch readiness checklist (what to show)</w:t>
      </w:r>
    </w:p>
    <w:p>
      <w:pPr>
        <w:pStyle w:val="Compact"/>
        <w:numPr>
          <w:ilvl w:val="0"/>
          <w:numId w:val="1007"/>
        </w:numPr>
      </w:pPr>
      <w:r>
        <w:rPr>
          <w:b/>
          <w:bCs/>
        </w:rPr>
        <w:t xml:space="preserve">Operating model clarity:</w:t>
      </w:r>
      <w:r>
        <w:t xml:space="preserve"> </w:t>
      </w:r>
      <w:r>
        <w:t xml:space="preserve">exactly who is importer/consignee under each flow; for US, acknowledge FSVP importer definition and how your model avoids or embraces it.</w:t>
      </w:r>
      <w:r>
        <w:t xml:space="preserve"> </w:t>
      </w:r>
      <w:hyperlink r:id="rId22">
        <w:r>
          <w:rPr>
            <w:rStyle w:val="Hyperlink"/>
          </w:rPr>
          <w:t xml:space="preserve">[12]</w:t>
        </w:r>
      </w:hyperlink>
    </w:p>
    <w:p>
      <w:pPr>
        <w:pStyle w:val="Compact"/>
        <w:numPr>
          <w:ilvl w:val="0"/>
          <w:numId w:val="1007"/>
        </w:numPr>
      </w:pPr>
      <w:r>
        <w:rPr>
          <w:b/>
          <w:bCs/>
        </w:rPr>
        <w:t xml:space="preserve">Compliance readiness map:</w:t>
      </w:r>
      <w:r>
        <w:t xml:space="preserve"> </w:t>
      </w:r>
      <w:r>
        <w:t xml:space="preserve">prior notice workflow (US); labeling responsibility allocation (EU 1169/2011 Article 8); traceability system design (EU 178/2002 Article 18).</w:t>
      </w:r>
      <w:r>
        <w:t xml:space="preserve"> </w:t>
      </w:r>
      <w:hyperlink r:id="rId23">
        <w:r>
          <w:rPr>
            <w:rStyle w:val="Hyperlink"/>
          </w:rPr>
          <w:t xml:space="preserve">[41]</w:t>
        </w:r>
      </w:hyperlink>
    </w:p>
    <w:p>
      <w:pPr>
        <w:pStyle w:val="Compact"/>
        <w:numPr>
          <w:ilvl w:val="0"/>
          <w:numId w:val="1007"/>
        </w:numPr>
      </w:pPr>
      <w:r>
        <w:rPr>
          <w:b/>
          <w:bCs/>
        </w:rPr>
        <w:t xml:space="preserve">Supplier proof:</w:t>
      </w:r>
      <w:r>
        <w:t xml:space="preserve"> </w:t>
      </w:r>
      <w:r>
        <w:t xml:space="preserve">signed supplier MOUs, documentation samples, ability to produce export permits/certificates of origin through Coffee Board processes.</w:t>
      </w:r>
      <w:r>
        <w:t xml:space="preserve"> </w:t>
      </w:r>
      <w:hyperlink r:id="rId24">
        <w:r>
          <w:rPr>
            <w:rStyle w:val="Hyperlink"/>
          </w:rPr>
          <w:t xml:space="preserve">[28]</w:t>
        </w:r>
      </w:hyperlink>
    </w:p>
    <w:p>
      <w:pPr>
        <w:pStyle w:val="Compact"/>
        <w:numPr>
          <w:ilvl w:val="0"/>
          <w:numId w:val="1007"/>
        </w:numPr>
      </w:pPr>
      <w:r>
        <w:rPr>
          <w:b/>
          <w:bCs/>
        </w:rPr>
        <w:t xml:space="preserve">Demand proof:</w:t>
      </w:r>
      <w:r>
        <w:t xml:space="preserve"> </w:t>
      </w:r>
      <w:r>
        <w:t xml:space="preserve">paid pilots, retention/reorder, or procurement pipeline signed by café/roaster buyers.</w:t>
      </w:r>
    </w:p>
    <w:p>
      <w:pPr>
        <w:pStyle w:val="Compact"/>
        <w:numPr>
          <w:ilvl w:val="0"/>
          <w:numId w:val="1007"/>
        </w:numPr>
      </w:pPr>
      <w:r>
        <w:rPr>
          <w:b/>
          <w:bCs/>
        </w:rPr>
        <w:t xml:space="preserve">Unit economics:</w:t>
      </w:r>
      <w:r>
        <w:t xml:space="preserve"> </w:t>
      </w:r>
      <w:r>
        <w:t xml:space="preserve">commission margin by category; cost-to-serve; dispute rates; and if D2C, CAC and gross margin targets (assumptions clearly stated).</w:t>
      </w:r>
    </w:p>
    <w:p>
      <w:pPr>
        <w:pStyle w:val="Compact"/>
        <w:numPr>
          <w:ilvl w:val="0"/>
          <w:numId w:val="1007"/>
        </w:numPr>
      </w:pPr>
      <w:r>
        <w:rPr>
          <w:b/>
          <w:bCs/>
        </w:rPr>
        <w:t xml:space="preserve">EUDR roadmap:</w:t>
      </w:r>
      <w:r>
        <w:t xml:space="preserve"> </w:t>
      </w:r>
      <w:r>
        <w:t xml:space="preserve">how you will ingest geolocation and produce customer-facing and operator-ready documentation, anticipating obligations now postponed to end-2026 for larger operators.</w:t>
      </w:r>
      <w:r>
        <w:t xml:space="preserve"> </w:t>
      </w:r>
      <w:hyperlink r:id="rId25">
        <w:r>
          <w:rPr>
            <w:rStyle w:val="Hyperlink"/>
          </w:rPr>
          <w:t xml:space="preserve">[42]</w:t>
        </w:r>
      </w:hyperlink>
    </w:p>
    <w:bookmarkEnd w:id="61"/>
    <w:bookmarkStart w:id="62" w:name="supplier-onboarding-playbook-practical"/>
    <w:p>
      <w:pPr>
        <w:pStyle w:val="Heading3"/>
      </w:pPr>
      <w:r>
        <w:t xml:space="preserve">Supplier onboarding playbook (practical)</w:t>
      </w:r>
    </w:p>
    <w:p>
      <w:pPr>
        <w:pStyle w:val="Compact"/>
        <w:numPr>
          <w:ilvl w:val="0"/>
          <w:numId w:val="1008"/>
        </w:numPr>
      </w:pPr>
      <w:r>
        <w:rPr>
          <w:b/>
          <w:bCs/>
        </w:rPr>
        <w:t xml:space="preserve">Target export-ready suppliers</w:t>
      </w:r>
      <w:r>
        <w:t xml:space="preserve"> </w:t>
      </w:r>
      <w:r>
        <w:t xml:space="preserve">using Coffee Board exporter databases and registration signals.</w:t>
      </w:r>
      <w:r>
        <w:t xml:space="preserve"> </w:t>
      </w:r>
      <w:hyperlink r:id="rId24">
        <w:r>
          <w:rPr>
            <w:rStyle w:val="Hyperlink"/>
          </w:rPr>
          <w:t xml:space="preserve">[37]</w:t>
        </w:r>
      </w:hyperlink>
    </w:p>
    <w:p>
      <w:pPr>
        <w:pStyle w:val="Compact"/>
        <w:numPr>
          <w:ilvl w:val="0"/>
          <w:numId w:val="1008"/>
        </w:numPr>
      </w:pPr>
      <w:r>
        <w:rPr>
          <w:b/>
          <w:bCs/>
        </w:rPr>
        <w:t xml:space="preserve">Start with 2–3 categories</w:t>
      </w:r>
      <w:r>
        <w:t xml:space="preserve"> </w:t>
      </w:r>
      <w:r>
        <w:t xml:space="preserve">that match exporter reality: green coffee lots and a limited set of specialty categories. Coffee Board publishes formal type/grade structures and specialty categories that can be translated into platform categories.</w:t>
      </w:r>
      <w:r>
        <w:t xml:space="preserve"> </w:t>
      </w:r>
      <w:hyperlink r:id="rId24">
        <w:r>
          <w:rPr>
            <w:rStyle w:val="Hyperlink"/>
          </w:rPr>
          <w:t xml:space="preserve">[43]</w:t>
        </w:r>
      </w:hyperlink>
    </w:p>
    <w:p>
      <w:pPr>
        <w:pStyle w:val="Compact"/>
        <w:numPr>
          <w:ilvl w:val="0"/>
          <w:numId w:val="1008"/>
        </w:numPr>
      </w:pPr>
      <w:r>
        <w:rPr>
          <w:b/>
          <w:bCs/>
        </w:rPr>
        <w:t xml:space="preserve">Require a “minimum data contract”:</w:t>
      </w:r>
      <w:r>
        <w:t xml:space="preserve"> </w:t>
      </w:r>
      <w:r>
        <w:t xml:space="preserve">lot ID, grade/type, process, shipment docs, chain-of-custody, certifications, and (optional) geo fields. EU traceability expectations support the need for such systems and procedures.</w:t>
      </w:r>
      <w:r>
        <w:t xml:space="preserve"> </w:t>
      </w:r>
      <w:hyperlink r:id="rId28">
        <w:r>
          <w:rPr>
            <w:rStyle w:val="Hyperlink"/>
          </w:rPr>
          <w:t xml:space="preserve">[44]</w:t>
        </w:r>
      </w:hyperlink>
    </w:p>
    <w:p>
      <w:pPr>
        <w:pStyle w:val="Compact"/>
        <w:numPr>
          <w:ilvl w:val="0"/>
          <w:numId w:val="1008"/>
        </w:numPr>
      </w:pPr>
      <w:r>
        <w:rPr>
          <w:b/>
          <w:bCs/>
        </w:rPr>
        <w:t xml:space="preserve">Pilot with inspection + samples:</w:t>
      </w:r>
      <w:r>
        <w:t xml:space="preserve"> </w:t>
      </w:r>
      <w:r>
        <w:t xml:space="preserve">get one successful end-to-end shipment per supplier before broad listing (assumption; standard onboarding best practice).</w:t>
      </w:r>
    </w:p>
    <w:p>
      <w:pPr>
        <w:pStyle w:val="Compact"/>
        <w:numPr>
          <w:ilvl w:val="0"/>
          <w:numId w:val="1008"/>
        </w:numPr>
      </w:pPr>
      <w:r>
        <w:rPr>
          <w:b/>
          <w:bCs/>
        </w:rPr>
        <w:t xml:space="preserve">Offer incentives:</w:t>
      </w:r>
      <w:r>
        <w:t xml:space="preserve"> </w:t>
      </w:r>
      <w:r>
        <w:t xml:space="preserve">faster buyer access, premium placement, and optional INDICOFS-aligned sustainability storytelling (increasingly relevant to EUDR-era buying).</w:t>
      </w:r>
      <w:r>
        <w:t xml:space="preserve"> </w:t>
      </w:r>
      <w:hyperlink r:id="rId44">
        <w:r>
          <w:rPr>
            <w:rStyle w:val="Hyperlink"/>
          </w:rPr>
          <w:t xml:space="preserve">[27]</w:t>
        </w:r>
      </w:hyperlink>
    </w:p>
    <w:bookmarkEnd w:id="62"/>
    <w:bookmarkStart w:id="63" w:name="X6510e4165e6ba194dce7421a470b903b2ab30fb"/>
    <w:p>
      <w:pPr>
        <w:pStyle w:val="Heading3"/>
      </w:pPr>
      <w:r>
        <w:t xml:space="preserve">Twelve-month timeline with milestones and funding tranches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Timeframe</w:t>
            </w:r>
          </w:p>
        </w:tc>
        <w:tc>
          <w:tcPr/>
          <w:p>
            <w:pPr>
              <w:pStyle w:val="Compact"/>
            </w:pPr>
            <w:r>
              <w:t xml:space="preserve">Milestones</w:t>
            </w:r>
          </w:p>
        </w:tc>
        <w:tc>
          <w:tcPr/>
          <w:p>
            <w:pPr>
              <w:pStyle w:val="Compact"/>
            </w:pPr>
            <w:r>
              <w:t xml:space="preserve">Funding tranche logic</w:t>
            </w:r>
          </w:p>
        </w:tc>
        <w:tc>
          <w:tcPr/>
          <w:p>
            <w:pPr>
              <w:pStyle w:val="Compact"/>
            </w:pPr>
            <w:r>
              <w:t xml:space="preserve">Success metrics</w:t>
            </w:r>
          </w:p>
        </w:tc>
      </w:tr>
      <w:tr>
        <w:tc>
          <w:tcPr/>
          <w:p>
            <w:pPr>
              <w:pStyle w:val="Compact"/>
            </w:pPr>
            <w:r>
              <w:t xml:space="preserve">Months 1–3</w:t>
            </w:r>
          </w:p>
        </w:tc>
        <w:tc>
          <w:tcPr/>
          <w:p>
            <w:pPr>
              <w:pStyle w:val="Compact"/>
            </w:pPr>
            <w:r>
              <w:t xml:space="preserve">Build MVP (supplier portal, lot ledger, order routing); onboard first exporters; draft contracts with Incoterms roles</w:t>
            </w:r>
          </w:p>
        </w:tc>
        <w:tc>
          <w:tcPr/>
          <w:p>
            <w:pPr>
              <w:pStyle w:val="Compact"/>
            </w:pPr>
            <w:r>
              <w:t xml:space="preserve">Bootstrapped/angels</w:t>
            </w:r>
          </w:p>
        </w:tc>
        <w:tc>
          <w:tcPr/>
          <w:p>
            <w:pPr>
              <w:pStyle w:val="Compact"/>
            </w:pPr>
            <w:r>
              <w:t xml:space="preserve"># suppliers onboarded; % lots with complete docs; buyer LOIs</w:t>
            </w:r>
          </w:p>
        </w:tc>
      </w:tr>
      <w:tr>
        <w:tc>
          <w:tcPr/>
          <w:p>
            <w:pPr>
              <w:pStyle w:val="Compact"/>
            </w:pPr>
            <w:r>
              <w:t xml:space="preserve">Months 4–6</w:t>
            </w:r>
          </w:p>
        </w:tc>
        <w:tc>
          <w:tcPr/>
          <w:p>
            <w:pPr>
              <w:pStyle w:val="Compact"/>
            </w:pPr>
            <w:r>
              <w:t xml:space="preserve">Execute first B2B shipments; commission revenue; compliance pack v1; EUDR-ready fields in schema</w:t>
            </w:r>
          </w:p>
        </w:tc>
        <w:tc>
          <w:tcPr/>
          <w:p>
            <w:pPr>
              <w:pStyle w:val="Compact"/>
            </w:pPr>
            <w:r>
              <w:t xml:space="preserve">Pre-seed raise</w:t>
            </w:r>
          </w:p>
        </w:tc>
        <w:tc>
          <w:tcPr/>
          <w:p>
            <w:pPr>
              <w:pStyle w:val="Compact"/>
            </w:pPr>
            <w:r>
              <w:t xml:space="preserve">Repeat orders; gross commission; time-to-quote; dispute rate</w:t>
            </w:r>
          </w:p>
        </w:tc>
      </w:tr>
      <w:tr>
        <w:tc>
          <w:tcPr/>
          <w:p>
            <w:pPr>
              <w:pStyle w:val="Compact"/>
            </w:pPr>
            <w:r>
              <w:t xml:space="preserve">Months 7–9</w:t>
            </w:r>
          </w:p>
        </w:tc>
        <w:tc>
          <w:tcPr/>
          <w:p>
            <w:pPr>
              <w:pStyle w:val="Compact"/>
            </w:pPr>
            <w:r>
              <w:t xml:space="preserve">Expand buyer base; add invoicing/net terms (if needed); consignment pilot with one supplier</w:t>
            </w:r>
          </w:p>
        </w:tc>
        <w:tc>
          <w:tcPr/>
          <w:p>
            <w:pPr>
              <w:pStyle w:val="Compact"/>
            </w:pPr>
            <w:r>
              <w:t xml:space="preserve">Bridge / extension if needed</w:t>
            </w:r>
          </w:p>
        </w:tc>
        <w:tc>
          <w:tcPr/>
          <w:p>
            <w:pPr>
              <w:pStyle w:val="Compact"/>
            </w:pPr>
            <w:r>
              <w:t xml:space="preserve">Buyer retention; on-time delivery; inventory turnover (if consignment)</w:t>
            </w:r>
          </w:p>
        </w:tc>
      </w:tr>
      <w:tr>
        <w:tc>
          <w:tcPr/>
          <w:p>
            <w:pPr>
              <w:pStyle w:val="Compact"/>
            </w:pPr>
            <w:r>
              <w:t xml:space="preserve">Months 10–12</w:t>
            </w:r>
          </w:p>
        </w:tc>
        <w:tc>
          <w:tcPr/>
          <w:p>
            <w:pPr>
              <w:pStyle w:val="Compact"/>
            </w:pPr>
            <w:r>
              <w:t xml:space="preserve">US D2C pilot with domestic roasting + 3PL; tighter QC; begin EU expansion planning</w:t>
            </w:r>
          </w:p>
        </w:tc>
        <w:tc>
          <w:tcPr/>
          <w:p>
            <w:pPr>
              <w:pStyle w:val="Compact"/>
            </w:pPr>
            <w:r>
              <w:t xml:space="preserve">Seed raise</w:t>
            </w:r>
          </w:p>
        </w:tc>
        <w:tc>
          <w:tcPr/>
          <w:p>
            <w:pPr>
              <w:pStyle w:val="Compact"/>
            </w:pPr>
            <w:r>
              <w:t xml:space="preserve">D2C conversion + retention; gross margin; traceability completeness; readiness for EU obligations</w:t>
            </w:r>
          </w:p>
        </w:tc>
      </w:tr>
    </w:tbl>
    <w:bookmarkEnd w:id="63"/>
    <w:bookmarkStart w:id="64" w:name="X2a5aea3d66960058bd9cfdd3ba83c44c77f7b4e"/>
    <w:p>
      <w:pPr>
        <w:pStyle w:val="Heading3"/>
      </w:pPr>
      <w:r>
        <w:t xml:space="preserve">Risk and mitigation (embedded, model-specific)</w:t>
      </w:r>
    </w:p>
    <w:p>
      <w:pPr>
        <w:pStyle w:val="Compact"/>
        <w:numPr>
          <w:ilvl w:val="0"/>
          <w:numId w:val="1009"/>
        </w:numPr>
      </w:pPr>
      <w:r>
        <w:rPr>
          <w:b/>
          <w:bCs/>
        </w:rPr>
        <w:t xml:space="preserve">Regulatory leakage risk (you accidentally become importer):</w:t>
      </w:r>
      <w:r>
        <w:t xml:space="preserve"> </w:t>
      </w:r>
      <w:r>
        <w:t xml:space="preserve">mitigate with explicit title/consignee clauses and operational controls; align with FDA’s FSVP importer definition and EU labeling responsibility rules.</w:t>
      </w:r>
      <w:r>
        <w:t xml:space="preserve"> </w:t>
      </w:r>
      <w:hyperlink r:id="rId22">
        <w:r>
          <w:rPr>
            <w:rStyle w:val="Hyperlink"/>
          </w:rPr>
          <w:t xml:space="preserve">[45]</w:t>
        </w:r>
      </w:hyperlink>
    </w:p>
    <w:p>
      <w:pPr>
        <w:pStyle w:val="Compact"/>
        <w:numPr>
          <w:ilvl w:val="0"/>
          <w:numId w:val="1009"/>
        </w:numPr>
      </w:pPr>
      <w:r>
        <w:rPr>
          <w:b/>
          <w:bCs/>
        </w:rPr>
        <w:t xml:space="preserve">Dropship economics deterioration in EU:</w:t>
      </w:r>
      <w:r>
        <w:t xml:space="preserve"> </w:t>
      </w:r>
      <w:r>
        <w:t xml:space="preserve">mitigate by avoiding cross-border parcel dropship as the core; EU is moving to remove the €150 customs duty exemption and already requires declarations for all goods.</w:t>
      </w:r>
      <w:r>
        <w:t xml:space="preserve"> </w:t>
      </w:r>
      <w:hyperlink r:id="rId43">
        <w:r>
          <w:rPr>
            <w:rStyle w:val="Hyperlink"/>
          </w:rPr>
          <w:t xml:space="preserve">[46]</w:t>
        </w:r>
      </w:hyperlink>
    </w:p>
    <w:p>
      <w:pPr>
        <w:pStyle w:val="Compact"/>
        <w:numPr>
          <w:ilvl w:val="0"/>
          <w:numId w:val="1009"/>
        </w:numPr>
      </w:pPr>
      <w:r>
        <w:rPr>
          <w:b/>
          <w:bCs/>
        </w:rPr>
        <w:t xml:space="preserve">EUDR readiness gap:</w:t>
      </w:r>
      <w:r>
        <w:t xml:space="preserve"> </w:t>
      </w:r>
      <w:r>
        <w:t xml:space="preserve">mitigate by collecting geo and supplier data early; coffee is explicitly in scope and geolocation is an explicit requirement in due diligence systems.</w:t>
      </w:r>
      <w:r>
        <w:t xml:space="preserve"> </w:t>
      </w:r>
      <w:hyperlink r:id="rId27">
        <w:r>
          <w:rPr>
            <w:rStyle w:val="Hyperlink"/>
          </w:rPr>
          <w:t xml:space="preserve">[33]</w:t>
        </w:r>
      </w:hyperlink>
    </w:p>
    <w:p>
      <w:pPr>
        <w:pStyle w:val="Compact"/>
        <w:numPr>
          <w:ilvl w:val="0"/>
          <w:numId w:val="1009"/>
        </w:numPr>
      </w:pPr>
      <w:r>
        <w:rPr>
          <w:b/>
          <w:bCs/>
        </w:rPr>
        <w:t xml:space="preserve">Quality/returns reputational risk:</w:t>
      </w:r>
      <w:r>
        <w:t xml:space="preserve"> </w:t>
      </w:r>
      <w:r>
        <w:t xml:space="preserve">mitigate by using consignment/in-market fulfillment for D2C so you can hold/release lots and isolate issues via lot ledger; EU recall/withdrawal responsibilities depend on traceability.</w:t>
      </w:r>
      <w:r>
        <w:t xml:space="preserve"> </w:t>
      </w:r>
      <w:hyperlink r:id="rId28">
        <w:r>
          <w:rPr>
            <w:rStyle w:val="Hyperlink"/>
          </w:rPr>
          <w:t xml:space="preserve">[13]</w:t>
        </w:r>
      </w:hyperlink>
    </w:p>
    <w:p>
      <w:pPr>
        <w:pStyle w:val="FirstParagraph"/>
      </w:pPr>
      <w:r>
        <w:t xml:space="preserve">In summary: build the platform and supplier graph first using a</w:t>
      </w:r>
      <w:r>
        <w:t xml:space="preserve"> </w:t>
      </w:r>
      <w:r>
        <w:rPr>
          <w:b/>
          <w:bCs/>
        </w:rPr>
        <w:t xml:space="preserve">B2B marketplace commission model</w:t>
      </w:r>
      <w:r>
        <w:t xml:space="preserve"> </w:t>
      </w:r>
      <w:r>
        <w:t xml:space="preserve">(charge-on-order) to minimize capital and regulatory exposure, then layer in</w:t>
      </w:r>
      <w:r>
        <w:t xml:space="preserve"> </w:t>
      </w:r>
      <w:r>
        <w:rPr>
          <w:b/>
          <w:bCs/>
        </w:rPr>
        <w:t xml:space="preserve">controlled D2C</w:t>
      </w:r>
      <w:r>
        <w:t xml:space="preserve"> </w:t>
      </w:r>
      <w:r>
        <w:t xml:space="preserve">via domestic roasting/3PL funded by a pre-seed/seed tranche—positioning your investor narrative around</w:t>
      </w:r>
      <w:r>
        <w:t xml:space="preserve"> </w:t>
      </w:r>
      <w:r>
        <w:rPr>
          <w:b/>
          <w:bCs/>
        </w:rPr>
        <w:t xml:space="preserve">compliance-ready traceability and EUDR-era data needs</w:t>
      </w:r>
      <w:r>
        <w:t xml:space="preserve">, with Coffee Board export processes and sustainability standards as supply-side scaffolding.</w:t>
      </w:r>
      <w:r>
        <w:t xml:space="preserve"> </w:t>
      </w:r>
      <w:hyperlink r:id="rId24">
        <w:r>
          <w:rPr>
            <w:rStyle w:val="Hyperlink"/>
          </w:rPr>
          <w:t xml:space="preserve">[47]</w:t>
        </w:r>
      </w:hyperlink>
    </w:p>
    <w:bookmarkEnd w:id="64"/>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[38]</w:t>
        </w:r>
      </w:hyperlink>
      <w:r>
        <w:t xml:space="preserve"> </w:t>
      </w:r>
      <w:r>
        <w:t xml:space="preserve">Importing Food Products into the United States</w:t>
      </w:r>
    </w:p>
    <w:p>
      <w:pPr>
        <w:pStyle w:val="BodyText"/>
      </w:pPr>
      <w:hyperlink r:id="rId21">
        <w:r>
          <w:rPr>
            <w:rStyle w:val="Hyperlink"/>
          </w:rPr>
          <w:t xml:space="preserve">https://www.fda.gov/food/food-imports-exports/importing-food-products-united-states?utm_source=chatgpt.com</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[12]</w:t>
        </w:r>
      </w:hyperlink>
      <w:r>
        <w:t xml:space="preserve"> </w:t>
      </w:r>
      <w:hyperlink r:id="rId22">
        <w:r>
          <w:rPr>
            <w:rStyle w:val="Hyperlink"/>
          </w:rPr>
          <w:t xml:space="preserve">[18]</w:t>
        </w:r>
      </w:hyperlink>
      <w:r>
        <w:t xml:space="preserve"> </w:t>
      </w:r>
      <w:hyperlink r:id="rId22">
        <w:r>
          <w:rPr>
            <w:rStyle w:val="Hyperlink"/>
          </w:rPr>
          <w:t xml:space="preserve">[29]</w:t>
        </w:r>
      </w:hyperlink>
      <w:r>
        <w:t xml:space="preserve"> </w:t>
      </w:r>
      <w:hyperlink r:id="rId22">
        <w:r>
          <w:rPr>
            <w:rStyle w:val="Hyperlink"/>
          </w:rPr>
          <w:t xml:space="preserve">[45]</w:t>
        </w:r>
      </w:hyperlink>
      <w:r>
        <w:t xml:space="preserve"> </w:t>
      </w:r>
      <w:r>
        <w:t xml:space="preserve">FSMA Final Rule on FSVP for Imports</w:t>
      </w:r>
    </w:p>
    <w:p>
      <w:pPr>
        <w:pStyle w:val="BodyText"/>
      </w:pPr>
      <w:hyperlink r:id="rId22">
        <w:r>
          <w:rPr>
            <w:rStyle w:val="Hyperlink"/>
          </w:rPr>
          <w:t xml:space="preserve">https://www.fda.gov/food/food-safety-modernization-act-fsma/fsma-final-rule-foreign-supplier-verification-programs-fsvp-importers-food-humans-and-animals?utm_source=chatgpt.com</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hyperlink r:id="rId23">
        <w:r>
          <w:rPr>
            <w:rStyle w:val="Hyperlink"/>
          </w:rPr>
          <w:t xml:space="preserve">[15]</w:t>
        </w:r>
      </w:hyperlink>
      <w:r>
        <w:t xml:space="preserve"> </w:t>
      </w:r>
      <w:hyperlink r:id="rId23">
        <w:r>
          <w:rPr>
            <w:rStyle w:val="Hyperlink"/>
          </w:rPr>
          <w:t xml:space="preserve">[17]</w:t>
        </w:r>
      </w:hyperlink>
      <w:r>
        <w:t xml:space="preserve"> </w:t>
      </w:r>
      <w:hyperlink r:id="rId23">
        <w:r>
          <w:rPr>
            <w:rStyle w:val="Hyperlink"/>
          </w:rPr>
          <w:t xml:space="preserve">[41]</w:t>
        </w:r>
      </w:hyperlink>
      <w:r>
        <w:t xml:space="preserve"> </w:t>
      </w:r>
      <w:r>
        <w:t xml:space="preserve">Filing Prior Notice of Imported Foods</w:t>
      </w:r>
    </w:p>
    <w:p>
      <w:pPr>
        <w:pStyle w:val="BodyText"/>
      </w:pPr>
      <w:hyperlink r:id="rId23">
        <w:r>
          <w:rPr>
            <w:rStyle w:val="Hyperlink"/>
          </w:rPr>
          <w:t xml:space="preserve">https://www.fda.gov/industry/prior-notice-imported-foods/filing-prior-notice-imported-foods?utm_source=chatgpt.com</w:t>
        </w:r>
      </w:hyperlink>
    </w:p>
    <w:p>
      <w:pPr>
        <w:pStyle w:val="BodyText"/>
      </w:pPr>
      <w:hyperlink r:id="rId24">
        <w:r>
          <w:rPr>
            <w:rStyle w:val="Hyperlink"/>
          </w:rPr>
          <w:t xml:space="preserve">[4]</w:t>
        </w:r>
      </w:hyperlink>
      <w:r>
        <w:t xml:space="preserve"> </w:t>
      </w:r>
      <w:hyperlink r:id="rId24">
        <w:r>
          <w:rPr>
            <w:rStyle w:val="Hyperlink"/>
          </w:rPr>
          <w:t xml:space="preserve">[28]</w:t>
        </w:r>
      </w:hyperlink>
      <w:r>
        <w:t xml:space="preserve"> </w:t>
      </w:r>
      <w:hyperlink r:id="rId24">
        <w:r>
          <w:rPr>
            <w:rStyle w:val="Hyperlink"/>
          </w:rPr>
          <w:t xml:space="preserve">[37]</w:t>
        </w:r>
      </w:hyperlink>
      <w:r>
        <w:t xml:space="preserve"> </w:t>
      </w:r>
      <w:hyperlink r:id="rId24">
        <w:r>
          <w:rPr>
            <w:rStyle w:val="Hyperlink"/>
          </w:rPr>
          <w:t xml:space="preserve">[43]</w:t>
        </w:r>
      </w:hyperlink>
      <w:r>
        <w:t xml:space="preserve"> </w:t>
      </w:r>
      <w:hyperlink r:id="rId24">
        <w:r>
          <w:rPr>
            <w:rStyle w:val="Hyperlink"/>
          </w:rPr>
          <w:t xml:space="preserve">[47]</w:t>
        </w:r>
      </w:hyperlink>
      <w:r>
        <w:t xml:space="preserve"> </w:t>
      </w:r>
      <w:r>
        <w:t xml:space="preserve">Coffee Board of India</w:t>
      </w:r>
    </w:p>
    <w:p>
      <w:pPr>
        <w:pStyle w:val="BodyText"/>
      </w:pPr>
      <w:hyperlink r:id="rId24">
        <w:r>
          <w:rPr>
            <w:rStyle w:val="Hyperlink"/>
          </w:rPr>
          <w:t xml:space="preserve">https://coffeeboard.gov.in/Exporter.aspx</w:t>
        </w:r>
      </w:hyperlink>
    </w:p>
    <w:p>
      <w:pPr>
        <w:pStyle w:val="BodyText"/>
      </w:pPr>
      <w:hyperlink r:id="rId25">
        <w:r>
          <w:rPr>
            <w:rStyle w:val="Hyperlink"/>
          </w:rPr>
          <w:t xml:space="preserve">[5]</w:t>
        </w:r>
      </w:hyperlink>
      <w:r>
        <w:t xml:space="preserve"> </w:t>
      </w:r>
      <w:hyperlink r:id="rId25">
        <w:r>
          <w:rPr>
            <w:rStyle w:val="Hyperlink"/>
          </w:rPr>
          <w:t xml:space="preserve">[26]</w:t>
        </w:r>
      </w:hyperlink>
      <w:r>
        <w:t xml:space="preserve"> </w:t>
      </w:r>
      <w:hyperlink r:id="rId25">
        <w:r>
          <w:rPr>
            <w:rStyle w:val="Hyperlink"/>
          </w:rPr>
          <w:t xml:space="preserve">[39]</w:t>
        </w:r>
      </w:hyperlink>
      <w:r>
        <w:t xml:space="preserve"> </w:t>
      </w:r>
      <w:hyperlink r:id="rId25">
        <w:r>
          <w:rPr>
            <w:rStyle w:val="Hyperlink"/>
          </w:rPr>
          <w:t xml:space="preserve">[42]</w:t>
        </w:r>
      </w:hyperlink>
      <w:r>
        <w:t xml:space="preserve"> </w:t>
      </w:r>
      <w:r>
        <w:t xml:space="preserve">Delay until December 2026 and other developments in the ...</w:t>
      </w:r>
    </w:p>
    <w:p>
      <w:pPr>
        <w:pStyle w:val="BodyText"/>
      </w:pPr>
      <w:hyperlink r:id="rId25">
        <w:r>
          <w:rPr>
            <w:rStyle w:val="Hyperlink"/>
          </w:rPr>
          <w:t xml:space="preserve">https://trade.ec.europa.eu/access-to-markets/en/news/delay-until-december-2026-and-other-developments-implementation-eudr-regulation?utm_source=chatgpt.com</w:t>
        </w:r>
      </w:hyperlink>
    </w:p>
    <w:p>
      <w:pPr>
        <w:pStyle w:val="BodyText"/>
      </w:pPr>
      <w:hyperlink r:id="rId27">
        <w:r>
          <w:rPr>
            <w:rStyle w:val="Hyperlink"/>
          </w:rPr>
          <w:t xml:space="preserve">[7]</w:t>
        </w:r>
      </w:hyperlink>
      <w:r>
        <w:t xml:space="preserve"> </w:t>
      </w:r>
      <w:hyperlink r:id="rId27">
        <w:r>
          <w:rPr>
            <w:rStyle w:val="Hyperlink"/>
          </w:rPr>
          <w:t xml:space="preserve">[25]</w:t>
        </w:r>
      </w:hyperlink>
      <w:r>
        <w:t xml:space="preserve"> </w:t>
      </w:r>
      <w:hyperlink r:id="rId27">
        <w:r>
          <w:rPr>
            <w:rStyle w:val="Hyperlink"/>
          </w:rPr>
          <w:t xml:space="preserve">[33]</w:t>
        </w:r>
      </w:hyperlink>
      <w:r>
        <w:t xml:space="preserve"> </w:t>
      </w:r>
      <w:r>
        <w:t xml:space="preserve">Regulation - 2023/1115 - EN - EUR-Lex</w:t>
      </w:r>
    </w:p>
    <w:p>
      <w:pPr>
        <w:pStyle w:val="BodyText"/>
      </w:pPr>
      <w:hyperlink r:id="rId27">
        <w:r>
          <w:rPr>
            <w:rStyle w:val="Hyperlink"/>
          </w:rPr>
          <w:t xml:space="preserve">https://eur-lex.europa.eu/eli/reg/2023/1115/oj/eng</w:t>
        </w:r>
      </w:hyperlink>
    </w:p>
    <w:p>
      <w:pPr>
        <w:pStyle w:val="BodyText"/>
      </w:pPr>
      <w:hyperlink r:id="rId28">
        <w:r>
          <w:rPr>
            <w:rStyle w:val="Hyperlink"/>
          </w:rPr>
          <w:t xml:space="preserve">[8]</w:t>
        </w:r>
      </w:hyperlink>
      <w:r>
        <w:t xml:space="preserve"> </w:t>
      </w:r>
      <w:hyperlink r:id="rId28">
        <w:r>
          <w:rPr>
            <w:rStyle w:val="Hyperlink"/>
          </w:rPr>
          <w:t xml:space="preserve">[13]</w:t>
        </w:r>
      </w:hyperlink>
      <w:r>
        <w:t xml:space="preserve"> </w:t>
      </w:r>
      <w:hyperlink r:id="rId28">
        <w:r>
          <w:rPr>
            <w:rStyle w:val="Hyperlink"/>
          </w:rPr>
          <w:t xml:space="preserve">[40]</w:t>
        </w:r>
      </w:hyperlink>
      <w:r>
        <w:t xml:space="preserve"> </w:t>
      </w:r>
      <w:hyperlink r:id="rId28">
        <w:r>
          <w:rPr>
            <w:rStyle w:val="Hyperlink"/>
          </w:rPr>
          <w:t xml:space="preserve">[44]</w:t>
        </w:r>
      </w:hyperlink>
      <w:r>
        <w:t xml:space="preserve"> </w:t>
      </w:r>
      <w:r>
        <w:t xml:space="preserve">Regulation - 178/2002 - EN - EUR-Lex</w:t>
      </w:r>
    </w:p>
    <w:p>
      <w:pPr>
        <w:pStyle w:val="BodyText"/>
      </w:pPr>
      <w:hyperlink r:id="rId28">
        <w:r>
          <w:rPr>
            <w:rStyle w:val="Hyperlink"/>
          </w:rPr>
          <w:t xml:space="preserve">https://eur-lex.europa.eu/eli/reg/2002/178/oj/eng</w:t>
        </w:r>
      </w:hyperlink>
    </w:p>
    <w:p>
      <w:pPr>
        <w:pStyle w:val="BodyText"/>
      </w:pPr>
      <w:hyperlink r:id="rId29">
        <w:r>
          <w:rPr>
            <w:rStyle w:val="Hyperlink"/>
          </w:rPr>
          <w:t xml:space="preserve">[10]</w:t>
        </w:r>
      </w:hyperlink>
      <w:r>
        <w:t xml:space="preserve"> </w:t>
      </w:r>
      <w:hyperlink r:id="rId29">
        <w:r>
          <w:rPr>
            <w:rStyle w:val="Hyperlink"/>
          </w:rPr>
          <w:t xml:space="preserve">[23]</w:t>
        </w:r>
      </w:hyperlink>
      <w:r>
        <w:t xml:space="preserve"> </w:t>
      </w:r>
      <w:hyperlink r:id="rId29">
        <w:r>
          <w:rPr>
            <w:rStyle w:val="Hyperlink"/>
          </w:rPr>
          <w:t xml:space="preserve">[35]</w:t>
        </w:r>
      </w:hyperlink>
      <w:r>
        <w:t xml:space="preserve"> </w:t>
      </w:r>
      <w:r>
        <w:t xml:space="preserve">Customs formalities for low value consignments</w:t>
      </w:r>
    </w:p>
    <w:p>
      <w:pPr>
        <w:pStyle w:val="BodyText"/>
      </w:pPr>
      <w:hyperlink r:id="rId29">
        <w:r>
          <w:rPr>
            <w:rStyle w:val="Hyperlink"/>
          </w:rPr>
          <w:t xml:space="preserve">https://taxation-customs.ec.europa.eu/customs/customs-procedures-import-and-export/customs-operations/customs-formalities-low-value-consignments_en?utm_source=chatgpt.com</w:t>
        </w:r>
      </w:hyperlink>
    </w:p>
    <w:p>
      <w:pPr>
        <w:pStyle w:val="BodyText"/>
      </w:pPr>
      <w:hyperlink r:id="rId33">
        <w:r>
          <w:rPr>
            <w:rStyle w:val="Hyperlink"/>
          </w:rPr>
          <w:t xml:space="preserve">[14]</w:t>
        </w:r>
      </w:hyperlink>
      <w:r>
        <w:t xml:space="preserve"> </w:t>
      </w:r>
      <w:hyperlink r:id="rId33">
        <w:r>
          <w:rPr>
            <w:rStyle w:val="Hyperlink"/>
          </w:rPr>
          <w:t xml:space="preserve">[32]</w:t>
        </w:r>
      </w:hyperlink>
      <w:r>
        <w:t xml:space="preserve"> </w:t>
      </w:r>
      <w:r>
        <w:t xml:space="preserve">Consolidated TEXT: 32011R1169 — EN — 01.01.2018</w:t>
      </w:r>
    </w:p>
    <w:p>
      <w:pPr>
        <w:pStyle w:val="BodyText"/>
      </w:pPr>
      <w:hyperlink r:id="rId33">
        <w:r>
          <w:rPr>
            <w:rStyle w:val="Hyperlink"/>
          </w:rPr>
          <w:t xml:space="preserve">https://eur-lex.europa.eu/legal-content/EN/TXT/HTML/?uri=CELEX%3A02011R1169-20180101</w:t>
        </w:r>
      </w:hyperlink>
    </w:p>
    <w:p>
      <w:pPr>
        <w:pStyle w:val="BodyText"/>
      </w:pPr>
      <w:hyperlink r:id="rId34">
        <w:r>
          <w:rPr>
            <w:rStyle w:val="Hyperlink"/>
          </w:rPr>
          <w:t xml:space="preserve">[16]</w:t>
        </w:r>
      </w:hyperlink>
      <w:r>
        <w:t xml:space="preserve"> </w:t>
      </w:r>
      <w:hyperlink r:id="rId34">
        <w:r>
          <w:rPr>
            <w:rStyle w:val="Hyperlink"/>
          </w:rPr>
          <w:t xml:space="preserve">[36]</w:t>
        </w:r>
      </w:hyperlink>
      <w:r>
        <w:t xml:space="preserve"> </w:t>
      </w:r>
      <w:r>
        <w:t xml:space="preserve">EORI number | Access2Markets</w:t>
      </w:r>
      <w:r>
        <w:t xml:space="preserve"> </w:t>
      </w:r>
    </w:p>
    <w:p>
      <w:pPr>
        <w:pStyle w:val="BodyText"/>
      </w:pPr>
      <w:hyperlink r:id="rId34">
        <w:r>
          <w:rPr>
            <w:rStyle w:val="Hyperlink"/>
          </w:rPr>
          <w:t xml:space="preserve">https://trade.ec.europa.eu/access-to-markets/en/content/eori-number</w:t>
        </w:r>
      </w:hyperlink>
    </w:p>
    <w:p>
      <w:pPr>
        <w:pStyle w:val="BodyText"/>
      </w:pPr>
      <w:hyperlink r:id="rId38">
        <w:r>
          <w:rPr>
            <w:rStyle w:val="Hyperlink"/>
          </w:rPr>
          <w:t xml:space="preserve">[19]</w:t>
        </w:r>
      </w:hyperlink>
      <w:r>
        <w:t xml:space="preserve"> </w:t>
      </w:r>
      <w:r>
        <w:t xml:space="preserve">21 CFR Part 1 Subpart H -- Registration of Food Facilities</w:t>
      </w:r>
    </w:p>
    <w:p>
      <w:pPr>
        <w:pStyle w:val="BodyText"/>
      </w:pPr>
      <w:hyperlink r:id="rId38">
        <w:r>
          <w:rPr>
            <w:rStyle w:val="Hyperlink"/>
          </w:rPr>
          <w:t xml:space="preserve">https://www.ecfr.gov/current/title-21/chapter-I/subchapter-A/part-1/subpart-H?utm_source=chatgpt.com</w:t>
        </w:r>
      </w:hyperlink>
    </w:p>
    <w:p>
      <w:pPr>
        <w:pStyle w:val="BodyText"/>
      </w:pPr>
      <w:hyperlink r:id="rId39">
        <w:r>
          <w:rPr>
            <w:rStyle w:val="Hyperlink"/>
          </w:rPr>
          <w:t xml:space="preserve">[20]</w:t>
        </w:r>
      </w:hyperlink>
      <w:r>
        <w:t xml:space="preserve"> </w:t>
      </w:r>
      <w:r>
        <w:t xml:space="preserve">19 U.S. Code § 1304 - Marking of imported articles and ...</w:t>
      </w:r>
    </w:p>
    <w:p>
      <w:pPr>
        <w:pStyle w:val="BodyText"/>
      </w:pPr>
      <w:hyperlink r:id="rId39">
        <w:r>
          <w:rPr>
            <w:rStyle w:val="Hyperlink"/>
          </w:rPr>
          <w:t xml:space="preserve">https://www.law.cornell.edu/uscode/text/19/1304?utm_source=chatgpt.com</w:t>
        </w:r>
      </w:hyperlink>
    </w:p>
    <w:p>
      <w:pPr>
        <w:pStyle w:val="BodyText"/>
      </w:pPr>
      <w:hyperlink r:id="rId41">
        <w:r>
          <w:rPr>
            <w:rStyle w:val="Hyperlink"/>
          </w:rPr>
          <w:t xml:space="preserve">[21]</w:t>
        </w:r>
      </w:hyperlink>
      <w:r>
        <w:t xml:space="preserve"> </w:t>
      </w:r>
      <w:r>
        <w:t xml:space="preserve">Regulation (EC) No. 852/2004, Article 5</w:t>
      </w:r>
    </w:p>
    <w:p>
      <w:pPr>
        <w:pStyle w:val="BodyText"/>
      </w:pPr>
      <w:hyperlink r:id="rId41">
        <w:r>
          <w:rPr>
            <w:rStyle w:val="Hyperlink"/>
          </w:rPr>
          <w:t xml:space="preserve">https://www.legislation.gov.uk/eur/2004/852/article/5?utm_source=chatgpt.com</w:t>
        </w:r>
      </w:hyperlink>
    </w:p>
    <w:p>
      <w:pPr>
        <w:pStyle w:val="BodyText"/>
      </w:pPr>
      <w:hyperlink r:id="rId42">
        <w:r>
          <w:rPr>
            <w:rStyle w:val="Hyperlink"/>
          </w:rPr>
          <w:t xml:space="preserve">[22]</w:t>
        </w:r>
      </w:hyperlink>
      <w:r>
        <w:t xml:space="preserve"> </w:t>
      </w:r>
      <w:r>
        <w:t xml:space="preserve">Regulation - EU - 2017/625 - EN - EUR-Lex</w:t>
      </w:r>
    </w:p>
    <w:p>
      <w:pPr>
        <w:pStyle w:val="BodyText"/>
      </w:pPr>
      <w:hyperlink r:id="rId42">
        <w:r>
          <w:rPr>
            <w:rStyle w:val="Hyperlink"/>
          </w:rPr>
          <w:t xml:space="preserve">https://eur-lex.europa.eu/eli/reg/2017/625/oj/eng?utm_source=chatgpt.com</w:t>
        </w:r>
      </w:hyperlink>
    </w:p>
    <w:p>
      <w:pPr>
        <w:pStyle w:val="BodyText"/>
      </w:pPr>
      <w:hyperlink r:id="rId43">
        <w:r>
          <w:rPr>
            <w:rStyle w:val="Hyperlink"/>
          </w:rPr>
          <w:t xml:space="preserve">[24]</w:t>
        </w:r>
      </w:hyperlink>
      <w:r>
        <w:t xml:space="preserve"> </w:t>
      </w:r>
      <w:hyperlink r:id="rId43">
        <w:r>
          <w:rPr>
            <w:rStyle w:val="Hyperlink"/>
          </w:rPr>
          <w:t xml:space="preserve">[46]</w:t>
        </w:r>
      </w:hyperlink>
      <w:r>
        <w:t xml:space="preserve"> </w:t>
      </w:r>
      <w:r>
        <w:t xml:space="preserve">E-commerce: 150 EUR customs duty exemption threshold to ...</w:t>
      </w:r>
    </w:p>
    <w:p>
      <w:pPr>
        <w:pStyle w:val="BodyText"/>
      </w:pPr>
      <w:hyperlink r:id="rId43">
        <w:r>
          <w:rPr>
            <w:rStyle w:val="Hyperlink"/>
          </w:rPr>
          <w:t xml:space="preserve">https://taxation-customs.ec.europa.eu/news/e-commerce-150-eur-customs-duty-exemption-threshold-be-removed-2026-2025-11-13_en?utm_source=chatgpt.com</w:t>
        </w:r>
      </w:hyperlink>
    </w:p>
    <w:p>
      <w:pPr>
        <w:pStyle w:val="BodyText"/>
      </w:pPr>
      <w:hyperlink r:id="rId44">
        <w:r>
          <w:rPr>
            <w:rStyle w:val="Hyperlink"/>
          </w:rPr>
          <w:t xml:space="preserve">[27]</w:t>
        </w:r>
      </w:hyperlink>
      <w:r>
        <w:t xml:space="preserve"> </w:t>
      </w:r>
      <w:hyperlink r:id="rId44">
        <w:r>
          <w:rPr>
            <w:rStyle w:val="Hyperlink"/>
          </w:rPr>
          <w:t xml:space="preserve">[34]</w:t>
        </w:r>
      </w:hyperlink>
      <w:r>
        <w:t xml:space="preserve"> </w:t>
      </w:r>
      <w:r>
        <w:t xml:space="preserve">coffeeboard.gov.in</w:t>
      </w:r>
    </w:p>
    <w:p>
      <w:pPr>
        <w:pStyle w:val="BodyText"/>
      </w:pPr>
      <w:hyperlink r:id="rId44">
        <w:r>
          <w:rPr>
            <w:rStyle w:val="Hyperlink"/>
          </w:rPr>
          <w:t xml:space="preserve">https://coffeeboard.gov.in/Indian%20Coffee/Indian%20Coffee%20Sustainability%20Standard%20%20Certification%20Scheme.pdf</w:t>
        </w:r>
      </w:hyperlink>
    </w:p>
    <w:p>
      <w:pPr>
        <w:pStyle w:val="BodyText"/>
      </w:pPr>
      <w:hyperlink r:id="rId50">
        <w:r>
          <w:rPr>
            <w:rStyle w:val="Hyperlink"/>
          </w:rPr>
          <w:t xml:space="preserve">[30]</w:t>
        </w:r>
      </w:hyperlink>
      <w:r>
        <w:t xml:space="preserve"> </w:t>
      </w:r>
      <w:hyperlink r:id="rId50">
        <w:r>
          <w:rPr>
            <w:rStyle w:val="Hyperlink"/>
          </w:rPr>
          <w:t xml:space="preserve">[31]</w:t>
        </w:r>
      </w:hyperlink>
      <w:r>
        <w:t xml:space="preserve"> </w:t>
      </w:r>
      <w:r>
        <w:t xml:space="preserve">Incoterms® 2020 - ICC - International Chamber of Commerce</w:t>
      </w:r>
    </w:p>
    <w:p>
      <w:pPr>
        <w:pStyle w:val="BodyText"/>
      </w:pPr>
      <w:hyperlink r:id="rId50">
        <w:r>
          <w:rPr>
            <w:rStyle w:val="Hyperlink"/>
          </w:rPr>
          <w:t xml:space="preserve">https://iccwbo.org/business-solutions/incoterms-rules/incoterms-2020/?utm_source=chatgpt.com</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offeeboard.gov.in/Exporter.aspx" TargetMode="External" /><Relationship Type="http://schemas.openxmlformats.org/officeDocument/2006/relationships/hyperlink" Id="rId44" Target="https://coffeeboard.gov.in/Indian%20Coffee/Indian%20Coffee%20Sustainability%20Standard%20%20Certification%20Scheme.pdf" TargetMode="External" /><Relationship Type="http://schemas.openxmlformats.org/officeDocument/2006/relationships/hyperlink" Id="rId28" Target="https://eur-lex.europa.eu/eli/reg/2002/178/oj/eng" TargetMode="External" /><Relationship Type="http://schemas.openxmlformats.org/officeDocument/2006/relationships/hyperlink" Id="rId42" Target="https://eur-lex.europa.eu/eli/reg/2017/625/oj/eng?utm_source=chatgpt.com" TargetMode="External" /><Relationship Type="http://schemas.openxmlformats.org/officeDocument/2006/relationships/hyperlink" Id="rId27" Target="https://eur-lex.europa.eu/eli/reg/2023/1115/oj/eng" TargetMode="External" /><Relationship Type="http://schemas.openxmlformats.org/officeDocument/2006/relationships/hyperlink" Id="rId33" Target="https://eur-lex.europa.eu/legal-content/EN/TXT/HTML/?uri=CELEX%3A02011R1169-20180101" TargetMode="External" /><Relationship Type="http://schemas.openxmlformats.org/officeDocument/2006/relationships/hyperlink" Id="rId50" Target="https://iccwbo.org/business-solutions/incoterms-rules/incoterms-2020/?utm_source=chatgpt.com" TargetMode="External" /><Relationship Type="http://schemas.openxmlformats.org/officeDocument/2006/relationships/hyperlink" Id="rId29" Target="https://taxation-customs.ec.europa.eu/customs/customs-procedures-import-and-export/customs-operations/customs-formalities-low-value-consignments_en?utm_source=chatgpt.com" TargetMode="External" /><Relationship Type="http://schemas.openxmlformats.org/officeDocument/2006/relationships/hyperlink" Id="rId43" Target="https://taxation-customs.ec.europa.eu/news/e-commerce-150-eur-customs-duty-exemption-threshold-be-removed-2026-2025-11-13_en?utm_source=chatgpt.com" TargetMode="External" /><Relationship Type="http://schemas.openxmlformats.org/officeDocument/2006/relationships/hyperlink" Id="rId34" Target="https://trade.ec.europa.eu/access-to-markets/en/content/eori-number" TargetMode="External" /><Relationship Type="http://schemas.openxmlformats.org/officeDocument/2006/relationships/hyperlink" Id="rId25" Target="https://trade.ec.europa.eu/access-to-markets/en/news/delay-until-december-2026-and-other-developments-implementation-eudr-regulation?utm_source=chatgpt.com" TargetMode="External" /><Relationship Type="http://schemas.openxmlformats.org/officeDocument/2006/relationships/hyperlink" Id="rId38" Target="https://www.ecfr.gov/current/title-21/chapter-I/subchapter-A/part-1/subpart-H?utm_source=chatgpt.com" TargetMode="External" /><Relationship Type="http://schemas.openxmlformats.org/officeDocument/2006/relationships/hyperlink" Id="rId21" Target="https://www.fda.gov/food/food-imports-exports/importing-food-products-united-states?utm_source=chatgpt.com" TargetMode="External" /><Relationship Type="http://schemas.openxmlformats.org/officeDocument/2006/relationships/hyperlink" Id="rId22" Target="https://www.fda.gov/food/food-safety-modernization-act-fsma/fsma-final-rule-foreign-supplier-verification-programs-fsvp-importers-food-humans-and-animals?utm_source=chatgpt.com" TargetMode="External" /><Relationship Type="http://schemas.openxmlformats.org/officeDocument/2006/relationships/hyperlink" Id="rId23" Target="https://www.fda.gov/industry/prior-notice-imported-foods/filing-prior-notice-imported-foods?utm_source=chatgpt.com" TargetMode="External" /><Relationship Type="http://schemas.openxmlformats.org/officeDocument/2006/relationships/hyperlink" Id="rId39" Target="https://www.law.cornell.edu/uscode/text/19/1304?utm_source=chatgpt.com" TargetMode="External" /><Relationship Type="http://schemas.openxmlformats.org/officeDocument/2006/relationships/hyperlink" Id="rId41" Target="https://www.legislation.gov.uk/eur/2004/852/article/5?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4" Target="https://coffeeboard.gov.in/Exporter.aspx" TargetMode="External" /><Relationship Type="http://schemas.openxmlformats.org/officeDocument/2006/relationships/hyperlink" Id="rId44" Target="https://coffeeboard.gov.in/Indian%20Coffee/Indian%20Coffee%20Sustainability%20Standard%20%20Certification%20Scheme.pdf" TargetMode="External" /><Relationship Type="http://schemas.openxmlformats.org/officeDocument/2006/relationships/hyperlink" Id="rId28" Target="https://eur-lex.europa.eu/eli/reg/2002/178/oj/eng" TargetMode="External" /><Relationship Type="http://schemas.openxmlformats.org/officeDocument/2006/relationships/hyperlink" Id="rId42" Target="https://eur-lex.europa.eu/eli/reg/2017/625/oj/eng?utm_source=chatgpt.com" TargetMode="External" /><Relationship Type="http://schemas.openxmlformats.org/officeDocument/2006/relationships/hyperlink" Id="rId27" Target="https://eur-lex.europa.eu/eli/reg/2023/1115/oj/eng" TargetMode="External" /><Relationship Type="http://schemas.openxmlformats.org/officeDocument/2006/relationships/hyperlink" Id="rId33" Target="https://eur-lex.europa.eu/legal-content/EN/TXT/HTML/?uri=CELEX%3A02011R1169-20180101" TargetMode="External" /><Relationship Type="http://schemas.openxmlformats.org/officeDocument/2006/relationships/hyperlink" Id="rId50" Target="https://iccwbo.org/business-solutions/incoterms-rules/incoterms-2020/?utm_source=chatgpt.com" TargetMode="External" /><Relationship Type="http://schemas.openxmlformats.org/officeDocument/2006/relationships/hyperlink" Id="rId29" Target="https://taxation-customs.ec.europa.eu/customs/customs-procedures-import-and-export/customs-operations/customs-formalities-low-value-consignments_en?utm_source=chatgpt.com" TargetMode="External" /><Relationship Type="http://schemas.openxmlformats.org/officeDocument/2006/relationships/hyperlink" Id="rId43" Target="https://taxation-customs.ec.europa.eu/news/e-commerce-150-eur-customs-duty-exemption-threshold-be-removed-2026-2025-11-13_en?utm_source=chatgpt.com" TargetMode="External" /><Relationship Type="http://schemas.openxmlformats.org/officeDocument/2006/relationships/hyperlink" Id="rId34" Target="https://trade.ec.europa.eu/access-to-markets/en/content/eori-number" TargetMode="External" /><Relationship Type="http://schemas.openxmlformats.org/officeDocument/2006/relationships/hyperlink" Id="rId25" Target="https://trade.ec.europa.eu/access-to-markets/en/news/delay-until-december-2026-and-other-developments-implementation-eudr-regulation?utm_source=chatgpt.com" TargetMode="External" /><Relationship Type="http://schemas.openxmlformats.org/officeDocument/2006/relationships/hyperlink" Id="rId38" Target="https://www.ecfr.gov/current/title-21/chapter-I/subchapter-A/part-1/subpart-H?utm_source=chatgpt.com" TargetMode="External" /><Relationship Type="http://schemas.openxmlformats.org/officeDocument/2006/relationships/hyperlink" Id="rId21" Target="https://www.fda.gov/food/food-imports-exports/importing-food-products-united-states?utm_source=chatgpt.com" TargetMode="External" /><Relationship Type="http://schemas.openxmlformats.org/officeDocument/2006/relationships/hyperlink" Id="rId22" Target="https://www.fda.gov/food/food-safety-modernization-act-fsma/fsma-final-rule-foreign-supplier-verification-programs-fsvp-importers-food-humans-and-animals?utm_source=chatgpt.com" TargetMode="External" /><Relationship Type="http://schemas.openxmlformats.org/officeDocument/2006/relationships/hyperlink" Id="rId23" Target="https://www.fda.gov/industry/prior-notice-imported-foods/filing-prior-notice-imported-foods?utm_source=chatgpt.com" TargetMode="External" /><Relationship Type="http://schemas.openxmlformats.org/officeDocument/2006/relationships/hyperlink" Id="rId39" Target="https://www.law.cornell.edu/uscode/text/19/1304?utm_source=chatgpt.com" TargetMode="External" /><Relationship Type="http://schemas.openxmlformats.org/officeDocument/2006/relationships/hyperlink" Id="rId41" Target="https://www.legislation.gov.uk/eur/2004/852/article/5?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2026-03-17T00:43:19Z</dcterms:created>
  <dcterms:modified xsi:type="dcterms:W3CDTF">2026-03-17T00:43:19Z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