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3c77751a591c4d74aab4b9fc1e20b6628e679d7"/>
    <w:p>
      <w:pPr>
        <w:pStyle w:val="Heading1"/>
      </w:pPr>
      <w:r>
        <w:t xml:space="preserve">Platform-First Indian Coffee Marketplace and App: Model Feasibility, Compliance Boundaries, and Capital Plan</w:t>
      </w:r>
    </w:p>
    <w:bookmarkStart w:id="26" w:name="executive-summary"/>
    <w:p>
      <w:pPr>
        <w:pStyle w:val="Heading2"/>
      </w:pPr>
      <w:r>
        <w:t xml:space="preserve">Executive summary</w:t>
      </w:r>
    </w:p>
    <w:p>
      <w:pPr>
        <w:pStyle w:val="FirstParagraph"/>
      </w:pPr>
      <w:r>
        <w:t xml:space="preserve">You can plausibly</w:t>
      </w:r>
      <w:r>
        <w:t xml:space="preserve"> </w:t>
      </w:r>
      <w:r>
        <w:rPr>
          <w:b/>
          <w:bCs/>
        </w:rPr>
        <w:t xml:space="preserve">build the platform/app first, onboard Indian coffee suppliers, demonstrate early order flow, and then approach investors</w:t>
      </w:r>
      <w:r>
        <w:t xml:space="preserve">—but only if you choose an operating model that keeps you from accidentally becoming (a) the</w:t>
      </w:r>
      <w:r>
        <w:t xml:space="preserve"> </w:t>
      </w:r>
      <w:r>
        <w:rPr>
          <w:b/>
          <w:bCs/>
        </w:rPr>
        <w:t xml:space="preserve">U.S. FSVP importer</w:t>
      </w:r>
      <w:r>
        <w:t xml:space="preserve"> </w:t>
      </w:r>
      <w:r>
        <w:t xml:space="preserve">and (b) the</w:t>
      </w:r>
      <w:r>
        <w:t xml:space="preserve"> </w:t>
      </w:r>
      <w:r>
        <w:rPr>
          <w:b/>
          <w:bCs/>
        </w:rPr>
        <w:t xml:space="preserve">EU “responsible food business operator / importer” for labeling</w:t>
      </w:r>
      <w:r>
        <w:t xml:space="preserve">, while also staying aligned to EU VAT/import mechanics and emerging EU deforestation due diligence expectations.</w:t>
      </w:r>
      <w:r>
        <w:t xml:space="preserve"> </w:t>
      </w:r>
      <w:hyperlink r:id="rId21">
        <w:r>
          <w:rPr>
            <w:rStyle w:val="Hyperlink"/>
          </w:rPr>
          <w:t xml:space="preserve">[1]</w:t>
        </w:r>
      </w:hyperlink>
    </w:p>
    <w:p>
      <w:pPr>
        <w:pStyle w:val="BodyText"/>
      </w:pPr>
      <w:r>
        <w:t xml:space="preserve">For an early-stage founder-built product, the most feasible, lowest-capital route is typically:</w:t>
      </w:r>
    </w:p>
    <w:p>
      <w:pPr>
        <w:pStyle w:val="Compact"/>
        <w:numPr>
          <w:ilvl w:val="0"/>
          <w:numId w:val="1001"/>
        </w:numPr>
      </w:pPr>
      <w:r>
        <w:rPr>
          <w:b/>
          <w:bCs/>
        </w:rPr>
        <w:t xml:space="preserve">Charge-on-order marketplace (commission-only by ordered category)</w:t>
      </w:r>
      <w:r>
        <w:t xml:space="preserve"> </w:t>
      </w:r>
      <w:r>
        <w:t xml:space="preserve">focused on</w:t>
      </w:r>
      <w:r>
        <w:t xml:space="preserve"> </w:t>
      </w:r>
      <w:r>
        <w:rPr>
          <w:b/>
          <w:bCs/>
        </w:rPr>
        <w:t xml:space="preserve">B2B (roasters/cafés/importers)</w:t>
      </w:r>
      <w:r>
        <w:t xml:space="preserve"> </w:t>
      </w:r>
      <w:r>
        <w:t xml:space="preserve">where</w:t>
      </w:r>
      <w:r>
        <w:t xml:space="preserve"> </w:t>
      </w:r>
      <w:r>
        <w:rPr>
          <w:b/>
          <w:bCs/>
        </w:rPr>
        <w:t xml:space="preserve">the buyer is the importer-of-record</w:t>
      </w:r>
      <w:r>
        <w:t xml:space="preserve"> </w:t>
      </w:r>
      <w:r>
        <w:t xml:space="preserve">and you</w:t>
      </w:r>
      <w:r>
        <w:t xml:space="preserve"> </w:t>
      </w:r>
      <w:r>
        <w:rPr>
          <w:b/>
          <w:bCs/>
        </w:rPr>
        <w:t xml:space="preserve">do not take title</w:t>
      </w:r>
      <w:r>
        <w:t xml:space="preserve">. This is materially safer because the U.S. FSVP importer is defined as the</w:t>
      </w:r>
      <w:r>
        <w:t xml:space="preserve"> </w:t>
      </w:r>
      <w:r>
        <w:rPr>
          <w:b/>
          <w:bCs/>
        </w:rPr>
        <w:t xml:space="preserve">U.S. owner or consignee</w:t>
      </w:r>
      <w:r>
        <w:t xml:space="preserve"> </w:t>
      </w:r>
      <w:r>
        <w:t xml:space="preserve">(or a designated U.S. agent/representative when none exists), meaning your contract and operational reality should ensure</w:t>
      </w:r>
      <w:r>
        <w:t xml:space="preserve"> </w:t>
      </w:r>
      <w:r>
        <w:rPr>
          <w:i/>
          <w:iCs/>
        </w:rPr>
        <w:t xml:space="preserve">the buyer</w:t>
      </w:r>
      <w:r>
        <w:t xml:space="preserve"> </w:t>
      </w:r>
      <w:r>
        <w:t xml:space="preserve">fits that role, not you.</w:t>
      </w:r>
      <w:r>
        <w:t xml:space="preserve"> </w:t>
      </w:r>
      <w:hyperlink r:id="rId21">
        <w:r>
          <w:rPr>
            <w:rStyle w:val="Hyperlink"/>
          </w:rPr>
          <w:t xml:space="preserve">[2]</w:t>
        </w:r>
      </w:hyperlink>
    </w:p>
    <w:p>
      <w:pPr>
        <w:pStyle w:val="Compact"/>
        <w:numPr>
          <w:ilvl w:val="0"/>
          <w:numId w:val="1001"/>
        </w:numPr>
      </w:pPr>
      <w:r>
        <w:t xml:space="preserve">Build your “ordered categories” around</w:t>
      </w:r>
      <w:r>
        <w:t xml:space="preserve"> </w:t>
      </w:r>
      <w:r>
        <w:rPr>
          <w:b/>
          <w:bCs/>
        </w:rPr>
        <w:t xml:space="preserve">Coffee Board export types/grades and specialty categories</w:t>
      </w:r>
      <w:r>
        <w:t xml:space="preserve">, because the Coffee Board’s exporter framework already enumerates types/grades, export permits, and Certificates of Origin.</w:t>
      </w:r>
      <w:r>
        <w:t xml:space="preserve"> </w:t>
      </w:r>
      <w:hyperlink r:id="rId22">
        <w:r>
          <w:rPr>
            <w:rStyle w:val="Hyperlink"/>
          </w:rPr>
          <w:t xml:space="preserve">[3]</w:t>
        </w:r>
      </w:hyperlink>
    </w:p>
    <w:p>
      <w:pPr>
        <w:pStyle w:val="FirstParagraph"/>
      </w:pPr>
      <w:r>
        <w:t xml:space="preserve">By contrast,</w:t>
      </w:r>
      <w:r>
        <w:t xml:space="preserve"> </w:t>
      </w:r>
      <w:r>
        <w:rPr>
          <w:b/>
          <w:bCs/>
        </w:rPr>
        <w:t xml:space="preserve">cross-border dropship (India → US/EU consumer)</w:t>
      </w:r>
      <w:r>
        <w:t xml:space="preserve"> </w:t>
      </w:r>
      <w:r>
        <w:t xml:space="preserve">is operationally possible but becomes compliance- and economics-heavy quickly, because (a) the U.S. requires</w:t>
      </w:r>
      <w:r>
        <w:t xml:space="preserve"> </w:t>
      </w:r>
      <w:r>
        <w:rPr>
          <w:b/>
          <w:bCs/>
        </w:rPr>
        <w:t xml:space="preserve">Prior Notice</w:t>
      </w:r>
      <w:r>
        <w:t xml:space="preserve"> </w:t>
      </w:r>
      <w:r>
        <w:t xml:space="preserve">for all imported food, (b) EU distance sales of imported goods invoke</w:t>
      </w:r>
      <w:r>
        <w:t xml:space="preserve"> </w:t>
      </w:r>
      <w:r>
        <w:rPr>
          <w:b/>
          <w:bCs/>
        </w:rPr>
        <w:t xml:space="preserve">VAT/IOSS mechanics and mandatory customs declarations even for low-value consignments</w:t>
      </w:r>
      <w:r>
        <w:t xml:space="preserve">, and (c) the EU has formally committed to removing the</w:t>
      </w:r>
      <w:r>
        <w:t xml:space="preserve"> </w:t>
      </w:r>
      <w:r>
        <w:rPr>
          <w:b/>
          <w:bCs/>
        </w:rPr>
        <w:t xml:space="preserve">€150 customs duty exemption</w:t>
      </w:r>
      <w:r>
        <w:t xml:space="preserve"> </w:t>
      </w:r>
      <w:r>
        <w:t xml:space="preserve">threshold “as of 2026,” reducing the long-term viability of parcel-led models.</w:t>
      </w:r>
      <w:r>
        <w:t xml:space="preserve"> </w:t>
      </w:r>
      <w:hyperlink r:id="rId23">
        <w:r>
          <w:rPr>
            <w:rStyle w:val="Hyperlink"/>
          </w:rPr>
          <w:t xml:space="preserve">[4]</w:t>
        </w:r>
      </w:hyperlink>
    </w:p>
    <w:p>
      <w:pPr>
        <w:pStyle w:val="BodyText"/>
      </w:pPr>
      <w:r>
        <w:rPr>
          <w:b/>
          <w:bCs/>
        </w:rPr>
        <w:t xml:space="preserve">Consignment</w:t>
      </w:r>
      <w:r>
        <w:t xml:space="preserve"> </w:t>
      </w:r>
      <w:r>
        <w:t xml:space="preserve">(inventory held closer to customers, title retained by supplier until sale) can improve working-capital dynamics vs outright purchasing inventory, but it does</w:t>
      </w:r>
      <w:r>
        <w:t xml:space="preserve"> </w:t>
      </w:r>
      <w:r>
        <w:rPr>
          <w:b/>
          <w:bCs/>
        </w:rPr>
        <w:t xml:space="preserve">not</w:t>
      </w:r>
      <w:r>
        <w:t xml:space="preserve"> </w:t>
      </w:r>
      <w:r>
        <w:t xml:space="preserve">remove import and labeling responsibilities if you are the party placing food on the market under your brand name in the EU, or if you become the importer for customs purposes.</w:t>
      </w:r>
      <w:r>
        <w:t xml:space="preserve"> </w:t>
      </w:r>
      <w:hyperlink r:id="rId24">
        <w:r>
          <w:rPr>
            <w:rStyle w:val="Hyperlink"/>
          </w:rPr>
          <w:t xml:space="preserve">[5]</w:t>
        </w:r>
      </w:hyperlink>
    </w:p>
    <w:p>
      <w:pPr>
        <w:pStyle w:val="BodyText"/>
      </w:pPr>
      <w:r>
        <w:rPr>
          <w:b/>
          <w:bCs/>
        </w:rPr>
        <w:t xml:space="preserve">Recommended approach (best balance of feasibility + investor legibility):</w:t>
      </w:r>
      <w:r>
        <w:br/>
      </w:r>
      <w:r>
        <w:t xml:space="preserve">Start with a</w:t>
      </w:r>
      <w:r>
        <w:t xml:space="preserve"> </w:t>
      </w:r>
      <w:r>
        <w:rPr>
          <w:b/>
          <w:bCs/>
        </w:rPr>
        <w:t xml:space="preserve">B2B-first charge-on-order marketplace</w:t>
      </w:r>
      <w:r>
        <w:t xml:space="preserve"> </w:t>
      </w:r>
      <w:r>
        <w:t xml:space="preserve">(commission by Coffee Board-aligned category), plus a “lot ledger + document pack” that makes suppliers investible and buyers confident—then add a small, controlled</w:t>
      </w:r>
      <w:r>
        <w:t xml:space="preserve"> </w:t>
      </w:r>
      <w:r>
        <w:rPr>
          <w:b/>
          <w:bCs/>
        </w:rPr>
        <w:t xml:space="preserve">in-market fulfillment pilot</w:t>
      </w:r>
      <w:r>
        <w:t xml:space="preserve"> </w:t>
      </w:r>
      <w:r>
        <w:t xml:space="preserve">(US first) only after you have repeatable supply and compliance infrastructure. This positions you well for</w:t>
      </w:r>
      <w:r>
        <w:t xml:space="preserve"> </w:t>
      </w:r>
      <w:r>
        <w:rPr>
          <w:b/>
          <w:bCs/>
        </w:rPr>
        <w:t xml:space="preserve">EUDR readiness</w:t>
      </w:r>
      <w:r>
        <w:t xml:space="preserve">, where coffee is explicitly in scope (HS 0901), due diligence systems require information on sources/suppliers and</w:t>
      </w:r>
      <w:r>
        <w:t xml:space="preserve"> </w:t>
      </w:r>
      <w:r>
        <w:rPr>
          <w:b/>
          <w:bCs/>
        </w:rPr>
        <w:t xml:space="preserve">geolocation coordinates</w:t>
      </w:r>
      <w:r>
        <w:t xml:space="preserve"> </w:t>
      </w:r>
      <w:r>
        <w:t xml:space="preserve">of plots, and official timelines now point to main obligations starting</w:t>
      </w:r>
      <w:r>
        <w:t xml:space="preserve"> </w:t>
      </w:r>
      <w:r>
        <w:rPr>
          <w:b/>
          <w:bCs/>
        </w:rPr>
        <w:t xml:space="preserve">30 Dec 2026</w:t>
      </w:r>
      <w:r>
        <w:t xml:space="preserve"> </w:t>
      </w:r>
      <w:r>
        <w:t xml:space="preserve">for large operators (with later dates for micro/small enterprises).</w:t>
      </w:r>
      <w:r>
        <w:t xml:space="preserve"> </w:t>
      </w:r>
      <w:hyperlink r:id="rId25">
        <w:r>
          <w:rPr>
            <w:rStyle w:val="Hyperlink"/>
          </w:rPr>
          <w:t xml:space="preserve">[6]</w:t>
        </w:r>
      </w:hyperlink>
    </w:p>
    <w:p>
      <w:pPr>
        <w:pStyle w:val="BodyText"/>
      </w:pPr>
      <w:r>
        <w:rPr>
          <w:b/>
          <w:bCs/>
        </w:rPr>
        <w:t xml:space="preserve">Capital ranges (USD; assumptions explicit later):</w:t>
      </w:r>
      <w:r>
        <w:t xml:space="preserve"> </w:t>
      </w:r>
      <w:r>
        <w:t xml:space="preserve">- Lean MVP (marketplace + supplier portal + lot ledger, founder-built):</w:t>
      </w:r>
      <w:r>
        <w:t xml:space="preserve"> </w:t>
      </w:r>
      <w:r>
        <w:rPr>
          <w:b/>
          <w:bCs/>
        </w:rPr>
        <w:t xml:space="preserve">$150k–$400k</w:t>
      </w:r>
      <w:r>
        <w:t xml:space="preserve"> </w:t>
      </w:r>
      <w:r>
        <w:t xml:space="preserve">- Standard launch (adds US in-market fulfillment pilot + compliance ops + initial inventory buffer):</w:t>
      </w:r>
      <w:r>
        <w:t xml:space="preserve"> </w:t>
      </w:r>
      <w:r>
        <w:rPr>
          <w:b/>
          <w:bCs/>
        </w:rPr>
        <w:t xml:space="preserve">$600k–$1.3M</w:t>
      </w:r>
      <w:r>
        <w:t xml:space="preserve"> </w:t>
      </w:r>
      <w:r>
        <w:t xml:space="preserve">- Growth/scale (US + EU footprint, deeper compliance automation + team + working-capital buffer):</w:t>
      </w:r>
      <w:r>
        <w:t xml:space="preserve"> </w:t>
      </w:r>
      <w:r>
        <w:rPr>
          <w:b/>
          <w:bCs/>
        </w:rPr>
        <w:t xml:space="preserve">$2.0M–$4.0M</w:t>
      </w:r>
    </w:p>
    <w:p>
      <w:pPr>
        <w:pStyle w:val="BodyText"/>
      </w:pPr>
      <w:r>
        <w:t xml:space="preserve">These ranges are driven primarily by headcount, legal/compliance setup, travel/onboarding costs, and (if you import/hold inventory) working capital and freight/warehouse prepayments.</w:t>
      </w:r>
      <w:r>
        <w:t xml:space="preserve"> </w:t>
      </w:r>
      <w:hyperlink r:id="rId21">
        <w:r>
          <w:rPr>
            <w:rStyle w:val="Hyperlink"/>
          </w:rPr>
          <w:t xml:space="preserve">[7]</w:t>
        </w:r>
      </w:hyperlink>
    </w:p>
    <w:bookmarkEnd w:id="26"/>
    <w:bookmarkStart w:id="28" w:name="assumptions-and-decision-framing"/>
    <w:p>
      <w:pPr>
        <w:pStyle w:val="Heading2"/>
      </w:pPr>
      <w:r>
        <w:t xml:space="preserve">Assumptions and decision framing</w:t>
      </w:r>
    </w:p>
    <w:p>
      <w:pPr>
        <w:pStyle w:val="FirstParagraph"/>
      </w:pPr>
      <w:r>
        <w:rPr>
          <w:b/>
          <w:bCs/>
        </w:rPr>
        <w:t xml:space="preserve">Unstated assumptions (made explicitly):</w:t>
      </w:r>
      <w:r>
        <w:t xml:space="preserve"> </w:t>
      </w:r>
      <w:r>
        <w:t xml:space="preserve">- Primary markets: United States</w:t>
      </w:r>
      <w:hyperlink r:id="rId27">
        <w:r>
          <w:rPr>
            <w:rStyle w:val="Hyperlink"/>
          </w:rPr>
          <w:t xml:space="preserve">[8]</w:t>
        </w:r>
      </w:hyperlink>
      <w:r>
        <w:t xml:space="preserve"> </w:t>
      </w:r>
      <w:r>
        <w:t xml:space="preserve">and the European Union</w:t>
      </w:r>
      <w:hyperlink r:id="rId27">
        <w:r>
          <w:rPr>
            <w:rStyle w:val="Hyperlink"/>
          </w:rPr>
          <w:t xml:space="preserve">[9]</w:t>
        </w:r>
      </w:hyperlink>
      <w:r>
        <w:t xml:space="preserve">.</w:t>
      </w:r>
      <w:r>
        <w:t xml:space="preserve"> </w:t>
      </w:r>
      <w:r>
        <w:t xml:space="preserve">- Customer motion: both B2B and B2C.</w:t>
      </w:r>
      <w:r>
        <w:t xml:space="preserve"> </w:t>
      </w:r>
      <w:r>
        <w:t xml:space="preserve">- You, the founder, can build a functional MVP platform/app (engineering time is assumed available; founder salary may be minimized in the lean scenario).</w:t>
      </w:r>
      <w:r>
        <w:t xml:space="preserve"> </w:t>
      </w:r>
      <w:r>
        <w:t xml:space="preserve">- Supplier base is initially made up of Coffee Board–registered exporters (rather than only estates/co-ops), because the Coffee Board export regime places operational obligations (RCMC membership, export permits, Certificates of Origin, post-shipment documentation) squarely in exporters’ workflows.</w:t>
      </w:r>
      <w:r>
        <w:t xml:space="preserve"> </w:t>
      </w:r>
      <w:hyperlink r:id="rId22">
        <w:r>
          <w:rPr>
            <w:rStyle w:val="Hyperlink"/>
          </w:rPr>
          <w:t xml:space="preserve">[3]</w:t>
        </w:r>
      </w:hyperlink>
      <w:r>
        <w:t xml:space="preserve"> </w:t>
      </w:r>
      <w:r>
        <w:t xml:space="preserve">- “Charge-only-by-ordered-category” means a commission/fee is charged</w:t>
      </w:r>
      <w:r>
        <w:t xml:space="preserve"> </w:t>
      </w:r>
      <w:r>
        <w:rPr>
          <w:b/>
          <w:bCs/>
        </w:rPr>
        <w:t xml:space="preserve">only when an order is executed</w:t>
      </w:r>
      <w:r>
        <w:t xml:space="preserve">, and categories are stable product primitives (types/grades/specialty) rather than rapidly changing marketing SKUs.</w:t>
      </w:r>
    </w:p>
    <w:p>
      <w:pPr>
        <w:pStyle w:val="BodyText"/>
      </w:pPr>
      <w:r>
        <w:rPr>
          <w:b/>
          <w:bCs/>
        </w:rPr>
        <w:t xml:space="preserve">Decision lens (what matters most early):</w:t>
      </w:r>
      <w:r>
        <w:t xml:space="preserve"> </w:t>
      </w:r>
      <w:r>
        <w:t xml:space="preserve">1.</w:t>
      </w:r>
      <w:r>
        <w:t xml:space="preserve"> </w:t>
      </w:r>
      <w:r>
        <w:rPr>
          <w:b/>
          <w:bCs/>
        </w:rPr>
        <w:t xml:space="preserve">Who becomes “importer” in law and in practice</w:t>
      </w:r>
      <w:r>
        <w:t xml:space="preserve"> </w:t>
      </w:r>
      <w:r>
        <w:t xml:space="preserve">(U.S. FSVP importer; EU importer/label-responsible operator; EU customs identifiers like EORI).</w:t>
      </w:r>
      <w:r>
        <w:t xml:space="preserve"> </w:t>
      </w:r>
      <w:hyperlink r:id="rId21">
        <w:r>
          <w:rPr>
            <w:rStyle w:val="Hyperlink"/>
          </w:rPr>
          <w:t xml:space="preserve">[10]</w:t>
        </w:r>
      </w:hyperlink>
      <w:r>
        <w:br/>
      </w:r>
      <w:r>
        <w:t xml:space="preserve">2.</w:t>
      </w:r>
      <w:r>
        <w:t xml:space="preserve"> </w:t>
      </w:r>
      <w:r>
        <w:rPr>
          <w:b/>
          <w:bCs/>
        </w:rPr>
        <w:t xml:space="preserve">How many import events your model creates</w:t>
      </w:r>
      <w:r>
        <w:t xml:space="preserve"> </w:t>
      </w:r>
      <w:r>
        <w:t xml:space="preserve">(bulk shipments vs per-order parcels), because that drives compliance overhead and failure rates.</w:t>
      </w:r>
      <w:r>
        <w:t xml:space="preserve"> </w:t>
      </w:r>
      <w:hyperlink r:id="rId23">
        <w:r>
          <w:rPr>
            <w:rStyle w:val="Hyperlink"/>
          </w:rPr>
          <w:t xml:space="preserve">[11]</w:t>
        </w:r>
      </w:hyperlink>
      <w:r>
        <w:br/>
      </w:r>
      <w:r>
        <w:t xml:space="preserve">3.</w:t>
      </w:r>
      <w:r>
        <w:t xml:space="preserve"> </w:t>
      </w:r>
      <w:r>
        <w:rPr>
          <w:b/>
          <w:bCs/>
        </w:rPr>
        <w:t xml:space="preserve">Quality control locus</w:t>
      </w:r>
      <w:r>
        <w:t xml:space="preserve"> </w:t>
      </w:r>
      <w:r>
        <w:t xml:space="preserve">(at origin vs in-market), because coffee quality and defect risk are managed through grading, moisture standards, and lot controls.</w:t>
      </w:r>
      <w:r>
        <w:t xml:space="preserve"> </w:t>
      </w:r>
      <w:hyperlink r:id="rId27">
        <w:r>
          <w:rPr>
            <w:rStyle w:val="Hyperlink"/>
          </w:rPr>
          <w:t xml:space="preserve">[12]</w:t>
        </w:r>
      </w:hyperlink>
      <w:r>
        <w:br/>
      </w:r>
      <w:r>
        <w:t xml:space="preserve">4.</w:t>
      </w:r>
      <w:r>
        <w:t xml:space="preserve"> </w:t>
      </w:r>
      <w:r>
        <w:rPr>
          <w:b/>
          <w:bCs/>
        </w:rPr>
        <w:t xml:space="preserve">Cash conversion cycle</w:t>
      </w:r>
      <w:r>
        <w:t xml:space="preserve"> </w:t>
      </w:r>
      <w:r>
        <w:t xml:space="preserve">(who prepays what; chargebacks; refunds; inventory aging).</w:t>
      </w:r>
    </w:p>
    <w:bookmarkEnd w:id="28"/>
    <w:bookmarkStart w:id="36" w:name="model-feasibility-and-operational-flows"/>
    <w:p>
      <w:pPr>
        <w:pStyle w:val="Heading2"/>
      </w:pPr>
      <w:r>
        <w:t xml:space="preserve">Model feasibility and operational flows</w:t>
      </w:r>
    </w:p>
    <w:bookmarkStart w:id="29" w:name="Xd18357db5bbac9d337d8ee00b0a57b9dea8e61c"/>
    <w:p>
      <w:pPr>
        <w:pStyle w:val="Heading3"/>
      </w:pPr>
      <w:r>
        <w:t xml:space="preserve">Feasibility comparison of charge-on-order, dropship, and consignment</w:t>
      </w:r>
    </w:p>
    <w:p>
      <w:pPr>
        <w:pStyle w:val="FirstParagraph"/>
      </w:pPr>
      <w:r>
        <w:t xml:space="preserve">The table below focuses on (a) feasibility at founder stage, (b) capital intensity, (c) compliance exposure, and (d) where the model tends to break.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Best-fit segment</w:t>
            </w:r>
          </w:p>
        </w:tc>
        <w:tc>
          <w:tcPr/>
          <w:p>
            <w:pPr>
              <w:pStyle w:val="Compact"/>
            </w:pPr>
            <w:r>
              <w:t xml:space="preserve">Feasibility (founder-stage)</w:t>
            </w:r>
          </w:p>
        </w:tc>
        <w:tc>
          <w:tcPr/>
          <w:p>
            <w:pPr>
              <w:pStyle w:val="Compact"/>
            </w:pPr>
            <w:r>
              <w:t xml:space="preserve">Compliance exposure (US/EU)</w:t>
            </w:r>
          </w:p>
        </w:tc>
        <w:tc>
          <w:tcPr/>
          <w:p>
            <w:pPr>
              <w:pStyle w:val="Compact"/>
            </w:pPr>
            <w:r>
              <w:t xml:space="preserve">Capital intensity</w:t>
            </w:r>
          </w:p>
        </w:tc>
        <w:tc>
          <w:tcPr/>
          <w:p>
            <w:pPr>
              <w:pStyle w:val="Compact"/>
            </w:pPr>
            <w:r>
              <w:t xml:space="preserve">Where it breaks first</w:t>
            </w:r>
          </w:p>
        </w:tc>
      </w:tr>
      <w:tr>
        <w:tc>
          <w:tcPr/>
          <w:p>
            <w:pPr>
              <w:pStyle w:val="Compact"/>
            </w:pPr>
            <w:r>
              <w:t xml:space="preserve">Charge-on-order marketplace (buyer imports)</w:t>
            </w:r>
          </w:p>
        </w:tc>
        <w:tc>
          <w:tcPr/>
          <w:p>
            <w:pPr>
              <w:pStyle w:val="Compact"/>
            </w:pPr>
            <w:r>
              <w:t xml:space="preserve">B2B</w:t>
            </w:r>
          </w:p>
        </w:tc>
        <w:tc>
          <w:tcPr/>
          <w:p>
            <w:pPr>
              <w:pStyle w:val="Compact"/>
            </w:pPr>
            <w:r>
              <w:t xml:space="preserve">High (most stable)</w:t>
            </w:r>
          </w:p>
        </w:tc>
        <w:tc>
          <w:tcPr/>
          <w:p>
            <w:pPr>
              <w:pStyle w:val="Compact"/>
            </w:pPr>
            <w:r>
              <w:t xml:space="preserve">Lower for you</w:t>
            </w:r>
            <w:r>
              <w:t xml:space="preserve"> </w:t>
            </w:r>
            <w:r>
              <w:rPr>
                <w:b/>
                <w:bCs/>
              </w:rPr>
              <w:t xml:space="preserve">if</w:t>
            </w:r>
            <w:r>
              <w:t xml:space="preserve"> </w:t>
            </w:r>
            <w:r>
              <w:t xml:space="preserve">you truly aren’t owner/consignee/importer; buyer handles FSVP/import &amp; EU import/label mechanics</w:t>
            </w:r>
          </w:p>
        </w:tc>
        <w:tc>
          <w:tcPr/>
          <w:p>
            <w:pPr>
              <w:pStyle w:val="Compact"/>
            </w:pPr>
            <w:r>
              <w:t xml:space="preserve">Lowest</w:t>
            </w:r>
          </w:p>
        </w:tc>
        <w:tc>
          <w:tcPr/>
          <w:p>
            <w:pPr>
              <w:pStyle w:val="Compact"/>
            </w:pPr>
            <w:r>
              <w:t xml:space="preserve">Breaks if you take title/consignee role, making you the FSVP importer; or if you promise consumer-level guarantees without QC control</w:t>
            </w:r>
            <w:r>
              <w:t xml:space="preserve"> </w:t>
            </w:r>
            <w:hyperlink r:id="rId21">
              <w:r>
                <w:rPr>
                  <w:rStyle w:val="Hyperlink"/>
                </w:rPr>
                <w:t xml:space="preserve">[13]</w:t>
              </w:r>
            </w:hyperlink>
          </w:p>
        </w:tc>
      </w:tr>
      <w:tr>
        <w:tc>
          <w:tcPr/>
          <w:p>
            <w:pPr>
              <w:pStyle w:val="Compact"/>
            </w:pPr>
            <w:r>
              <w:t xml:space="preserve">Dropship (India → US/EU consumer)</w:t>
            </w:r>
          </w:p>
        </w:tc>
        <w:tc>
          <w:tcPr/>
          <w:p>
            <w:pPr>
              <w:pStyle w:val="Compact"/>
            </w:pPr>
            <w:r>
              <w:t xml:space="preserve">B2C</w:t>
            </w:r>
          </w:p>
        </w:tc>
        <w:tc>
          <w:tcPr/>
          <w:p>
            <w:pPr>
              <w:pStyle w:val="Compact"/>
            </w:pPr>
            <w:r>
              <w:t xml:space="preserve">Medium (possible, fragile economics)</w:t>
            </w:r>
          </w:p>
        </w:tc>
        <w:tc>
          <w:tcPr/>
          <w:p>
            <w:pPr>
              <w:pStyle w:val="Compact"/>
            </w:pPr>
            <w:r>
              <w:t xml:space="preserve">High: U.S. Prior Notice per shipment; EU VAT/IOSS &amp; mandatory customs declarations; EU labeling responsibility may attach to your brand/import structure</w:t>
            </w:r>
          </w:p>
        </w:tc>
        <w:tc>
          <w:tcPr/>
          <w:p>
            <w:pPr>
              <w:pStyle w:val="Compact"/>
            </w:pPr>
            <w:r>
              <w:t xml:space="preserve">Low inventory, high per-order ops cost</w:t>
            </w:r>
          </w:p>
        </w:tc>
        <w:tc>
          <w:tcPr/>
          <w:p>
            <w:pPr>
              <w:pStyle w:val="Compact"/>
            </w:pPr>
            <w:r>
              <w:t xml:space="preserve">Breaks under shipping/returns friction + EU customs duty reform (removing €150 exemption) + labeling responsibility complexity</w:t>
            </w:r>
            <w:r>
              <w:t xml:space="preserve"> </w:t>
            </w:r>
            <w:hyperlink r:id="rId23">
              <w:r>
                <w:rPr>
                  <w:rStyle w:val="Hyperlink"/>
                </w:rPr>
                <w:t xml:space="preserve">[14]</w:t>
              </w:r>
            </w:hyperlink>
          </w:p>
        </w:tc>
      </w:tr>
      <w:tr>
        <w:tc>
          <w:tcPr/>
          <w:p>
            <w:pPr>
              <w:pStyle w:val="Compact"/>
            </w:pPr>
            <w:r>
              <w:t xml:space="preserve">Consignment (bulk into market, title retained until sale)</w:t>
            </w:r>
          </w:p>
        </w:tc>
        <w:tc>
          <w:tcPr/>
          <w:p>
            <w:pPr>
              <w:pStyle w:val="Compact"/>
            </w:pPr>
            <w:r>
              <w:t xml:space="preserve">B2B+B2C</w:t>
            </w:r>
          </w:p>
        </w:tc>
        <w:tc>
          <w:tcPr/>
          <w:p>
            <w:pPr>
              <w:pStyle w:val="Compact"/>
            </w:pPr>
            <w:r>
              <w:t xml:space="preserve">Medium–High (operationally heavier, but controllable)</w:t>
            </w:r>
          </w:p>
        </w:tc>
        <w:tc>
          <w:tcPr/>
          <w:p>
            <w:pPr>
              <w:pStyle w:val="Compact"/>
            </w:pPr>
            <w:r>
              <w:t xml:space="preserve">Medium–High: you still may be the importer/label-responsible operator; EORI/customs compliance required for EU import roles</w:t>
            </w:r>
          </w:p>
        </w:tc>
        <w:tc>
          <w:tcPr/>
          <w:p>
            <w:pPr>
              <w:pStyle w:val="Compact"/>
            </w:pPr>
            <w:r>
              <w:t xml:space="preserve">Medium</w:t>
            </w:r>
          </w:p>
        </w:tc>
        <w:tc>
          <w:tcPr/>
          <w:p>
            <w:pPr>
              <w:pStyle w:val="Compact"/>
            </w:pPr>
            <w:r>
              <w:t xml:space="preserve">Breaks if you can’t get suppliers to accept consignment or you lack in-market QA + inventory controls</w:t>
            </w:r>
            <w:r>
              <w:t xml:space="preserve"> </w:t>
            </w:r>
            <w:hyperlink r:id="rId24">
              <w:r>
                <w:rPr>
                  <w:rStyle w:val="Hyperlink"/>
                </w:rPr>
                <w:t xml:space="preserve">[15]</w:t>
              </w:r>
            </w:hyperlink>
          </w:p>
        </w:tc>
      </w:tr>
    </w:tbl>
    <w:bookmarkEnd w:id="29"/>
    <w:bookmarkStart w:id="30" w:name="Xa4875ff242835a01cbf597cfd5d9f3954a511e5"/>
    <w:p>
      <w:pPr>
        <w:pStyle w:val="Heading3"/>
      </w:pPr>
      <w:r>
        <w:t xml:space="preserve">Charge-on-order marketplace: why it is most investible early</w:t>
      </w:r>
    </w:p>
    <w:p>
      <w:pPr>
        <w:pStyle w:val="FirstParagraph"/>
      </w:pPr>
      <w:r>
        <w:rPr>
          <w:b/>
          <w:bCs/>
        </w:rPr>
        <w:t xml:space="preserve">Core logic:</w:t>
      </w:r>
      <w:r>
        <w:t xml:space="preserve"> </w:t>
      </w:r>
      <w:r>
        <w:t xml:space="preserve">design the marketplace so suppliers sell directly to buyers, and you earn a commission from executed orders; avoid taking title or becoming consignee. This is strategically aligned with the FDA’s framing that the</w:t>
      </w:r>
      <w:r>
        <w:t xml:space="preserve"> </w:t>
      </w:r>
      <w:r>
        <w:rPr>
          <w:b/>
          <w:bCs/>
        </w:rPr>
        <w:t xml:space="preserve">FSVP importer is the U.S. owner or consignee</w:t>
      </w:r>
      <w:r>
        <w:t xml:space="preserve"> </w:t>
      </w:r>
      <w:r>
        <w:t xml:space="preserve">(or a U.S. agent/representative when there’s no U.S. owner/consignee at entry).</w:t>
      </w:r>
      <w:r>
        <w:t xml:space="preserve"> </w:t>
      </w:r>
      <w:hyperlink r:id="rId21">
        <w:r>
          <w:rPr>
            <w:rStyle w:val="Hyperlink"/>
          </w:rPr>
          <w:t xml:space="preserve">[2]</w:t>
        </w:r>
      </w:hyperlink>
    </w:p>
    <w:p>
      <w:pPr>
        <w:pStyle w:val="BodyText"/>
      </w:pPr>
      <w:r>
        <w:rPr>
          <w:b/>
          <w:bCs/>
        </w:rPr>
        <w:t xml:space="preserve">How to define “ordered categories” rigorously:</w:t>
      </w:r>
      <w:r>
        <w:br/>
      </w:r>
      <w:r>
        <w:t xml:space="preserve">Use the Coffee Board exporter taxonomy as your category spine—Washed Arabica (“Plantation”), Unwashed Arabica (“Arabica Cherry”), Washed Robusta (“Robusta Parchment”), Unwashed Robusta (“Robusta Cherry”), Monsooned coffees, plus specialty categories such as Mysore Nuggets EB and Robusta Kaapi Royale. The Coffee Board also states it issues export permits only for “specified types and grades.”</w:t>
      </w:r>
      <w:r>
        <w:t xml:space="preserve"> </w:t>
      </w:r>
      <w:hyperlink r:id="rId22">
        <w:r>
          <w:rPr>
            <w:rStyle w:val="Hyperlink"/>
          </w:rPr>
          <w:t xml:space="preserve">[3]</w:t>
        </w:r>
      </w:hyperlink>
    </w:p>
    <w:bookmarkEnd w:id="30"/>
    <w:bookmarkStart w:id="32" w:name="Xee7d7032e6820c8439dc47d952fcafc6a9c9379"/>
    <w:p>
      <w:pPr>
        <w:pStyle w:val="Heading3"/>
      </w:pPr>
      <w:r>
        <w:t xml:space="preserve">Supplier incentives and what suppliers will sign</w:t>
      </w:r>
    </w:p>
    <w:p>
      <w:pPr>
        <w:pStyle w:val="FirstParagraph"/>
      </w:pPr>
      <w:r>
        <w:t xml:space="preserve">Indian exporters operate in a structured export regime: exporters register (RCMC), apply for export permits (Form-C) and Certificates of Origin via an online portal, and must submit post-shipment documents within a specified timeframe (e.g., Coffee Board notes submission of post-shipment documents within 45 days of export permit issue). This makes exporters receptive to systems that reduce documentation friction and increase buyer access—exactly what your supplier portal/lot ledger should provide.</w:t>
      </w:r>
      <w:r>
        <w:t xml:space="preserve"> </w:t>
      </w:r>
      <w:hyperlink r:id="rId22">
        <w:r>
          <w:rPr>
            <w:rStyle w:val="Hyperlink"/>
          </w:rPr>
          <w:t xml:space="preserve">[3]</w:t>
        </w:r>
      </w:hyperlink>
    </w:p>
    <w:p>
      <w:pPr>
        <w:pStyle w:val="BodyText"/>
      </w:pPr>
      <w:r>
        <w:t xml:space="preserve">A second wave incentive is sustainability/traceability alignment: the Coffee Board’s INDICOFS scheme is explicitly framed as a sustainability standard and certification scheme tailored to India and shaped by evolving global requirements.</w:t>
      </w:r>
      <w:r>
        <w:t xml:space="preserve"> </w:t>
      </w:r>
      <w:hyperlink r:id="rId31">
        <w:r>
          <w:rPr>
            <w:rStyle w:val="Hyperlink"/>
          </w:rPr>
          <w:t xml:space="preserve">[16]</w:t>
        </w:r>
      </w:hyperlink>
    </w:p>
    <w:bookmarkEnd w:id="32"/>
    <w:bookmarkStart w:id="35" w:name="operational-flow-diagrams-for-each-model"/>
    <w:p>
      <w:pPr>
        <w:pStyle w:val="Heading3"/>
      </w:pPr>
      <w:r>
        <w:t xml:space="preserve">Operational flow diagrams for each model</w:t>
      </w:r>
    </w:p>
    <w:p>
      <w:pPr>
        <w:pStyle w:val="FirstParagraph"/>
      </w:pPr>
      <w:r>
        <w:rPr>
          <w:b/>
          <w:bCs/>
        </w:rPr>
        <w:t xml:space="preserve">Charge-on-order marketplace (buyer imports)</w:t>
      </w:r>
      <w:r>
        <w:br/>
      </w:r>
      <w:r>
        <w:t xml:space="preserve">This model is designed so the buyer is the importer/consignee and does FSVP where applicable, consistent with FDA definitions.</w:t>
      </w:r>
      <w:r>
        <w:t xml:space="preserve"> </w:t>
      </w:r>
      <w:hyperlink r:id="rId21">
        <w:r>
          <w:rPr>
            <w:rStyle w:val="Hyperlink"/>
          </w:rPr>
          <w:t xml:space="preserve">[17]</w:t>
        </w:r>
      </w:hyperlink>
    </w:p>
    <w:p>
      <w:pPr>
        <w:pStyle w:val="SourceCode"/>
      </w:pPr>
      <w:r>
        <w:rPr>
          <w:rStyle w:val="VerbatimChar"/>
        </w:rPr>
        <w:t xml:space="preserve">flowchart LR</w:t>
      </w:r>
      <w:r>
        <w:br/>
      </w:r>
      <w:r>
        <w:rPr>
          <w:rStyle w:val="VerbatimChar"/>
        </w:rPr>
        <w:t xml:space="preserve">  A[Coffee Board–registered exporter] --&gt; B[Supplier portal: lots + docs]</w:t>
      </w:r>
      <w:r>
        <w:br/>
      </w:r>
      <w:r>
        <w:rPr>
          <w:rStyle w:val="VerbatimChar"/>
        </w:rPr>
        <w:t xml:space="preserve">  B --&gt; C[Marketplace: category listing + pricing]</w:t>
      </w:r>
      <w:r>
        <w:br/>
      </w:r>
      <w:r>
        <w:rPr>
          <w:rStyle w:val="VerbatimChar"/>
        </w:rPr>
        <w:t xml:space="preserve">  D[B2B buyer (US/EU)] --&gt; C</w:t>
      </w:r>
      <w:r>
        <w:br/>
      </w:r>
      <w:r>
        <w:rPr>
          <w:rStyle w:val="VerbatimChar"/>
        </w:rPr>
        <w:t xml:space="preserve">  D --&gt; E[Executes order; pays platform]</w:t>
      </w:r>
      <w:r>
        <w:br/>
      </w:r>
      <w:r>
        <w:rPr>
          <w:rStyle w:val="VerbatimChar"/>
        </w:rPr>
        <w:t xml:space="preserve">  C --&gt; F[Platform routes order + documentation pack]</w:t>
      </w:r>
      <w:r>
        <w:br/>
      </w:r>
      <w:r>
        <w:rPr>
          <w:rStyle w:val="VerbatimChar"/>
        </w:rPr>
        <w:t xml:space="preserve">  F --&gt; G[Exporter ships under agreed Incoterm]</w:t>
      </w:r>
      <w:r>
        <w:br/>
      </w:r>
      <w:r>
        <w:rPr>
          <w:rStyle w:val="VerbatimChar"/>
        </w:rPr>
        <w:t xml:space="preserve">  G --&gt; H[Buyer customs clearance + import compliance]</w:t>
      </w:r>
      <w:r>
        <w:br/>
      </w:r>
      <w:r>
        <w:rPr>
          <w:rStyle w:val="VerbatimChar"/>
        </w:rPr>
        <w:t xml:space="preserve">  H --&gt; I[Buyer receives; acceptance/QC]</w:t>
      </w:r>
      <w:r>
        <w:br/>
      </w:r>
      <w:r>
        <w:rPr>
          <w:rStyle w:val="VerbatimChar"/>
        </w:rPr>
        <w:t xml:space="preserve">  I --&gt; J[Settlement triggers payout]</w:t>
      </w:r>
      <w:r>
        <w:br/>
      </w:r>
      <w:r>
        <w:rPr>
          <w:rStyle w:val="VerbatimChar"/>
        </w:rPr>
        <w:t xml:space="preserve">  J --&gt; K[Platform remits supplier net of commission]</w:t>
      </w:r>
    </w:p>
    <w:p>
      <w:pPr>
        <w:pStyle w:val="FirstParagraph"/>
      </w:pPr>
      <w:r>
        <w:rPr>
          <w:b/>
          <w:bCs/>
        </w:rPr>
        <w:t xml:space="preserve">Dropship (India → consumer)</w:t>
      </w:r>
      <w:r>
        <w:br/>
      </w:r>
      <w:r>
        <w:t xml:space="preserve">High import-event frequency; EU customs declaration and VAT mechanics persist even at low values; EU is moving to remove the €150 customs duty exemption threshold “as of 2026.”</w:t>
      </w:r>
      <w:r>
        <w:t xml:space="preserve"> </w:t>
      </w:r>
      <w:hyperlink r:id="rId33">
        <w:r>
          <w:rPr>
            <w:rStyle w:val="Hyperlink"/>
          </w:rPr>
          <w:t xml:space="preserve">[18]</w:t>
        </w:r>
      </w:hyperlink>
    </w:p>
    <w:p>
      <w:pPr>
        <w:pStyle w:val="SourceCode"/>
      </w:pPr>
      <w:r>
        <w:rPr>
          <w:rStyle w:val="VerbatimChar"/>
        </w:rPr>
        <w:t xml:space="preserve">flowchart LR</w:t>
      </w:r>
      <w:r>
        <w:br/>
      </w:r>
      <w:r>
        <w:rPr>
          <w:rStyle w:val="VerbatimChar"/>
        </w:rPr>
        <w:t xml:space="preserve">  A[Supplier/Exporter] --&gt; B[Platform storefront]</w:t>
      </w:r>
      <w:r>
        <w:br/>
      </w:r>
      <w:r>
        <w:rPr>
          <w:rStyle w:val="VerbatimChar"/>
        </w:rPr>
        <w:t xml:space="preserve">  C[Consumer (US/EU)] --&gt; B</w:t>
      </w:r>
      <w:r>
        <w:br/>
      </w:r>
      <w:r>
        <w:rPr>
          <w:rStyle w:val="VerbatimChar"/>
        </w:rPr>
        <w:t xml:space="preserve">  C --&gt; D[Payment captured]</w:t>
      </w:r>
      <w:r>
        <w:br/>
      </w:r>
      <w:r>
        <w:rPr>
          <w:rStyle w:val="VerbatimChar"/>
        </w:rPr>
        <w:t xml:space="preserve">  B --&gt; E[Order routed to supplier]</w:t>
      </w:r>
      <w:r>
        <w:br/>
      </w:r>
      <w:r>
        <w:rPr>
          <w:rStyle w:val="VerbatimChar"/>
        </w:rPr>
        <w:t xml:space="preserve">  E --&gt; F[Parcel export + carrier handoff]</w:t>
      </w:r>
      <w:r>
        <w:br/>
      </w:r>
      <w:r>
        <w:rPr>
          <w:rStyle w:val="VerbatimChar"/>
        </w:rPr>
        <w:t xml:space="preserve">  F --&gt; G[Border clearance: customs declaration + VAT handling]</w:t>
      </w:r>
      <w:r>
        <w:br/>
      </w:r>
      <w:r>
        <w:rPr>
          <w:rStyle w:val="VerbatimChar"/>
        </w:rPr>
        <w:t xml:space="preserve">  G --&gt; H[Delivery attempt]</w:t>
      </w:r>
      <w:r>
        <w:br/>
      </w:r>
      <w:r>
        <w:rPr>
          <w:rStyle w:val="VerbatimChar"/>
        </w:rPr>
        <w:t xml:space="preserve">  H --&gt; I[Refund/return request]</w:t>
      </w:r>
      <w:r>
        <w:br/>
      </w:r>
      <w:r>
        <w:rPr>
          <w:rStyle w:val="VerbatimChar"/>
        </w:rPr>
        <w:t xml:space="preserve">  I --&gt; J[Refund; return may be impractical cross-border]</w:t>
      </w:r>
      <w:r>
        <w:br/>
      </w:r>
      <w:r>
        <w:rPr>
          <w:rStyle w:val="VerbatimChar"/>
        </w:rPr>
        <w:t xml:space="preserve">  J --&gt; K[Chargeback/dispute workflow]</w:t>
      </w:r>
    </w:p>
    <w:p>
      <w:pPr>
        <w:pStyle w:val="FirstParagraph"/>
      </w:pPr>
      <w:r>
        <w:rPr>
          <w:b/>
          <w:bCs/>
        </w:rPr>
        <w:t xml:space="preserve">Consignment (bulk into market; title held by supplier until sale)</w:t>
      </w:r>
      <w:r>
        <w:br/>
      </w:r>
      <w:r>
        <w:t xml:space="preserve">This model improves QC and customer experience but does not remove EU importer/customs roles (e.g., EORI often needed).</w:t>
      </w:r>
      <w:r>
        <w:t xml:space="preserve"> </w:t>
      </w:r>
      <w:hyperlink r:id="rId34">
        <w:r>
          <w:rPr>
            <w:rStyle w:val="Hyperlink"/>
          </w:rPr>
          <w:t xml:space="preserve">[19]</w:t>
        </w:r>
      </w:hyperlink>
    </w:p>
    <w:p>
      <w:pPr>
        <w:pStyle w:val="SourceCode"/>
      </w:pPr>
      <w:r>
        <w:rPr>
          <w:rStyle w:val="VerbatimChar"/>
        </w:rPr>
        <w:t xml:space="preserve">flowchart LR</w:t>
      </w:r>
      <w:r>
        <w:br/>
      </w:r>
      <w:r>
        <w:rPr>
          <w:rStyle w:val="VerbatimChar"/>
        </w:rPr>
        <w:t xml:space="preserve">  A[Exporter] --&gt; B[Bulk shipment to US/EU]</w:t>
      </w:r>
      <w:r>
        <w:br/>
      </w:r>
      <w:r>
        <w:rPr>
          <w:rStyle w:val="VerbatimChar"/>
        </w:rPr>
        <w:t xml:space="preserve">  B --&gt; C[Import clearance + warehousing]</w:t>
      </w:r>
      <w:r>
        <w:br/>
      </w:r>
      <w:r>
        <w:rPr>
          <w:rStyle w:val="VerbatimChar"/>
        </w:rPr>
        <w:t xml:space="preserve">  C --&gt; D[Consigned inventory at 3PL/roaster]</w:t>
      </w:r>
      <w:r>
        <w:br/>
      </w:r>
      <w:r>
        <w:rPr>
          <w:rStyle w:val="VerbatimChar"/>
        </w:rPr>
        <w:t xml:space="preserve">  E[Customer/B2B buyer] --&gt; F[Order on platform]</w:t>
      </w:r>
      <w:r>
        <w:br/>
      </w:r>
      <w:r>
        <w:rPr>
          <w:rStyle w:val="VerbatimChar"/>
        </w:rPr>
        <w:t xml:space="preserve">  F --&gt; D</w:t>
      </w:r>
      <w:r>
        <w:br/>
      </w:r>
      <w:r>
        <w:rPr>
          <w:rStyle w:val="VerbatimChar"/>
        </w:rPr>
        <w:t xml:space="preserve">  D --&gt; G[Pick/pack/ship in-market]</w:t>
      </w:r>
      <w:r>
        <w:br/>
      </w:r>
      <w:r>
        <w:rPr>
          <w:rStyle w:val="VerbatimChar"/>
        </w:rPr>
        <w:t xml:space="preserve">  G --&gt; H[Delivery + support]</w:t>
      </w:r>
      <w:r>
        <w:br/>
      </w:r>
      <w:r>
        <w:rPr>
          <w:rStyle w:val="VerbatimChar"/>
        </w:rPr>
        <w:t xml:space="preserve">  F --&gt; I[Platform collects payment]</w:t>
      </w:r>
      <w:r>
        <w:br/>
      </w:r>
      <w:r>
        <w:rPr>
          <w:rStyle w:val="VerbatimChar"/>
        </w:rPr>
        <w:t xml:space="preserve">  I --&gt; J[Periodic settlement to supplier for units sold]</w:t>
      </w:r>
      <w:r>
        <w:br/>
      </w:r>
      <w:r>
        <w:rPr>
          <w:rStyle w:val="VerbatimChar"/>
        </w:rPr>
        <w:t xml:space="preserve">  H --&gt; K[Returns/QC triage + lot quarantine]</w:t>
      </w:r>
    </w:p>
    <w:bookmarkEnd w:id="35"/>
    <w:bookmarkEnd w:id="36"/>
    <w:bookmarkStart w:id="49" w:name="X9980396d2ad9c65a1b1357cf416761b353fe855"/>
    <w:p>
      <w:pPr>
        <w:pStyle w:val="Heading2"/>
      </w:pPr>
      <w:r>
        <w:t xml:space="preserve">Compliance and import constraints for US and EU</w:t>
      </w:r>
    </w:p>
    <w:p>
      <w:pPr>
        <w:pStyle w:val="FirstParagraph"/>
      </w:pPr>
      <w:r>
        <w:t xml:space="preserve">This section focuses on</w:t>
      </w:r>
      <w:r>
        <w:t xml:space="preserve"> </w:t>
      </w:r>
      <w:r>
        <w:rPr>
          <w:b/>
          <w:bCs/>
        </w:rPr>
        <w:t xml:space="preserve">structural constraints</w:t>
      </w:r>
      <w:r>
        <w:t xml:space="preserve"> </w:t>
      </w:r>
      <w:r>
        <w:t xml:space="preserve">that determine whether your model remains “platform-first and capital-light” or becomes “importer/food business operator with heavy compliance overhead.”</w:t>
      </w:r>
    </w:p>
    <w:bookmarkStart w:id="38" w:name="X3c29ebe0bf8b0ef7b2bd4dee57f5a9cc2a6977b"/>
    <w:p>
      <w:pPr>
        <w:pStyle w:val="Heading3"/>
      </w:pPr>
      <w:r>
        <w:t xml:space="preserve">United States: Prior Notice and FSVP boundary conditions</w:t>
      </w:r>
    </w:p>
    <w:p>
      <w:pPr>
        <w:pStyle w:val="FirstParagraph"/>
      </w:pPr>
      <w:r>
        <w:rPr>
          <w:b/>
          <w:bCs/>
        </w:rPr>
        <w:t xml:space="preserve">Prior Notice</w:t>
      </w:r>
      <w:r>
        <w:br/>
      </w:r>
      <w:r>
        <w:t xml:space="preserve">FDA states prior notice must be provided for</w:t>
      </w:r>
      <w:r>
        <w:t xml:space="preserve"> </w:t>
      </w:r>
      <w:r>
        <w:rPr>
          <w:b/>
          <w:bCs/>
        </w:rPr>
        <w:t xml:space="preserve">all food for humans and animals that is imported or offered for import into the U.S.</w:t>
      </w:r>
      <w:r>
        <w:t xml:space="preserve">, and cites 21 CFR Part 1, Subpart I as the regulatory basis.</w:t>
      </w:r>
      <w:r>
        <w:t xml:space="preserve"> </w:t>
      </w:r>
      <w:hyperlink r:id="rId23">
        <w:r>
          <w:rPr>
            <w:rStyle w:val="Hyperlink"/>
          </w:rPr>
          <w:t xml:space="preserve">[20]</w:t>
        </w:r>
      </w:hyperlink>
      <w:r>
        <w:br/>
      </w:r>
      <w:r>
        <w:t xml:space="preserve">Operational consequence: a parcel-level dropship model creates many discrete prior-notice events; a bulk import model creates fewer, more manageable filings.</w:t>
      </w:r>
      <w:r>
        <w:t xml:space="preserve"> </w:t>
      </w:r>
      <w:hyperlink r:id="rId23">
        <w:r>
          <w:rPr>
            <w:rStyle w:val="Hyperlink"/>
          </w:rPr>
          <w:t xml:space="preserve">[21]</w:t>
        </w:r>
      </w:hyperlink>
    </w:p>
    <w:p>
      <w:pPr>
        <w:pStyle w:val="BodyText"/>
      </w:pPr>
      <w:r>
        <w:rPr>
          <w:b/>
          <w:bCs/>
        </w:rPr>
        <w:t xml:space="preserve">FSVP</w:t>
      </w:r>
      <w:r>
        <w:br/>
      </w:r>
      <w:r>
        <w:t xml:space="preserve">FDA guidance explains that the</w:t>
      </w:r>
      <w:r>
        <w:t xml:space="preserve"> </w:t>
      </w:r>
      <w:r>
        <w:rPr>
          <w:b/>
          <w:bCs/>
        </w:rPr>
        <w:t xml:space="preserve">FSVP importer is the U.S. owner or consignee</w:t>
      </w:r>
      <w:r>
        <w:t xml:space="preserve"> </w:t>
      </w:r>
      <w:r>
        <w:t xml:space="preserve">(owns, purchased, or agreed in writing to purchase at time of U.S. entry), or otherwise a designated U.S. agent/representative of the foreign owner/consignee.</w:t>
      </w:r>
      <w:r>
        <w:t xml:space="preserve"> </w:t>
      </w:r>
      <w:hyperlink r:id="rId21">
        <w:r>
          <w:rPr>
            <w:rStyle w:val="Hyperlink"/>
          </w:rPr>
          <w:t xml:space="preserve">[2]</w:t>
        </w:r>
      </w:hyperlink>
      <w:r>
        <w:br/>
      </w:r>
      <w:r>
        <w:t xml:space="preserve">Implication: if your marketplace becomes the “U.S. owner/consignee” (in reality, not just contract language), you may inherit FSVP program duties—including risk-based supplier verification.</w:t>
      </w:r>
      <w:r>
        <w:t xml:space="preserve"> </w:t>
      </w:r>
      <w:hyperlink r:id="rId37">
        <w:r>
          <w:rPr>
            <w:rStyle w:val="Hyperlink"/>
          </w:rPr>
          <w:t xml:space="preserve">[22]</w:t>
        </w:r>
      </w:hyperlink>
    </w:p>
    <w:bookmarkEnd w:id="38"/>
    <w:bookmarkStart w:id="44" w:name="Xb6bb754859a36a9bc2e4f14a63c638c2d66b18c"/>
    <w:p>
      <w:pPr>
        <w:pStyle w:val="Heading3"/>
      </w:pPr>
      <w:r>
        <w:t xml:space="preserve">European Union: traceability, HACCP hygiene, labeling responsibility, official controls</w:t>
      </w:r>
    </w:p>
    <w:p>
      <w:pPr>
        <w:pStyle w:val="FirstParagraph"/>
      </w:pPr>
      <w:r>
        <w:rPr>
          <w:b/>
          <w:bCs/>
        </w:rPr>
        <w:t xml:space="preserve">Traceability (Regulation 178/2002)</w:t>
      </w:r>
      <w:r>
        <w:br/>
      </w:r>
      <w:r>
        <w:t xml:space="preserve">EU food law requires traceability of food at all stages and requires operators to have systems/procedures to identify suppliers and customers (commonly described as “one step back / one step forward”).</w:t>
      </w:r>
      <w:r>
        <w:t xml:space="preserve"> </w:t>
      </w:r>
      <w:hyperlink r:id="rId39">
        <w:r>
          <w:rPr>
            <w:rStyle w:val="Hyperlink"/>
          </w:rPr>
          <w:t xml:space="preserve">[23]</w:t>
        </w:r>
      </w:hyperlink>
      <w:r>
        <w:br/>
      </w:r>
      <w:r>
        <w:t xml:space="preserve">Operational consequence: your lot ledger must map to this regulatory expectation even if you’re “just a platform,” because you will be asked for documentation by B2B buyers and regulators during incidents.</w:t>
      </w:r>
      <w:r>
        <w:t xml:space="preserve"> </w:t>
      </w:r>
      <w:hyperlink r:id="rId39">
        <w:r>
          <w:rPr>
            <w:rStyle w:val="Hyperlink"/>
          </w:rPr>
          <w:t xml:space="preserve">[24]</w:t>
        </w:r>
      </w:hyperlink>
    </w:p>
    <w:p>
      <w:pPr>
        <w:pStyle w:val="BodyText"/>
      </w:pPr>
      <w:r>
        <w:rPr>
          <w:b/>
          <w:bCs/>
        </w:rPr>
        <w:t xml:space="preserve">HACCP-based procedures (Regulation 852/2004)</w:t>
      </w:r>
      <w:r>
        <w:br/>
      </w:r>
      <w:r>
        <w:t xml:space="preserve">EU hygiene regulation requires food business operators to implement and maintain procedures based on HACCP principles.</w:t>
      </w:r>
      <w:r>
        <w:t xml:space="preserve"> </w:t>
      </w:r>
      <w:hyperlink r:id="rId40">
        <w:r>
          <w:rPr>
            <w:rStyle w:val="Hyperlink"/>
          </w:rPr>
          <w:t xml:space="preserve">[25]</w:t>
        </w:r>
      </w:hyperlink>
      <w:r>
        <w:br/>
      </w:r>
      <w:r>
        <w:t xml:space="preserve">Operational consequence: if you run or control roasting/packing (even via contractors under your name), you must have auditable food-safety procedures.</w:t>
      </w:r>
    </w:p>
    <w:p>
      <w:pPr>
        <w:pStyle w:val="BodyText"/>
      </w:pPr>
      <w:r>
        <w:rPr>
          <w:b/>
          <w:bCs/>
        </w:rPr>
        <w:t xml:space="preserve">Labeling responsibility (Regulation 1169/2011)</w:t>
      </w:r>
      <w:r>
        <w:br/>
      </w:r>
      <w:r>
        <w:t xml:space="preserve">EU law states the responsible food business operator for food information is the operator under whose name the food is marketed, or—if that operator is not established in the Union—the importer into the Union market.</w:t>
      </w:r>
      <w:r>
        <w:t xml:space="preserve"> </w:t>
      </w:r>
      <w:hyperlink r:id="rId24">
        <w:r>
          <w:rPr>
            <w:rStyle w:val="Hyperlink"/>
          </w:rPr>
          <w:t xml:space="preserve">[26]</w:t>
        </w:r>
      </w:hyperlink>
      <w:r>
        <w:br/>
      </w:r>
      <w:r>
        <w:t xml:space="preserve">Operational consequence: “dropship but it’s our brand” can still make you effectively responsible for compliance, even if the physical shipment starts in India.</w:t>
      </w:r>
    </w:p>
    <w:p>
      <w:pPr>
        <w:pStyle w:val="BodyText"/>
      </w:pPr>
      <w:r>
        <w:rPr>
          <w:b/>
          <w:bCs/>
        </w:rPr>
        <w:t xml:space="preserve">Official controls (Regulation 2017/625)</w:t>
      </w:r>
      <w:r>
        <w:br/>
      </w:r>
      <w:r>
        <w:t xml:space="preserve">The official controls regulation provides the EU framework for official controls and other official activities verifying compliance with food and feed law, including imported goods.</w:t>
      </w:r>
      <w:r>
        <w:t xml:space="preserve"> </w:t>
      </w:r>
      <w:hyperlink r:id="rId41">
        <w:r>
          <w:rPr>
            <w:rStyle w:val="Hyperlink"/>
          </w:rPr>
          <w:t xml:space="preserve">[27]</w:t>
        </w:r>
      </w:hyperlink>
      <w:r>
        <w:br/>
      </w:r>
      <w:r>
        <w:t xml:space="preserve">Operational consequence: consistency of documentation and traceability affects border outcomes and enforcement interactions.</w:t>
      </w:r>
      <w:r>
        <w:t xml:space="preserve"> </w:t>
      </w:r>
      <w:hyperlink r:id="rId42">
        <w:r>
          <w:rPr>
            <w:rStyle w:val="Hyperlink"/>
          </w:rPr>
          <w:t xml:space="preserve">[28]</w:t>
        </w:r>
      </w:hyperlink>
    </w:p>
    <w:p>
      <w:pPr>
        <w:pStyle w:val="BodyText"/>
      </w:pPr>
      <w:r>
        <w:rPr>
          <w:b/>
          <w:bCs/>
        </w:rPr>
        <w:t xml:space="preserve">Customs identity: EORI</w:t>
      </w:r>
      <w:r>
        <w:br/>
      </w:r>
      <w:r>
        <w:t xml:space="preserve">EU customs guidance states an EORI number is mandatory for customs clearance in the EU’s customs territory and is used as an identification number in customs procedures.</w:t>
      </w:r>
      <w:r>
        <w:t xml:space="preserve"> </w:t>
      </w:r>
      <w:hyperlink r:id="rId34">
        <w:r>
          <w:rPr>
            <w:rStyle w:val="Hyperlink"/>
          </w:rPr>
          <w:t xml:space="preserve">[19]</w:t>
        </w:r>
      </w:hyperlink>
      <w:r>
        <w:br/>
      </w:r>
      <w:r>
        <w:t xml:space="preserve">Operational consequence: if your company becomes EU importer-of-record (even through consignment), EORI planning becomes a gating item.</w:t>
      </w:r>
      <w:r>
        <w:t xml:space="preserve"> </w:t>
      </w:r>
      <w:hyperlink r:id="rId43">
        <w:r>
          <w:rPr>
            <w:rStyle w:val="Hyperlink"/>
          </w:rPr>
          <w:t xml:space="preserve">[29]</w:t>
        </w:r>
      </w:hyperlink>
    </w:p>
    <w:bookmarkEnd w:id="44"/>
    <w:bookmarkStart w:id="46" w:name="X661bbed3825b097db61382c476e8ffdef4db528"/>
    <w:p>
      <w:pPr>
        <w:pStyle w:val="Heading3"/>
      </w:pPr>
      <w:r>
        <w:t xml:space="preserve">EU VAT/IOSS mechanics and why they pressure cross-border dropship models</w:t>
      </w:r>
    </w:p>
    <w:p>
      <w:pPr>
        <w:pStyle w:val="FirstParagraph"/>
      </w:pPr>
      <w:r>
        <w:t xml:space="preserve">EU VAT OSS guidance explains that the Import One Stop Shop (IOSS) was created to simplify VAT declaration/payment for distance sales of low value goods not exceeding €150, and that the prior €22 VAT import exemption was removed—meaning all goods imported into the EU are subject to VAT.</w:t>
      </w:r>
      <w:r>
        <w:t xml:space="preserve"> </w:t>
      </w:r>
      <w:hyperlink r:id="rId45">
        <w:r>
          <w:rPr>
            <w:rStyle w:val="Hyperlink"/>
          </w:rPr>
          <w:t xml:space="preserve">[30]</w:t>
        </w:r>
      </w:hyperlink>
    </w:p>
    <w:p>
      <w:pPr>
        <w:pStyle w:val="BodyText"/>
      </w:pPr>
      <w:r>
        <w:t xml:space="preserve">The EU low value consignments guidance additionally states:</w:t>
      </w:r>
      <w:r>
        <w:t xml:space="preserve"> </w:t>
      </w:r>
      <w:r>
        <w:t xml:space="preserve">- a customs declaration for release for free circulation must be lodged even for consignments with an intrinsic value not exceeding €150, and</w:t>
      </w:r>
      <w:r>
        <w:br/>
      </w:r>
      <w:r>
        <w:t xml:space="preserve">- IOSS is available to sellers and marketplaces/platforms facilitating those supplies.</w:t>
      </w:r>
      <w:r>
        <w:t xml:space="preserve"> </w:t>
      </w:r>
      <w:hyperlink r:id="rId33">
        <w:r>
          <w:rPr>
            <w:rStyle w:val="Hyperlink"/>
          </w:rPr>
          <w:t xml:space="preserve">[31]</w:t>
        </w:r>
      </w:hyperlink>
    </w:p>
    <w:p>
      <w:pPr>
        <w:pStyle w:val="BodyText"/>
      </w:pPr>
      <w:r>
        <w:t xml:space="preserve">This creates platform requirements (VAT/IOSS data, customs datasets, marketplace posture) that are unusually heavy for an early-stage consumer dropship brand.</w:t>
      </w:r>
      <w:r>
        <w:t xml:space="preserve"> </w:t>
      </w:r>
      <w:hyperlink r:id="rId33">
        <w:r>
          <w:rPr>
            <w:rStyle w:val="Hyperlink"/>
          </w:rPr>
          <w:t xml:space="preserve">[31]</w:t>
        </w:r>
      </w:hyperlink>
    </w:p>
    <w:bookmarkEnd w:id="46"/>
    <w:bookmarkStart w:id="48" w:name="Xe6f4d270ec58b88533adfb6eb937427583c7309"/>
    <w:p>
      <w:pPr>
        <w:pStyle w:val="Heading3"/>
      </w:pPr>
      <w:r>
        <w:t xml:space="preserve">EUDR readiness: coffee is in scope and geolocation matters</w:t>
      </w:r>
    </w:p>
    <w:p>
      <w:pPr>
        <w:pStyle w:val="FirstParagraph"/>
      </w:pPr>
      <w:r>
        <w:t xml:space="preserve">The EU Deforestation Regulation (Regulation 2023/1115) explicitly lists coffee (HS 0901) as an in-scope commodity/product category in its annex, and it frames due diligence systems as including information demonstrating deforestation-free/legality requirements, including</w:t>
      </w:r>
      <w:r>
        <w:t xml:space="preserve"> </w:t>
      </w:r>
      <w:r>
        <w:rPr>
          <w:b/>
          <w:bCs/>
        </w:rPr>
        <w:t xml:space="preserve">geolocation coordinates of relevant plots of land</w:t>
      </w:r>
      <w:r>
        <w:t xml:space="preserve">.</w:t>
      </w:r>
      <w:r>
        <w:t xml:space="preserve"> </w:t>
      </w:r>
      <w:hyperlink r:id="rId25">
        <w:r>
          <w:rPr>
            <w:rStyle w:val="Hyperlink"/>
          </w:rPr>
          <w:t xml:space="preserve">[32]</w:t>
        </w:r>
      </w:hyperlink>
    </w:p>
    <w:p>
      <w:pPr>
        <w:pStyle w:val="BodyText"/>
      </w:pPr>
      <w:r>
        <w:t xml:space="preserve">Official EU trade guidance states that Regulation (EU) 2025/2650 postponed the main obligations timeline, with large operators needing to comply from</w:t>
      </w:r>
      <w:r>
        <w:t xml:space="preserve"> </w:t>
      </w:r>
      <w:r>
        <w:rPr>
          <w:b/>
          <w:bCs/>
        </w:rPr>
        <w:t xml:space="preserve">30 December 2026</w:t>
      </w:r>
      <w:r>
        <w:t xml:space="preserve"> </w:t>
      </w:r>
      <w:r>
        <w:t xml:space="preserve">(and later for micro/small enterprises).</w:t>
      </w:r>
      <w:r>
        <w:t xml:space="preserve"> </w:t>
      </w:r>
      <w:hyperlink r:id="rId47">
        <w:r>
          <w:rPr>
            <w:rStyle w:val="Hyperlink"/>
          </w:rPr>
          <w:t xml:space="preserve">[33]</w:t>
        </w:r>
      </w:hyperlink>
    </w:p>
    <w:p>
      <w:pPr>
        <w:pStyle w:val="BodyText"/>
      </w:pPr>
      <w:r>
        <w:t xml:space="preserve">Strategic implication: even though this is not an immediate D2C “go-live blocker,”</w:t>
      </w:r>
      <w:r>
        <w:t xml:space="preserve"> </w:t>
      </w:r>
      <w:r>
        <w:rPr>
          <w:b/>
          <w:bCs/>
        </w:rPr>
        <w:t xml:space="preserve">investors and serious EU buyers increasingly treat EUDR-readiness as a diligence item</w:t>
      </w:r>
      <w:r>
        <w:t xml:space="preserve">, and it strongly favors a platform thesis built on traceability/lot data rather than “we ship bags from India.”</w:t>
      </w:r>
      <w:r>
        <w:t xml:space="preserve"> </w:t>
      </w:r>
      <w:hyperlink r:id="rId47">
        <w:r>
          <w:rPr>
            <w:rStyle w:val="Hyperlink"/>
          </w:rPr>
          <w:t xml:space="preserve">[34]</w:t>
        </w:r>
      </w:hyperlink>
    </w:p>
    <w:bookmarkEnd w:id="48"/>
    <w:bookmarkEnd w:id="49"/>
    <w:bookmarkStart w:id="53" w:name="quality-control-and-returns-handling"/>
    <w:p>
      <w:pPr>
        <w:pStyle w:val="Heading2"/>
      </w:pPr>
      <w:r>
        <w:t xml:space="preserve">Quality control and returns handling</w:t>
      </w:r>
    </w:p>
    <w:bookmarkStart w:id="50" w:name="X3e31c7e0a4feed71077804320e753ce88839dfb"/>
    <w:p>
      <w:pPr>
        <w:pStyle w:val="Heading3"/>
      </w:pPr>
      <w:r>
        <w:t xml:space="preserve">Quality control needs that differ by model</w:t>
      </w:r>
    </w:p>
    <w:p>
      <w:pPr>
        <w:pStyle w:val="FirstParagraph"/>
      </w:pPr>
      <w:r>
        <w:t xml:space="preserve">Coffee Board material on green coffee quality specifications highlights that Indian Arabica and Robusta are often framed through washed/unwashed processing categories and that quality evaluation includes moisture standards and grading/garbling standards tied to bean size and percentage imperfections.</w:t>
      </w:r>
      <w:r>
        <w:t xml:space="preserve"> </w:t>
      </w:r>
      <w:hyperlink r:id="rId27">
        <w:r>
          <w:rPr>
            <w:rStyle w:val="Hyperlink"/>
          </w:rPr>
          <w:t xml:space="preserve">[12]</w:t>
        </w:r>
      </w:hyperlink>
      <w:r>
        <w:br/>
      </w:r>
      <w:r>
        <w:t xml:space="preserve">It also shows moisture standards vary by type/specialty (e.g., monsooned coffees are higher moisture than standard plantations), which directly affects storage and mold risk control.</w:t>
      </w:r>
      <w:r>
        <w:t xml:space="preserve"> </w:t>
      </w:r>
      <w:hyperlink r:id="rId27">
        <w:r>
          <w:rPr>
            <w:rStyle w:val="Hyperlink"/>
          </w:rPr>
          <w:t xml:space="preserve">[35]</w:t>
        </w:r>
      </w:hyperlink>
    </w:p>
    <w:p>
      <w:pPr>
        <w:pStyle w:val="BodyText"/>
      </w:pPr>
      <w:r>
        <w:rPr>
          <w:b/>
          <w:bCs/>
        </w:rPr>
        <w:t xml:space="preserve">Model implications:</w:t>
      </w:r>
      <w:r>
        <w:t xml:space="preserve"> </w:t>
      </w:r>
      <w:r>
        <w:t xml:space="preserve">- Charge-on-order marketplace: you should not promise consumer-grade QC guarantees unless you fund third-party inspection or operate a receiving/QA hub; otherwise, you position QC as “documented + buyer-verifiable.”</w:t>
      </w:r>
      <w:r>
        <w:t xml:space="preserve"> </w:t>
      </w:r>
      <w:hyperlink r:id="rId27">
        <w:r>
          <w:rPr>
            <w:rStyle w:val="Hyperlink"/>
          </w:rPr>
          <w:t xml:space="preserve">[36]</w:t>
        </w:r>
      </w:hyperlink>
      <w:r>
        <w:br/>
      </w:r>
      <w:r>
        <w:t xml:space="preserve">- Dropship: you have the least physical QC control and the highest refund risk; you still need lot-level metadata to triage quality complaints.</w:t>
      </w:r>
      <w:r>
        <w:t xml:space="preserve"> </w:t>
      </w:r>
      <w:hyperlink r:id="rId24">
        <w:r>
          <w:rPr>
            <w:rStyle w:val="Hyperlink"/>
          </w:rPr>
          <w:t xml:space="preserve">[37]</w:t>
        </w:r>
      </w:hyperlink>
      <w:r>
        <w:br/>
      </w:r>
      <w:r>
        <w:t xml:space="preserve">- Consignment/in-market: best QC posture because you can run hold/release, lot quarantine, standardized sampling, and consistent packaging checks aligned to moisture/defect expectations.</w:t>
      </w:r>
      <w:r>
        <w:t xml:space="preserve"> </w:t>
      </w:r>
      <w:hyperlink r:id="rId27">
        <w:r>
          <w:rPr>
            <w:rStyle w:val="Hyperlink"/>
          </w:rPr>
          <w:t xml:space="preserve">[12]</w:t>
        </w:r>
      </w:hyperlink>
    </w:p>
    <w:bookmarkEnd w:id="50"/>
    <w:bookmarkStart w:id="52" w:name="returns-withdrawals-and-recalls"/>
    <w:p>
      <w:pPr>
        <w:pStyle w:val="Heading3"/>
      </w:pPr>
      <w:r>
        <w:t xml:space="preserve">Returns, withdrawals, and recalls</w:t>
      </w:r>
    </w:p>
    <w:p>
      <w:pPr>
        <w:pStyle w:val="FirstParagraph"/>
      </w:pPr>
      <w:r>
        <w:t xml:space="preserve">EU food law requires food business operators to initiate withdrawal procedures when food is not compliant with food safety requirements, and if food has reached consumers, to inform consumers and, where needed, recall.</w:t>
      </w:r>
      <w:r>
        <w:t xml:space="preserve"> </w:t>
      </w:r>
      <w:hyperlink r:id="rId51">
        <w:r>
          <w:rPr>
            <w:rStyle w:val="Hyperlink"/>
          </w:rPr>
          <w:t xml:space="preserve">[38]</w:t>
        </w:r>
      </w:hyperlink>
      <w:r>
        <w:br/>
      </w:r>
      <w:r>
        <w:t xml:space="preserve">This makes a</w:t>
      </w:r>
      <w:r>
        <w:t xml:space="preserve"> </w:t>
      </w:r>
      <w:r>
        <w:rPr>
          <w:b/>
          <w:bCs/>
        </w:rPr>
        <w:t xml:space="preserve">lot-level ledger</w:t>
      </w:r>
      <w:r>
        <w:t xml:space="preserve"> </w:t>
      </w:r>
      <w:r>
        <w:t xml:space="preserve">and</w:t>
      </w:r>
      <w:r>
        <w:t xml:space="preserve"> </w:t>
      </w:r>
      <w:r>
        <w:rPr>
          <w:b/>
          <w:bCs/>
        </w:rPr>
        <w:t xml:space="preserve">rapid customer reachability</w:t>
      </w:r>
      <w:r>
        <w:t xml:space="preserve"> </w:t>
      </w:r>
      <w:r>
        <w:t xml:space="preserve">practical necessities for any model where you market under your name in the EU.</w:t>
      </w:r>
      <w:r>
        <w:t xml:space="preserve"> </w:t>
      </w:r>
      <w:hyperlink r:id="rId24">
        <w:r>
          <w:rPr>
            <w:rStyle w:val="Hyperlink"/>
          </w:rPr>
          <w:t xml:space="preserve">[39]</w:t>
        </w:r>
      </w:hyperlink>
    </w:p>
    <w:p>
      <w:pPr>
        <w:pStyle w:val="BodyText"/>
      </w:pPr>
      <w:r>
        <w:t xml:space="preserve">The EU low-value-consignments guidance discusses handling situations where goods cannot be delivered or are refused, and it references mechanisms where VAT becomes due only if collected from the consignee in “special arrangements,” which is directly relevant to the operational messiness of returns/refusals for dropship parcels.</w:t>
      </w:r>
      <w:r>
        <w:t xml:space="preserve"> </w:t>
      </w:r>
      <w:hyperlink r:id="rId33">
        <w:r>
          <w:rPr>
            <w:rStyle w:val="Hyperlink"/>
          </w:rPr>
          <w:t xml:space="preserve">[31]</w:t>
        </w:r>
      </w:hyperlink>
    </w:p>
    <w:p>
      <w:pPr>
        <w:pStyle w:val="BodyText"/>
      </w:pPr>
      <w:r>
        <w:t xml:space="preserve">Recommended operational control (applies to all models; policy-level suggestion): implement a “lot incident” workflow that ties customer complaints and returns/refunds back to lot IDs and supplier shipments so you can quarantine, notify, and document actions.</w:t>
      </w:r>
    </w:p>
    <w:bookmarkEnd w:id="52"/>
    <w:bookmarkEnd w:id="53"/>
    <w:bookmarkStart w:id="58" w:name="X8216553b8f0f4e5d951e4906a2e414e06c7a4ed"/>
    <w:p>
      <w:pPr>
        <w:pStyle w:val="Heading2"/>
      </w:pPr>
      <w:r>
        <w:t xml:space="preserve">Platform and app requirements to support charge-on-order and dropship</w:t>
      </w:r>
    </w:p>
    <w:bookmarkStart w:id="54" w:name="Xb0f29d9cc5a9e0d745061b9795d1dcd169b905b"/>
    <w:p>
      <w:pPr>
        <w:pStyle w:val="Heading3"/>
      </w:pPr>
      <w:r>
        <w:t xml:space="preserve">Core product requirements driven by the Coffee Board exporter system</w:t>
      </w:r>
    </w:p>
    <w:p>
      <w:pPr>
        <w:pStyle w:val="FirstParagraph"/>
      </w:pPr>
      <w:r>
        <w:t xml:space="preserve">The Coffee Board exporter requirements imply strong “document objects” in your platform:</w:t>
      </w:r>
      <w:r>
        <w:t xml:space="preserve"> </w:t>
      </w:r>
      <w:r>
        <w:t xml:space="preserve">- exporters register and receive</w:t>
      </w:r>
      <w:r>
        <w:t xml:space="preserve"> </w:t>
      </w:r>
      <w:r>
        <w:rPr>
          <w:b/>
          <w:bCs/>
        </w:rPr>
        <w:t xml:space="preserve">RCMC</w:t>
      </w:r>
      <w:r>
        <w:t xml:space="preserve"> </w:t>
      </w:r>
      <w:r>
        <w:t xml:space="preserve">(validity noted as 3 years on the Coffee Board exporter page),</w:t>
      </w:r>
      <w:r>
        <w:t xml:space="preserve"> </w:t>
      </w:r>
      <w:hyperlink r:id="rId22">
        <w:r>
          <w:rPr>
            <w:rStyle w:val="Hyperlink"/>
          </w:rPr>
          <w:t xml:space="preserve">[40]</w:t>
        </w:r>
      </w:hyperlink>
      <w:r>
        <w:br/>
      </w:r>
      <w:r>
        <w:t xml:space="preserve">- exporters obtain export permits (Form-C) and ICO Certificates of Origin via portal workflows, and the Coffee Board has deployed downloadable digitally signed permits/Certificates of Origin through the e-permit portal,</w:t>
      </w:r>
      <w:r>
        <w:t xml:space="preserve"> </w:t>
      </w:r>
      <w:hyperlink r:id="rId22">
        <w:r>
          <w:rPr>
            <w:rStyle w:val="Hyperlink"/>
          </w:rPr>
          <w:t xml:space="preserve">[3]</w:t>
        </w:r>
      </w:hyperlink>
      <w:r>
        <w:br/>
      </w:r>
      <w:r>
        <w:t xml:space="preserve">- exporters submit post-shipment documents (including export permits, bill of lading, endorsed certificates of origin, and FOB values) within a stated timeframe.</w:t>
      </w:r>
      <w:r>
        <w:t xml:space="preserve"> </w:t>
      </w:r>
      <w:hyperlink r:id="rId22">
        <w:r>
          <w:rPr>
            <w:rStyle w:val="Hyperlink"/>
          </w:rPr>
          <w:t xml:space="preserve">[40]</w:t>
        </w:r>
      </w:hyperlink>
    </w:p>
    <w:p>
      <w:pPr>
        <w:pStyle w:val="BodyText"/>
      </w:pPr>
      <w:r>
        <w:t xml:space="preserve">Therefore, your supplier portal must natively support:</w:t>
      </w:r>
      <w:r>
        <w:t xml:space="preserve"> </w:t>
      </w:r>
      <w:r>
        <w:t xml:space="preserve">- structured lot listing by Coffee Board type/grade/specialty category,</w:t>
      </w:r>
      <w:r>
        <w:t xml:space="preserve"> </w:t>
      </w:r>
      <w:hyperlink r:id="rId22">
        <w:r>
          <w:rPr>
            <w:rStyle w:val="Hyperlink"/>
          </w:rPr>
          <w:t xml:space="preserve">[40]</w:t>
        </w:r>
      </w:hyperlink>
      <w:r>
        <w:br/>
      </w:r>
      <w:r>
        <w:t xml:space="preserve">- document upload + validation states (draft → verified → buyer-shared),</w:t>
      </w:r>
      <w:r>
        <w:br/>
      </w:r>
      <w:r>
        <w:t xml:space="preserve">- post-shipment documentation capture,</w:t>
      </w:r>
      <w:r>
        <w:br/>
      </w:r>
      <w:r>
        <w:t xml:space="preserve">- immutable lot IDs and batch splits.</w:t>
      </w:r>
    </w:p>
    <w:bookmarkEnd w:id="54"/>
    <w:bookmarkStart w:id="56" w:name="model-specific-functional-requirements"/>
    <w:p>
      <w:pPr>
        <w:pStyle w:val="Heading3"/>
      </w:pPr>
      <w:r>
        <w:t xml:space="preserve">Model-specific functional requirements</w:t>
      </w:r>
    </w:p>
    <w:p>
      <w:pPr>
        <w:pStyle w:val="FirstParagraph"/>
      </w:pPr>
      <w:r>
        <w:rPr>
          <w:b/>
          <w:bCs/>
        </w:rPr>
        <w:t xml:space="preserve">Charge-on-order marketplace (commission by category)</w:t>
      </w:r>
      <w:r>
        <w:t xml:space="preserve"> </w:t>
      </w:r>
      <w:r>
        <w:t xml:space="preserve">- Category engine aligned to Coffee Board types/grades/specialty.</w:t>
      </w:r>
      <w:r>
        <w:t xml:space="preserve"> </w:t>
      </w:r>
      <w:hyperlink r:id="rId22">
        <w:r>
          <w:rPr>
            <w:rStyle w:val="Hyperlink"/>
          </w:rPr>
          <w:t xml:space="preserve">[40]</w:t>
        </w:r>
      </w:hyperlink>
      <w:r>
        <w:br/>
      </w:r>
      <w:r>
        <w:t xml:space="preserve">- Order routing that supports Incoterms selection and risk transfer clarity; Incoterms rules are defined and published by the International Chamber of Commerce</w:t>
      </w:r>
      <w:hyperlink r:id="rId45">
        <w:r>
          <w:rPr>
            <w:rStyle w:val="Hyperlink"/>
          </w:rPr>
          <w:t xml:space="preserve">[41]</w:t>
        </w:r>
      </w:hyperlink>
      <w:r>
        <w:t xml:space="preserve"> </w:t>
      </w:r>
      <w:r>
        <w:t xml:space="preserve">and are used to allocate delivery point/risk/cost responsibilities.</w:t>
      </w:r>
      <w:r>
        <w:t xml:space="preserve"> </w:t>
      </w:r>
      <w:hyperlink r:id="rId55">
        <w:r>
          <w:rPr>
            <w:rStyle w:val="Hyperlink"/>
          </w:rPr>
          <w:t xml:space="preserve">[42]</w:t>
        </w:r>
      </w:hyperlink>
      <w:r>
        <w:br/>
      </w:r>
      <w:r>
        <w:t xml:space="preserve">- Payout system: commission calculation; escrow/reserve for disputes; milestone-based release.</w:t>
      </w:r>
    </w:p>
    <w:p>
      <w:pPr>
        <w:pStyle w:val="BodyText"/>
      </w:pPr>
      <w:r>
        <w:rPr>
          <w:b/>
          <w:bCs/>
        </w:rPr>
        <w:t xml:space="preserve">Dropship</w:t>
      </w:r>
      <w:r>
        <w:t xml:space="preserve"> </w:t>
      </w:r>
      <w:r>
        <w:t xml:space="preserve">- VAT/IOSS-aware checkout logic for EU (when applicable) and customs dataset readiness (H7 dataset / low value consignment declarations) as described in EU guidance.</w:t>
      </w:r>
      <w:r>
        <w:t xml:space="preserve"> </w:t>
      </w:r>
      <w:hyperlink r:id="rId33">
        <w:r>
          <w:rPr>
            <w:rStyle w:val="Hyperlink"/>
          </w:rPr>
          <w:t xml:space="preserve">[43]</w:t>
        </w:r>
      </w:hyperlink>
      <w:r>
        <w:br/>
      </w:r>
      <w:r>
        <w:t xml:space="preserve">- Order-to-carrier integrations with customs docs; refusal/return workflows integrated with payment disputes.</w:t>
      </w:r>
    </w:p>
    <w:p>
      <w:pPr>
        <w:pStyle w:val="BodyText"/>
      </w:pPr>
      <w:r>
        <w:rPr>
          <w:b/>
          <w:bCs/>
        </w:rPr>
        <w:t xml:space="preserve">Consignment</w:t>
      </w:r>
      <w:r>
        <w:t xml:space="preserve"> </w:t>
      </w:r>
      <w:r>
        <w:t xml:space="preserve">- Inventory ledger (3PL WMS integration) with lot/batch traceability.</w:t>
      </w:r>
      <w:r>
        <w:br/>
      </w:r>
      <w:r>
        <w:t xml:space="preserve">- Settlement engine for “sell-through-based payouts.”</w:t>
      </w:r>
    </w:p>
    <w:bookmarkEnd w:id="56"/>
    <w:bookmarkStart w:id="57" w:name="product-architecture-diagram"/>
    <w:p>
      <w:pPr>
        <w:pStyle w:val="Heading3"/>
      </w:pPr>
      <w:r>
        <w:t xml:space="preserve">Product architecture diagram</w:t>
      </w:r>
    </w:p>
    <w:p>
      <w:pPr>
        <w:pStyle w:val="FirstParagraph"/>
      </w:pPr>
      <w:r>
        <w:t xml:space="preserve">The platform architecture below is designed to support all three; you activate different modules per model.</w:t>
      </w:r>
    </w:p>
    <w:p>
      <w:pPr>
        <w:pStyle w:val="SourceCode"/>
      </w:pPr>
      <w:r>
        <w:rPr>
          <w:rStyle w:val="VerbatimChar"/>
        </w:rPr>
        <w:t xml:space="preserve">flowchart TB</w:t>
      </w:r>
      <w:r>
        <w:br/>
      </w:r>
      <w:r>
        <w:rPr>
          <w:rStyle w:val="VerbatimChar"/>
        </w:rPr>
        <w:t xml:space="preserve">  subgraph Experience</w:t>
      </w:r>
      <w:r>
        <w:br/>
      </w:r>
      <w:r>
        <w:rPr>
          <w:rStyle w:val="VerbatimChar"/>
        </w:rPr>
        <w:t xml:space="preserve">    A[D2C storefront]</w:t>
      </w:r>
      <w:r>
        <w:br/>
      </w:r>
      <w:r>
        <w:rPr>
          <w:rStyle w:val="VerbatimChar"/>
        </w:rPr>
        <w:t xml:space="preserve">    B[B2B buyer portal]</w:t>
      </w:r>
      <w:r>
        <w:br/>
      </w:r>
      <w:r>
        <w:rPr>
          <w:rStyle w:val="VerbatimChar"/>
        </w:rPr>
        <w:t xml:space="preserve">    C[Supplier portal]</w:t>
      </w:r>
      <w:r>
        <w:br/>
      </w:r>
      <w:r>
        <w:rPr>
          <w:rStyle w:val="VerbatimChar"/>
        </w:rPr>
        <w:t xml:space="preserve">    D[Lot QR provenance page]</w:t>
      </w:r>
      <w:r>
        <w:br/>
      </w:r>
      <w:r>
        <w:rPr>
          <w:rStyle w:val="VerbatimChar"/>
        </w:rPr>
        <w:t xml:space="preserve">  end</w:t>
      </w:r>
      <w:r>
        <w:br/>
      </w:r>
      <w:r>
        <w:br/>
      </w:r>
      <w:r>
        <w:rPr>
          <w:rStyle w:val="VerbatimChar"/>
        </w:rPr>
        <w:t xml:space="preserve">  subgraph Commerce_Core</w:t>
      </w:r>
      <w:r>
        <w:br/>
      </w:r>
      <w:r>
        <w:rPr>
          <w:rStyle w:val="VerbatimChar"/>
        </w:rPr>
        <w:t xml:space="preserve">    E[Catalog + category taxonomy]</w:t>
      </w:r>
      <w:r>
        <w:br/>
      </w:r>
      <w:r>
        <w:rPr>
          <w:rStyle w:val="VerbatimChar"/>
        </w:rPr>
        <w:t xml:space="preserve">    F[Order orchestration + routing]</w:t>
      </w:r>
      <w:r>
        <w:br/>
      </w:r>
      <w:r>
        <w:rPr>
          <w:rStyle w:val="VerbatimChar"/>
        </w:rPr>
        <w:t xml:space="preserve">    G[Pricing + commissions]</w:t>
      </w:r>
      <w:r>
        <w:br/>
      </w:r>
      <w:r>
        <w:rPr>
          <w:rStyle w:val="VerbatimChar"/>
        </w:rPr>
        <w:t xml:space="preserve">    H[Payments, payouts, reserves]</w:t>
      </w:r>
      <w:r>
        <w:br/>
      </w:r>
      <w:r>
        <w:rPr>
          <w:rStyle w:val="VerbatimChar"/>
        </w:rPr>
        <w:t xml:space="preserve">  end</w:t>
      </w:r>
      <w:r>
        <w:br/>
      </w:r>
      <w:r>
        <w:br/>
      </w:r>
      <w:r>
        <w:rPr>
          <w:rStyle w:val="VerbatimChar"/>
        </w:rPr>
        <w:t xml:space="preserve">  subgraph Compliance_Data</w:t>
      </w:r>
      <w:r>
        <w:br/>
      </w:r>
      <w:r>
        <w:rPr>
          <w:rStyle w:val="VerbatimChar"/>
        </w:rPr>
        <w:t xml:space="preserve">    I[Lot ledger + traceability graph]</w:t>
      </w:r>
      <w:r>
        <w:br/>
      </w:r>
      <w:r>
        <w:rPr>
          <w:rStyle w:val="VerbatimChar"/>
        </w:rPr>
        <w:t xml:space="preserve">    J[Document vault: RCMC, permits, COO, B/L]</w:t>
      </w:r>
      <w:r>
        <w:br/>
      </w:r>
      <w:r>
        <w:rPr>
          <w:rStyle w:val="VerbatimChar"/>
        </w:rPr>
        <w:t xml:space="preserve">    K[Compliance pack generator]</w:t>
      </w:r>
      <w:r>
        <w:br/>
      </w:r>
      <w:r>
        <w:rPr>
          <w:rStyle w:val="VerbatimChar"/>
        </w:rPr>
        <w:t xml:space="preserve">    L[EUDR-ready fields: HS codes + geolocation placeholders]</w:t>
      </w:r>
      <w:r>
        <w:br/>
      </w:r>
      <w:r>
        <w:rPr>
          <w:rStyle w:val="VerbatimChar"/>
        </w:rPr>
        <w:t xml:space="preserve">  end</w:t>
      </w:r>
      <w:r>
        <w:br/>
      </w:r>
      <w:r>
        <w:br/>
      </w:r>
      <w:r>
        <w:rPr>
          <w:rStyle w:val="VerbatimChar"/>
        </w:rPr>
        <w:t xml:space="preserve">  subgraph Ops_Integrations</w:t>
      </w:r>
      <w:r>
        <w:br/>
      </w:r>
      <w:r>
        <w:rPr>
          <w:rStyle w:val="VerbatimChar"/>
        </w:rPr>
        <w:t xml:space="preserve">    M[3PL/WMS]</w:t>
      </w:r>
      <w:r>
        <w:br/>
      </w:r>
      <w:r>
        <w:rPr>
          <w:rStyle w:val="VerbatimChar"/>
        </w:rPr>
        <w:t xml:space="preserve">    N[Carrier/labels]</w:t>
      </w:r>
      <w:r>
        <w:br/>
      </w:r>
      <w:r>
        <w:rPr>
          <w:rStyle w:val="VerbatimChar"/>
        </w:rPr>
        <w:t xml:space="preserve">    O[Accounting/invoicing]</w:t>
      </w:r>
      <w:r>
        <w:br/>
      </w:r>
      <w:r>
        <w:rPr>
          <w:rStyle w:val="VerbatimChar"/>
        </w:rPr>
        <w:t xml:space="preserve">  end</w:t>
      </w:r>
      <w:r>
        <w:br/>
      </w:r>
      <w:r>
        <w:br/>
      </w:r>
      <w:r>
        <w:rPr>
          <w:rStyle w:val="VerbatimChar"/>
        </w:rPr>
        <w:t xml:space="preserve">  A --&gt; E --&gt; F --&gt; H</w:t>
      </w:r>
      <w:r>
        <w:br/>
      </w:r>
      <w:r>
        <w:rPr>
          <w:rStyle w:val="VerbatimChar"/>
        </w:rPr>
        <w:t xml:space="preserve">  B --&gt; E --&gt; F --&gt; H</w:t>
      </w:r>
      <w:r>
        <w:br/>
      </w:r>
      <w:r>
        <w:rPr>
          <w:rStyle w:val="VerbatimChar"/>
        </w:rPr>
        <w:t xml:space="preserve">  C --&gt; I</w:t>
      </w:r>
      <w:r>
        <w:br/>
      </w:r>
      <w:r>
        <w:rPr>
          <w:rStyle w:val="VerbatimChar"/>
        </w:rPr>
        <w:t xml:space="preserve">  C --&gt; J</w:t>
      </w:r>
      <w:r>
        <w:br/>
      </w:r>
      <w:r>
        <w:rPr>
          <w:rStyle w:val="VerbatimChar"/>
        </w:rPr>
        <w:t xml:space="preserve">  I --&gt; D</w:t>
      </w:r>
      <w:r>
        <w:br/>
      </w:r>
      <w:r>
        <w:rPr>
          <w:rStyle w:val="VerbatimChar"/>
        </w:rPr>
        <w:t xml:space="preserve">  J --&gt; D</w:t>
      </w:r>
      <w:r>
        <w:br/>
      </w:r>
      <w:r>
        <w:br/>
      </w:r>
      <w:r>
        <w:rPr>
          <w:rStyle w:val="VerbatimChar"/>
        </w:rPr>
        <w:t xml:space="preserve">  F --&gt; K</w:t>
      </w:r>
      <w:r>
        <w:br/>
      </w:r>
      <w:r>
        <w:rPr>
          <w:rStyle w:val="VerbatimChar"/>
        </w:rPr>
        <w:t xml:space="preserve">  I --&gt; K</w:t>
      </w:r>
      <w:r>
        <w:br/>
      </w:r>
      <w:r>
        <w:rPr>
          <w:rStyle w:val="VerbatimChar"/>
        </w:rPr>
        <w:t xml:space="preserve">  K --&gt; B</w:t>
      </w:r>
      <w:r>
        <w:br/>
      </w:r>
      <w:r>
        <w:br/>
      </w:r>
      <w:r>
        <w:rPr>
          <w:rStyle w:val="VerbatimChar"/>
        </w:rPr>
        <w:t xml:space="preserve">  I --&gt; L</w:t>
      </w:r>
      <w:r>
        <w:br/>
      </w:r>
      <w:r>
        <w:rPr>
          <w:rStyle w:val="VerbatimChar"/>
        </w:rPr>
        <w:t xml:space="preserve">  L --&gt; B</w:t>
      </w:r>
      <w:r>
        <w:br/>
      </w:r>
      <w:r>
        <w:br/>
      </w:r>
      <w:r>
        <w:rPr>
          <w:rStyle w:val="VerbatimChar"/>
        </w:rPr>
        <w:t xml:space="preserve">  F --&gt; M --&gt; N</w:t>
      </w:r>
      <w:r>
        <w:br/>
      </w:r>
      <w:r>
        <w:rPr>
          <w:rStyle w:val="VerbatimChar"/>
        </w:rPr>
        <w:t xml:space="preserve">  H --&gt; O</w:t>
      </w:r>
    </w:p>
    <w:bookmarkEnd w:id="57"/>
    <w:bookmarkEnd w:id="58"/>
    <w:bookmarkStart w:id="63" w:name="X1a8071e062d8f06a8d07d35a8ced8104322ca4e"/>
    <w:p>
      <w:pPr>
        <w:pStyle w:val="Heading2"/>
      </w:pPr>
      <w:r>
        <w:t xml:space="preserve">Unit economics, cashflow implications, and capital needs</w:t>
      </w:r>
    </w:p>
    <w:bookmarkStart w:id="59" w:name="unit-economics-and-cashflow-by-model"/>
    <w:p>
      <w:pPr>
        <w:pStyle w:val="Heading3"/>
      </w:pPr>
      <w:r>
        <w:t xml:space="preserve">Unit economics and cashflow by model</w:t>
      </w:r>
    </w:p>
    <w:p>
      <w:pPr>
        <w:pStyle w:val="FirstParagraph"/>
      </w:pPr>
      <w:r>
        <w:t xml:space="preserve">The key economic variable is “who prepays what” and “how often do you trigger border + compliance costs.”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Revenue mechanism</w:t>
            </w:r>
          </w:p>
        </w:tc>
        <w:tc>
          <w:tcPr/>
          <w:p>
            <w:pPr>
              <w:pStyle w:val="Compact"/>
            </w:pPr>
            <w:r>
              <w:t xml:space="preserve">Typical cash posture</w:t>
            </w:r>
          </w:p>
        </w:tc>
        <w:tc>
          <w:tcPr/>
          <w:p>
            <w:pPr>
              <w:pStyle w:val="Compact"/>
            </w:pPr>
            <w:r>
              <w:t xml:space="preserve">Biggest hidden cost drivers</w:t>
            </w:r>
          </w:p>
        </w:tc>
        <w:tc>
          <w:tcPr/>
          <w:p>
            <w:pPr>
              <w:pStyle w:val="Compact"/>
            </w:pPr>
            <w:r>
              <w:t xml:space="preserve">Notes tied to primary sources</w:t>
            </w:r>
          </w:p>
        </w:tc>
      </w:tr>
      <w:tr>
        <w:tc>
          <w:tcPr/>
          <w:p>
            <w:pPr>
              <w:pStyle w:val="Compact"/>
            </w:pPr>
            <w:r>
              <w:t xml:space="preserve">Charge-on-order marketplace</w:t>
            </w:r>
          </w:p>
        </w:tc>
        <w:tc>
          <w:tcPr/>
          <w:p>
            <w:pPr>
              <w:pStyle w:val="Compact"/>
            </w:pPr>
            <w:r>
              <w:t xml:space="preserve">Commission by category on executed orders</w:t>
            </w:r>
          </w:p>
        </w:tc>
        <w:tc>
          <w:tcPr/>
          <w:p>
            <w:pPr>
              <w:pStyle w:val="Compact"/>
            </w:pPr>
            <w:r>
              <w:t xml:space="preserve">Often favorable (collect then remit) if you avoid net terms</w:t>
            </w:r>
          </w:p>
        </w:tc>
        <w:tc>
          <w:tcPr/>
          <w:p>
            <w:pPr>
              <w:pStyle w:val="Compact"/>
            </w:pPr>
            <w:r>
              <w:t xml:space="preserve">Buyer acquisition (B2B), compliance support burden, dispute reserves</w:t>
            </w:r>
          </w:p>
        </w:tc>
        <w:tc>
          <w:tcPr/>
          <w:p>
            <w:pPr>
              <w:pStyle w:val="Compact"/>
            </w:pPr>
            <w:r>
              <w:t xml:space="preserve">Keeping the buyer as importer reduces your direct FSVP exposure per FDA importer definition.</w:t>
            </w:r>
            <w:r>
              <w:t xml:space="preserve"> </w:t>
            </w:r>
            <w:hyperlink r:id="rId21">
              <w:r>
                <w:rPr>
                  <w:rStyle w:val="Hyperlink"/>
                </w:rPr>
                <w:t xml:space="preserve">[44]</w:t>
              </w:r>
            </w:hyperlink>
          </w:p>
        </w:tc>
      </w:tr>
      <w:tr>
        <w:tc>
          <w:tcPr/>
          <w:p>
            <w:pPr>
              <w:pStyle w:val="Compact"/>
            </w:pPr>
            <w:r>
              <w:t xml:space="preserve">Dropship</w:t>
            </w:r>
          </w:p>
        </w:tc>
        <w:tc>
          <w:tcPr/>
          <w:p>
            <w:pPr>
              <w:pStyle w:val="Compact"/>
            </w:pPr>
            <w:r>
              <w:t xml:space="preserve">Product margin (and possibly shipping margin)</w:t>
            </w:r>
          </w:p>
        </w:tc>
        <w:tc>
          <w:tcPr/>
          <w:p>
            <w:pPr>
              <w:pStyle w:val="Compact"/>
            </w:pPr>
            <w:r>
              <w:t xml:space="preserve">Often volatile; refunds/refusals are expensive</w:t>
            </w:r>
          </w:p>
        </w:tc>
        <w:tc>
          <w:tcPr/>
          <w:p>
            <w:pPr>
              <w:pStyle w:val="Compact"/>
            </w:pPr>
            <w:r>
              <w:t xml:space="preserve">EU VAT/customs processes; per-parcel overhead; growing duty exposure as €150 exemption removed</w:t>
            </w:r>
          </w:p>
        </w:tc>
        <w:tc>
          <w:tcPr/>
          <w:p>
            <w:pPr>
              <w:pStyle w:val="Compact"/>
            </w:pPr>
            <w:r>
              <w:t xml:space="preserve">EU guidance: customs declarations needed even ≤€150; IOSS scope; EU committed to removing €150 duty exemption as of 2026.</w:t>
            </w:r>
            <w:r>
              <w:t xml:space="preserve"> </w:t>
            </w:r>
            <w:hyperlink r:id="rId33">
              <w:r>
                <w:rPr>
                  <w:rStyle w:val="Hyperlink"/>
                </w:rPr>
                <w:t xml:space="preserve">[45]</w:t>
              </w:r>
            </w:hyperlink>
          </w:p>
        </w:tc>
      </w:tr>
      <w:tr>
        <w:tc>
          <w:tcPr/>
          <w:p>
            <w:pPr>
              <w:pStyle w:val="Compact"/>
            </w:pPr>
            <w:r>
              <w:t xml:space="preserve">Consignment</w:t>
            </w:r>
          </w:p>
        </w:tc>
        <w:tc>
          <w:tcPr/>
          <w:p>
            <w:pPr>
              <w:pStyle w:val="Compact"/>
            </w:pPr>
            <w:r>
              <w:t xml:space="preserve">Product margin; supplier paid on sell-through</w:t>
            </w:r>
          </w:p>
        </w:tc>
        <w:tc>
          <w:tcPr/>
          <w:p>
            <w:pPr>
              <w:pStyle w:val="Compact"/>
            </w:pPr>
            <w:r>
              <w:t xml:space="preserve">Moderate; freight/storage paid before sell-through</w:t>
            </w:r>
          </w:p>
        </w:tc>
        <w:tc>
          <w:tcPr/>
          <w:p>
            <w:pPr>
              <w:pStyle w:val="Compact"/>
            </w:pPr>
            <w:r>
              <w:t xml:space="preserve">3PL/storage, spoilage/aging, QC and recalls/withdrawals process</w:t>
            </w:r>
          </w:p>
        </w:tc>
        <w:tc>
          <w:tcPr/>
          <w:p>
            <w:pPr>
              <w:pStyle w:val="Compact"/>
            </w:pPr>
            <w:r>
              <w:t xml:space="preserve">EU labeling responsibility can attach to the operator under whose name food is marketed, or importer if not EU-established.</w:t>
            </w:r>
            <w:r>
              <w:t xml:space="preserve"> </w:t>
            </w:r>
            <w:hyperlink r:id="rId24">
              <w:r>
                <w:rPr>
                  <w:rStyle w:val="Hyperlink"/>
                </w:rPr>
                <w:t xml:space="preserve">[46]</w:t>
              </w:r>
            </w:hyperlink>
          </w:p>
        </w:tc>
      </w:tr>
    </w:tbl>
    <w:bookmarkEnd w:id="59"/>
    <w:bookmarkStart w:id="60" w:name="simple-cashflowtiming-chart"/>
    <w:p>
      <w:pPr>
        <w:pStyle w:val="Heading3"/>
      </w:pPr>
      <w:r>
        <w:t xml:space="preserve">Simple cashflow/timing chart</w:t>
      </w:r>
    </w:p>
    <w:p>
      <w:pPr>
        <w:pStyle w:val="FirstParagraph"/>
      </w:pPr>
      <w:r>
        <w:t xml:space="preserve">This chart is illustrative (relative scale), showing how cash timing often behaves; it is not a forecast.</w:t>
      </w:r>
    </w:p>
    <w:p>
      <w:pPr>
        <w:pStyle w:val="SourceCode"/>
      </w:pPr>
      <w:r>
        <w:rPr>
          <w:rStyle w:val="VerbatimChar"/>
        </w:rPr>
        <w:t xml:space="preserve">xychart-beta</w:t>
      </w:r>
      <w:r>
        <w:br/>
      </w:r>
      <w:r>
        <w:rPr>
          <w:rStyle w:val="VerbatimChar"/>
        </w:rPr>
        <w:t xml:space="preserve">  title "Illustrative cash timing by model (relative, not to scale)"</w:t>
      </w:r>
      <w:r>
        <w:br/>
      </w:r>
      <w:r>
        <w:rPr>
          <w:rStyle w:val="VerbatimChar"/>
        </w:rPr>
        <w:t xml:space="preserve">  x-axis ["Order day","Week 1","Week 2","Week 4","Week 8"]</w:t>
      </w:r>
      <w:r>
        <w:br/>
      </w:r>
      <w:r>
        <w:rPr>
          <w:rStyle w:val="VerbatimChar"/>
        </w:rPr>
        <w:t xml:space="preserve">  y-axis "Relative net cash" -10 --&gt; 10</w:t>
      </w:r>
      <w:r>
        <w:br/>
      </w:r>
      <w:r>
        <w:rPr>
          <w:rStyle w:val="VerbatimChar"/>
        </w:rPr>
        <w:t xml:space="preserve">  line "Charge-on-order marketplace" [4,6,6,5,5]</w:t>
      </w:r>
      <w:r>
        <w:br/>
      </w:r>
      <w:r>
        <w:rPr>
          <w:rStyle w:val="VerbatimChar"/>
        </w:rPr>
        <w:t xml:space="preserve">  line "Dropship" [2,-2,-1,1,0]</w:t>
      </w:r>
      <w:r>
        <w:br/>
      </w:r>
      <w:r>
        <w:rPr>
          <w:rStyle w:val="VerbatimChar"/>
        </w:rPr>
        <w:t xml:space="preserve">  line "Consignment" [-6,-4,-1,2,4]</w:t>
      </w:r>
    </w:p>
    <w:bookmarkEnd w:id="60"/>
    <w:bookmarkStart w:id="62" w:name="X446b3908ffc1401fdac4a1d85df3f85d56877d2"/>
    <w:p>
      <w:pPr>
        <w:pStyle w:val="Heading3"/>
      </w:pPr>
      <w:r>
        <w:t xml:space="preserve">Capital estimates in USD: lean MVP, standard launch, growth/scale</w:t>
      </w:r>
    </w:p>
    <w:p>
      <w:pPr>
        <w:pStyle w:val="FirstParagraph"/>
      </w:pPr>
      <w:r>
        <w:t xml:space="preserve">These ranges are planning estimates; they are not quotes. Compliance and tax matters require qualified counsel/accountants in each jurisdiction (assumption).</w:t>
      </w:r>
    </w:p>
    <w:p>
      <w:pPr>
        <w:pStyle w:val="BodyText"/>
      </w:pPr>
      <w:r>
        <w:rPr>
          <w:b/>
          <w:bCs/>
        </w:rPr>
        <w:t xml:space="preserve">Scenario assumptions (common):</w:t>
      </w:r>
      <w:r>
        <w:t xml:space="preserve"> </w:t>
      </w:r>
      <w:r>
        <w:t xml:space="preserve">- You build core MVP; contractors used selectively.</w:t>
      </w:r>
      <w:r>
        <w:t xml:space="preserve"> </w:t>
      </w:r>
      <w:r>
        <w:t xml:space="preserve">- Initial focus on Coffee Board–registered exporters (because export permits &amp; Certificates of Origin are part of their workflow).</w:t>
      </w:r>
      <w:r>
        <w:t xml:space="preserve"> </w:t>
      </w:r>
      <w:hyperlink r:id="rId22">
        <w:r>
          <w:rPr>
            <w:rStyle w:val="Hyperlink"/>
          </w:rPr>
          <w:t xml:space="preserve">[3]</w:t>
        </w:r>
      </w:hyperlink>
      <w:r>
        <w:br/>
      </w:r>
      <w:r>
        <w:t xml:space="preserve">- US/EU compliance scope is determined by your importer/label-responsible posture.</w:t>
      </w:r>
      <w:r>
        <w:t xml:space="preserve"> </w:t>
      </w:r>
      <w:hyperlink r:id="rId21">
        <w:r>
          <w:rPr>
            <w:rStyle w:val="Hyperlink"/>
          </w:rPr>
          <w:t xml:space="preserve">[47]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What you ship</w:t>
            </w:r>
          </w:p>
        </w:tc>
        <w:tc>
          <w:tcPr/>
          <w:p>
            <w:pPr>
              <w:pStyle w:val="Compact"/>
              <w:jc w:val="right"/>
            </w:pPr>
            <w:r>
              <w:t xml:space="preserve">Capital range (USD)</w:t>
            </w:r>
          </w:p>
        </w:tc>
        <w:tc>
          <w:tcPr/>
          <w:p>
            <w:pPr>
              <w:pStyle w:val="Compact"/>
            </w:pPr>
            <w:r>
              <w:t xml:space="preserve">Key drivers</w:t>
            </w:r>
          </w:p>
        </w:tc>
      </w:tr>
      <w:tr>
        <w:tc>
          <w:tcPr/>
          <w:p>
            <w:pPr>
              <w:pStyle w:val="Compact"/>
            </w:pPr>
            <w:r>
              <w:t xml:space="preserve">Lean MVP</w:t>
            </w:r>
          </w:p>
        </w:tc>
        <w:tc>
          <w:tcPr/>
          <w:p>
            <w:pPr>
              <w:pStyle w:val="Compact"/>
            </w:pPr>
            <w:r>
              <w:t xml:space="preserve">B2B marketplace + supplier portal + lot ledger + document vault; no inventory</w:t>
            </w:r>
          </w:p>
        </w:tc>
        <w:tc>
          <w:tcPr/>
          <w:p>
            <w:pPr>
              <w:pStyle w:val="Compact"/>
              <w:jc w:val="right"/>
            </w:pPr>
            <w:r>
              <w:t xml:space="preserve">$150k–$400k</w:t>
            </w:r>
          </w:p>
        </w:tc>
        <w:tc>
          <w:tcPr/>
          <w:p>
            <w:pPr>
              <w:pStyle w:val="Compact"/>
            </w:pPr>
            <w:r>
              <w:t xml:space="preserve">Legal contracts + basic compliance consulting; minimal sales travel; cloud/tooling; sampling/verification program; modest contractor help</w:t>
            </w:r>
            <w:r>
              <w:t xml:space="preserve"> </w:t>
            </w:r>
            <w:hyperlink r:id="rId22">
              <w:r>
                <w:rPr>
                  <w:rStyle w:val="Hyperlink"/>
                </w:rPr>
                <w:t xml:space="preserve">[48]</w:t>
              </w:r>
            </w:hyperlink>
          </w:p>
        </w:tc>
      </w:tr>
      <w:tr>
        <w:tc>
          <w:tcPr/>
          <w:p>
            <w:pPr>
              <w:pStyle w:val="Compact"/>
            </w:pPr>
            <w:r>
              <w:t xml:space="preserve">Standard launch</w:t>
            </w:r>
          </w:p>
        </w:tc>
        <w:tc>
          <w:tcPr/>
          <w:p>
            <w:pPr>
              <w:pStyle w:val="Compact"/>
            </w:pPr>
            <w:r>
              <w:t xml:space="preserve">Lean MVP + US pilot with in-market fulfillment (contract roaster/3PL), limited D2C</w:t>
            </w:r>
          </w:p>
        </w:tc>
        <w:tc>
          <w:tcPr/>
          <w:p>
            <w:pPr>
              <w:pStyle w:val="Compact"/>
              <w:jc w:val="right"/>
            </w:pPr>
            <w:r>
              <w:t xml:space="preserve">$600k–$1.3M</w:t>
            </w:r>
          </w:p>
        </w:tc>
        <w:tc>
          <w:tcPr/>
          <w:p>
            <w:pPr>
              <w:pStyle w:val="Compact"/>
            </w:pPr>
            <w:r>
              <w:t xml:space="preserve">Adds: inventory/freight prepayments, QA tooling, customer support, modest paid marketing; higher legal/compliance scope due to being closer to “importer” role</w:t>
            </w:r>
            <w:r>
              <w:t xml:space="preserve"> </w:t>
            </w:r>
            <w:hyperlink r:id="rId23">
              <w:r>
                <w:rPr>
                  <w:rStyle w:val="Hyperlink"/>
                </w:rPr>
                <w:t xml:space="preserve">[49]</w:t>
              </w:r>
            </w:hyperlink>
          </w:p>
        </w:tc>
      </w:tr>
      <w:tr>
        <w:tc>
          <w:tcPr/>
          <w:p>
            <w:pPr>
              <w:pStyle w:val="Compact"/>
            </w:pPr>
            <w:r>
              <w:t xml:space="preserve">Growth/scale</w:t>
            </w:r>
          </w:p>
        </w:tc>
        <w:tc>
          <w:tcPr/>
          <w:p>
            <w:pPr>
              <w:pStyle w:val="Compact"/>
            </w:pPr>
            <w:r>
              <w:t xml:space="preserve">US + EU footprint, stronger compliance automation and EUDR-ready data intake, larger team</w:t>
            </w:r>
          </w:p>
        </w:tc>
        <w:tc>
          <w:tcPr/>
          <w:p>
            <w:pPr>
              <w:pStyle w:val="Compact"/>
              <w:jc w:val="right"/>
            </w:pPr>
            <w:r>
              <w:t xml:space="preserve">$2.0M–$4.0M</w:t>
            </w:r>
          </w:p>
        </w:tc>
        <w:tc>
          <w:tcPr/>
          <w:p>
            <w:pPr>
              <w:pStyle w:val="Compact"/>
            </w:pPr>
            <w:r>
              <w:t xml:space="preserve">Adds: full-time sales + ops + compliance; EU customs/VAT complexity; EUDR readiness investment; bigger working-capital buffer</w:t>
            </w:r>
            <w:r>
              <w:t xml:space="preserve"> </w:t>
            </w:r>
            <w:hyperlink r:id="rId47">
              <w:r>
                <w:rPr>
                  <w:rStyle w:val="Hyperlink"/>
                </w:rPr>
                <w:t xml:space="preserve">[50]</w:t>
              </w:r>
            </w:hyperlink>
          </w:p>
        </w:tc>
      </w:tr>
    </w:tbl>
    <w:p>
      <w:pPr>
        <w:pStyle w:val="BodyText"/>
      </w:pPr>
      <w:r>
        <w:rPr>
          <w:b/>
          <w:bCs/>
        </w:rPr>
        <w:t xml:space="preserve">Key capital drivers explained</w:t>
      </w:r>
      <w:r>
        <w:t xml:space="preserve"> </w:t>
      </w:r>
      <w:r>
        <w:t xml:space="preserve">-</w:t>
      </w:r>
      <w:r>
        <w:t xml:space="preserve"> </w:t>
      </w:r>
      <w:r>
        <w:rPr>
          <w:b/>
          <w:bCs/>
        </w:rPr>
        <w:t xml:space="preserve">Importer posture</w:t>
      </w:r>
      <w:r>
        <w:t xml:space="preserve">: If you are/import as owner/consignee, FSVP and import workflow responsibilities increase.</w:t>
      </w:r>
      <w:r>
        <w:t xml:space="preserve"> </w:t>
      </w:r>
      <w:hyperlink r:id="rId21">
        <w:r>
          <w:rPr>
            <w:rStyle w:val="Hyperlink"/>
          </w:rPr>
          <w:t xml:space="preserve">[44]</w:t>
        </w:r>
      </w:hyperlink>
      <w:r>
        <w:br/>
      </w:r>
      <w:r>
        <w:t xml:space="preserve">-</w:t>
      </w:r>
      <w:r>
        <w:t xml:space="preserve"> </w:t>
      </w:r>
      <w:r>
        <w:rPr>
          <w:b/>
          <w:bCs/>
        </w:rPr>
        <w:t xml:space="preserve">EU e-commerce mechanics</w:t>
      </w:r>
      <w:r>
        <w:t xml:space="preserve">: VAT/IOSS and customs declaration requirements increase engineering + ops costs for dropship.</w:t>
      </w:r>
      <w:r>
        <w:t xml:space="preserve"> </w:t>
      </w:r>
      <w:hyperlink r:id="rId33">
        <w:r>
          <w:rPr>
            <w:rStyle w:val="Hyperlink"/>
          </w:rPr>
          <w:t xml:space="preserve">[43]</w:t>
        </w:r>
      </w:hyperlink>
      <w:r>
        <w:br/>
      </w:r>
      <w:r>
        <w:t xml:space="preserve">-</w:t>
      </w:r>
      <w:r>
        <w:t xml:space="preserve"> </w:t>
      </w:r>
      <w:r>
        <w:rPr>
          <w:b/>
          <w:bCs/>
        </w:rPr>
        <w:t xml:space="preserve">Customs duty reform</w:t>
      </w:r>
      <w:r>
        <w:t xml:space="preserve">: removing the €150 customs duty exemption changes parcel economics and increases long-term cost uncertainty for dropship.</w:t>
      </w:r>
      <w:r>
        <w:t xml:space="preserve"> </w:t>
      </w:r>
      <w:hyperlink r:id="rId61">
        <w:r>
          <w:rPr>
            <w:rStyle w:val="Hyperlink"/>
          </w:rPr>
          <w:t xml:space="preserve">[51]</w:t>
        </w:r>
      </w:hyperlink>
      <w:r>
        <w:br/>
      </w:r>
      <w:r>
        <w:t xml:space="preserve">-</w:t>
      </w:r>
      <w:r>
        <w:t xml:space="preserve"> </w:t>
      </w:r>
      <w:r>
        <w:rPr>
          <w:b/>
          <w:bCs/>
        </w:rPr>
        <w:t xml:space="preserve">EUDR data</w:t>
      </w:r>
      <w:r>
        <w:t xml:space="preserve">: geolocation and due diligence readiness pushes you toward a “lot-data company,” which is more credibly defensible but requires earlier supplier data collection.</w:t>
      </w:r>
      <w:r>
        <w:t xml:space="preserve"> </w:t>
      </w:r>
      <w:hyperlink r:id="rId25">
        <w:r>
          <w:rPr>
            <w:rStyle w:val="Hyperlink"/>
          </w:rPr>
          <w:t xml:space="preserve">[52]</w:t>
        </w:r>
      </w:hyperlink>
    </w:p>
    <w:bookmarkEnd w:id="62"/>
    <w:bookmarkEnd w:id="63"/>
    <w:bookmarkStart w:id="71" w:name="X87680a434cf8d713dd8b45b2617cfa2637bb1a4"/>
    <w:p>
      <w:pPr>
        <w:pStyle w:val="Heading2"/>
      </w:pPr>
      <w:r>
        <w:t xml:space="preserve">Fundraising strategy, supplier onboarding playbook, and integrated execution plan</w:t>
      </w:r>
    </w:p>
    <w:bookmarkStart w:id="64" w:name="X1c5ca36ab6cec5de0aa5c759e1680858337294a"/>
    <w:p>
      <w:pPr>
        <w:pStyle w:val="Heading3"/>
      </w:pPr>
      <w:r>
        <w:t xml:space="preserve">Fundraising strategy and what to prove before raising</w:t>
      </w:r>
    </w:p>
    <w:p>
      <w:pPr>
        <w:pStyle w:val="FirstParagraph"/>
      </w:pPr>
      <w:r>
        <w:t xml:space="preserve">A founder-built marketplace is investor-attractive when you can show</w:t>
      </w:r>
      <w:r>
        <w:t xml:space="preserve"> </w:t>
      </w:r>
      <w:r>
        <w:rPr>
          <w:b/>
          <w:bCs/>
        </w:rPr>
        <w:t xml:space="preserve">repeatable supply + demand + compliance competence</w:t>
      </w:r>
      <w:r>
        <w:t xml:space="preserve">. The compliance competence portion is not optional in US/EU food trade: EU traceability (178/2002), EU labeling accountability (1169/2011), and U.S. importer definitions (FSVP) determine liability boundaries.</w:t>
      </w:r>
      <w:r>
        <w:t xml:space="preserve"> </w:t>
      </w:r>
      <w:hyperlink r:id="rId39">
        <w:r>
          <w:rPr>
            <w:rStyle w:val="Hyperlink"/>
          </w:rPr>
          <w:t xml:space="preserve">[53]</w:t>
        </w:r>
      </w:hyperlink>
    </w:p>
    <w:p>
      <w:pPr>
        <w:pStyle w:val="BodyText"/>
      </w:pPr>
      <w:r>
        <w:t xml:space="preserve">Recommended sequencing:</w:t>
      </w:r>
      <w:r>
        <w:t xml:space="preserve"> </w:t>
      </w:r>
      <w:r>
        <w:t xml:space="preserve">-</w:t>
      </w:r>
      <w:r>
        <w:t xml:space="preserve"> </w:t>
      </w:r>
      <w:r>
        <w:rPr>
          <w:b/>
          <w:bCs/>
        </w:rPr>
        <w:t xml:space="preserve">Pre-seed readiness</w:t>
      </w:r>
      <w:r>
        <w:t xml:space="preserve">: demonstrate supplier onboarding throughput, documentation completeness, and at least a small amount of GMV with low dispute rates.</w:t>
      </w:r>
      <w:r>
        <w:t xml:space="preserve"> </w:t>
      </w:r>
      <w:r>
        <w:t xml:space="preserve">-</w:t>
      </w:r>
      <w:r>
        <w:t xml:space="preserve"> </w:t>
      </w:r>
      <w:r>
        <w:rPr>
          <w:b/>
          <w:bCs/>
        </w:rPr>
        <w:t xml:space="preserve">Seed readiness</w:t>
      </w:r>
      <w:r>
        <w:t xml:space="preserve">: demonstrate repeat buyers, category expansion, and a credible plan for EUDR readiness and EU customs/VAT scale complexity.</w:t>
      </w:r>
    </w:p>
    <w:bookmarkEnd w:id="64"/>
    <w:bookmarkStart w:id="65" w:name="investor-pitch-readiness-checklist"/>
    <w:p>
      <w:pPr>
        <w:pStyle w:val="Heading3"/>
      </w:pPr>
      <w:r>
        <w:t xml:space="preserve">Investor pitch readiness checklist</w:t>
      </w:r>
    </w:p>
    <w:p>
      <w:pPr>
        <w:pStyle w:val="FirstParagraph"/>
      </w:pPr>
      <w:r>
        <w:t xml:space="preserve">Use this checklist as diligence “gates” before actively pitching: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Evidence to bring</w:t>
            </w:r>
          </w:p>
        </w:tc>
        <w:tc>
          <w:tcPr/>
          <w:p>
            <w:pPr>
              <w:pStyle w:val="Compact"/>
            </w:pPr>
            <w:r>
              <w:t xml:space="preserve">Why it matters</w:t>
            </w:r>
          </w:p>
        </w:tc>
      </w:tr>
      <w:tr>
        <w:tc>
          <w:tcPr/>
          <w:p>
            <w:pPr>
              <w:pStyle w:val="Compact"/>
            </w:pPr>
            <w:r>
              <w:t xml:space="preserve">Importer posture clarity</w:t>
            </w:r>
          </w:p>
        </w:tc>
        <w:tc>
          <w:tcPr/>
          <w:p>
            <w:pPr>
              <w:pStyle w:val="Compact"/>
            </w:pPr>
            <w:r>
              <w:t xml:space="preserve">Flowchart showing who is owner/consignee/importer for each model</w:t>
            </w:r>
          </w:p>
        </w:tc>
        <w:tc>
          <w:tcPr/>
          <w:p>
            <w:pPr>
              <w:pStyle w:val="Compact"/>
            </w:pPr>
            <w:r>
              <w:t xml:space="preserve">Determines whether you inherit FSVP duties and EU labeling accountability</w:t>
            </w:r>
            <w:r>
              <w:t xml:space="preserve"> </w:t>
            </w:r>
            <w:hyperlink r:id="rId21">
              <w:r>
                <w:rPr>
                  <w:rStyle w:val="Hyperlink"/>
                </w:rPr>
                <w:t xml:space="preserve">[54]</w:t>
              </w:r>
            </w:hyperlink>
          </w:p>
        </w:tc>
      </w:tr>
      <w:tr>
        <w:tc>
          <w:tcPr/>
          <w:p>
            <w:pPr>
              <w:pStyle w:val="Compact"/>
            </w:pPr>
            <w:r>
              <w:t xml:space="preserve">Compliance artifact library</w:t>
            </w:r>
          </w:p>
        </w:tc>
        <w:tc>
          <w:tcPr/>
          <w:p>
            <w:pPr>
              <w:pStyle w:val="Compact"/>
            </w:pPr>
            <w:r>
              <w:t xml:space="preserve">Sample document pack: export permit, Certificate of Origin workflow, lot ledger record</w:t>
            </w:r>
          </w:p>
        </w:tc>
        <w:tc>
          <w:tcPr/>
          <w:p>
            <w:pPr>
              <w:pStyle w:val="Compact"/>
            </w:pPr>
            <w:r>
              <w:t xml:space="preserve">Mirrors Coffee Board exporter reality and EU traceability expectations</w:t>
            </w:r>
            <w:r>
              <w:t xml:space="preserve"> </w:t>
            </w:r>
            <w:hyperlink r:id="rId22">
              <w:r>
                <w:rPr>
                  <w:rStyle w:val="Hyperlink"/>
                </w:rPr>
                <w:t xml:space="preserve">[55]</w:t>
              </w:r>
            </w:hyperlink>
          </w:p>
        </w:tc>
      </w:tr>
      <w:tr>
        <w:tc>
          <w:tcPr/>
          <w:p>
            <w:pPr>
              <w:pStyle w:val="Compact"/>
            </w:pPr>
            <w:r>
              <w:t xml:space="preserve">EU VAT/IOSS plan (if B2C/EU)</w:t>
            </w:r>
          </w:p>
        </w:tc>
        <w:tc>
          <w:tcPr/>
          <w:p>
            <w:pPr>
              <w:pStyle w:val="Compact"/>
            </w:pPr>
            <w:r>
              <w:t xml:space="preserve">Decision on IOSS vs carrier special arrangements; data requirements</w:t>
            </w:r>
          </w:p>
        </w:tc>
        <w:tc>
          <w:tcPr/>
          <w:p>
            <w:pPr>
              <w:pStyle w:val="Compact"/>
            </w:pPr>
            <w:r>
              <w:t xml:space="preserve">EU guidance explicitly covers IOSS availability including marketplaces and requires customs declarations even ≤€150</w:t>
            </w:r>
            <w:r>
              <w:t xml:space="preserve"> </w:t>
            </w:r>
            <w:hyperlink r:id="rId33">
              <w:r>
                <w:rPr>
                  <w:rStyle w:val="Hyperlink"/>
                </w:rPr>
                <w:t xml:space="preserve">[43]</w:t>
              </w:r>
            </w:hyperlink>
          </w:p>
        </w:tc>
      </w:tr>
      <w:tr>
        <w:tc>
          <w:tcPr/>
          <w:p>
            <w:pPr>
              <w:pStyle w:val="Compact"/>
            </w:pPr>
            <w:r>
              <w:t xml:space="preserve">EUDR readiness plan</w:t>
            </w:r>
          </w:p>
        </w:tc>
        <w:tc>
          <w:tcPr/>
          <w:p>
            <w:pPr>
              <w:pStyle w:val="Compact"/>
            </w:pPr>
            <w:r>
              <w:t xml:space="preserve">Data model includes HS 0901 coffee scope + geolocation fields; timeline aligned to 2026/2027 obligations</w:t>
            </w:r>
          </w:p>
        </w:tc>
        <w:tc>
          <w:tcPr/>
          <w:p>
            <w:pPr>
              <w:pStyle w:val="Compact"/>
            </w:pPr>
            <w:r>
              <w:t xml:space="preserve">Regulation requires geolocation in due diligence systems; official trade guidance sets the new timeline</w:t>
            </w:r>
            <w:r>
              <w:t xml:space="preserve"> </w:t>
            </w:r>
            <w:hyperlink r:id="rId25">
              <w:r>
                <w:rPr>
                  <w:rStyle w:val="Hyperlink"/>
                </w:rPr>
                <w:t xml:space="preserve">[56]</w:t>
              </w:r>
            </w:hyperlink>
          </w:p>
        </w:tc>
      </w:tr>
      <w:tr>
        <w:tc>
          <w:tcPr/>
          <w:p>
            <w:pPr>
              <w:pStyle w:val="Compact"/>
            </w:pPr>
            <w:r>
              <w:t xml:space="preserve">Commercial traction</w:t>
            </w:r>
          </w:p>
        </w:tc>
        <w:tc>
          <w:tcPr/>
          <w:p>
            <w:pPr>
              <w:pStyle w:val="Compact"/>
            </w:pPr>
            <w:r>
              <w:t xml:space="preserve">LOIs, paid pilots, repeat orders</w:t>
            </w:r>
          </w:p>
        </w:tc>
        <w:tc>
          <w:tcPr/>
          <w:p>
            <w:pPr>
              <w:pStyle w:val="Compact"/>
            </w:pPr>
            <w:r>
              <w:t xml:space="preserve">Market proof beyond “supplier list”</w:t>
            </w:r>
          </w:p>
        </w:tc>
      </w:tr>
      <w:tr>
        <w:tc>
          <w:tcPr/>
          <w:p>
            <w:pPr>
              <w:pStyle w:val="Compact"/>
            </w:pPr>
            <w:r>
              <w:t xml:space="preserve">Unit economics model</w:t>
            </w:r>
          </w:p>
        </w:tc>
        <w:tc>
          <w:tcPr/>
          <w:p>
            <w:pPr>
              <w:pStyle w:val="Compact"/>
            </w:pPr>
            <w:r>
              <w:t xml:space="preserve">Commission structure by Coffee Board category</w:t>
            </w:r>
          </w:p>
        </w:tc>
        <w:tc>
          <w:tcPr/>
          <w:p>
            <w:pPr>
              <w:pStyle w:val="Compact"/>
            </w:pPr>
            <w:r>
              <w:t xml:space="preserve">Proves monetization discipline; categories can align to Coffee Board grades/types</w:t>
            </w:r>
            <w:r>
              <w:t xml:space="preserve"> </w:t>
            </w:r>
            <w:hyperlink r:id="rId22">
              <w:r>
                <w:rPr>
                  <w:rStyle w:val="Hyperlink"/>
                </w:rPr>
                <w:t xml:space="preserve">[40]</w:t>
              </w:r>
            </w:hyperlink>
          </w:p>
        </w:tc>
      </w:tr>
    </w:tbl>
    <w:bookmarkEnd w:id="65"/>
    <w:bookmarkStart w:id="67" w:name="supplier-onboarding-playbook"/>
    <w:p>
      <w:pPr>
        <w:pStyle w:val="Heading3"/>
      </w:pPr>
      <w:r>
        <w:t xml:space="preserve">Supplier onboarding playbook</w:t>
      </w:r>
    </w:p>
    <w:p>
      <w:pPr>
        <w:pStyle w:val="FirstParagraph"/>
      </w:pPr>
      <w:r>
        <w:t xml:space="preserve">This playbook treats supplier onboarding as a “data contract + operational contract,” grounded in Coffee Board export processes and evolving sustainability standards.</w:t>
      </w:r>
    </w:p>
    <w:p>
      <w:pPr>
        <w:pStyle w:val="Compact"/>
        <w:numPr>
          <w:ilvl w:val="0"/>
          <w:numId w:val="1002"/>
        </w:numPr>
      </w:pPr>
      <w:r>
        <w:rPr>
          <w:b/>
          <w:bCs/>
        </w:rPr>
        <w:t xml:space="preserve">Target exporter segments</w:t>
      </w:r>
      <w:r>
        <w:t xml:space="preserve">: prioritize Coffee Board–registered exporters with structured product/grade offerings; the Coffee Board exporter page provides the operational framework and enumerated types/grades.</w:t>
      </w:r>
      <w:r>
        <w:t xml:space="preserve"> </w:t>
      </w:r>
      <w:hyperlink r:id="rId22">
        <w:r>
          <w:rPr>
            <w:rStyle w:val="Hyperlink"/>
          </w:rPr>
          <w:t xml:space="preserve">[40]</w:t>
        </w:r>
      </w:hyperlink>
    </w:p>
    <w:p>
      <w:pPr>
        <w:pStyle w:val="Compact"/>
        <w:numPr>
          <w:ilvl w:val="0"/>
          <w:numId w:val="1002"/>
        </w:numPr>
      </w:pPr>
      <w:r>
        <w:rPr>
          <w:b/>
          <w:bCs/>
        </w:rPr>
        <w:t xml:space="preserve">Offer “documentation-first value”</w:t>
      </w:r>
      <w:r>
        <w:t xml:space="preserve">: build supplier portal templates that mirror Coffee Board permit/Certificate of Origin workflows, including digitally signed permits/COOs via the e-permit portal.</w:t>
      </w:r>
      <w:r>
        <w:t xml:space="preserve"> </w:t>
      </w:r>
      <w:hyperlink r:id="rId66">
        <w:r>
          <w:rPr>
            <w:rStyle w:val="Hyperlink"/>
          </w:rPr>
          <w:t xml:space="preserve">[57]</w:t>
        </w:r>
      </w:hyperlink>
    </w:p>
    <w:p>
      <w:pPr>
        <w:pStyle w:val="Compact"/>
        <w:numPr>
          <w:ilvl w:val="0"/>
          <w:numId w:val="1002"/>
        </w:numPr>
      </w:pPr>
      <w:r>
        <w:rPr>
          <w:b/>
          <w:bCs/>
        </w:rPr>
        <w:t xml:space="preserve">Start with a narrow category set</w:t>
      </w:r>
      <w:r>
        <w:t xml:space="preserve">: launch with 3–5 categories that map cleanly to Coffee Board types/grades (e.g., Washed Arabica “Plantation”; Arabica Cherry; Robusta Parchment; Monsooned Malabar AA; a specialty grade).</w:t>
      </w:r>
      <w:r>
        <w:t xml:space="preserve"> </w:t>
      </w:r>
      <w:hyperlink r:id="rId22">
        <w:r>
          <w:rPr>
            <w:rStyle w:val="Hyperlink"/>
          </w:rPr>
          <w:t xml:space="preserve">[58]</w:t>
        </w:r>
      </w:hyperlink>
    </w:p>
    <w:p>
      <w:pPr>
        <w:pStyle w:val="Compact"/>
        <w:numPr>
          <w:ilvl w:val="0"/>
          <w:numId w:val="1002"/>
        </w:numPr>
      </w:pPr>
      <w:r>
        <w:rPr>
          <w:b/>
          <w:bCs/>
        </w:rPr>
        <w:t xml:space="preserve">Require a minimum lot-data schema</w:t>
      </w:r>
      <w:r>
        <w:t xml:space="preserve">: supplier identity, grade/type, moisture/specs, shipment docs, and traceability fields aligned with EU traceability.</w:t>
      </w:r>
      <w:r>
        <w:t xml:space="preserve"> </w:t>
      </w:r>
      <w:hyperlink r:id="rId39">
        <w:r>
          <w:rPr>
            <w:rStyle w:val="Hyperlink"/>
          </w:rPr>
          <w:t xml:space="preserve">[59]</w:t>
        </w:r>
      </w:hyperlink>
    </w:p>
    <w:p>
      <w:pPr>
        <w:pStyle w:val="Compact"/>
        <w:numPr>
          <w:ilvl w:val="0"/>
          <w:numId w:val="1002"/>
        </w:numPr>
      </w:pPr>
      <w:r>
        <w:rPr>
          <w:b/>
          <w:bCs/>
        </w:rPr>
        <w:t xml:space="preserve">Layer sustainability fields</w:t>
      </w:r>
      <w:r>
        <w:t xml:space="preserve">: adopt INDICOFS-aligned attributes where feasible and begin collecting geolocation-ready data for EUDR.</w:t>
      </w:r>
      <w:r>
        <w:t xml:space="preserve"> </w:t>
      </w:r>
      <w:hyperlink r:id="rId31">
        <w:r>
          <w:rPr>
            <w:rStyle w:val="Hyperlink"/>
          </w:rPr>
          <w:t xml:space="preserve">[60]</w:t>
        </w:r>
      </w:hyperlink>
    </w:p>
    <w:bookmarkEnd w:id="67"/>
    <w:bookmarkStart w:id="68" w:name="sample-supplier-contract-clauses"/>
    <w:p>
      <w:pPr>
        <w:pStyle w:val="Heading3"/>
      </w:pPr>
      <w:r>
        <w:t xml:space="preserve">Sample supplier contract clauses</w:t>
      </w:r>
    </w:p>
    <w:p>
      <w:pPr>
        <w:pStyle w:val="FirstParagraph"/>
      </w:pPr>
      <w:r>
        <w:t xml:space="preserve">These are illustrative clause categories (not legal advice). They map directly to the constraints established by the Coffee Board exporter system, EU labeling accountability, and importer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Clause category</w:t>
            </w:r>
          </w:p>
        </w:tc>
        <w:tc>
          <w:tcPr/>
          <w:p>
            <w:pPr>
              <w:pStyle w:val="Compact"/>
            </w:pPr>
            <w:r>
              <w:t xml:space="preserve">Purpose</w:t>
            </w:r>
          </w:p>
        </w:tc>
        <w:tc>
          <w:tcPr/>
          <w:p>
            <w:pPr>
              <w:pStyle w:val="Compact"/>
            </w:pPr>
            <w:r>
              <w:t xml:space="preserve">Example clause concept</w:t>
            </w:r>
          </w:p>
        </w:tc>
        <w:tc>
          <w:tcPr/>
          <w:p>
            <w:pPr>
              <w:pStyle w:val="Compact"/>
            </w:pPr>
            <w:r>
              <w:t xml:space="preserve">Ties to primary sources</w:t>
            </w:r>
          </w:p>
        </w:tc>
      </w:tr>
      <w:tr>
        <w:tc>
          <w:tcPr/>
          <w:p>
            <w:pPr>
              <w:pStyle w:val="Compact"/>
            </w:pPr>
            <w:r>
              <w:t xml:space="preserve">Title and consignee</w:t>
            </w:r>
          </w:p>
        </w:tc>
        <w:tc>
          <w:tcPr/>
          <w:p>
            <w:pPr>
              <w:pStyle w:val="Compact"/>
            </w:pPr>
            <w:r>
              <w:t xml:space="preserve">Prevent accidental “importer” assignment to platform</w:t>
            </w:r>
          </w:p>
        </w:tc>
        <w:tc>
          <w:tcPr/>
          <w:p>
            <w:pPr>
              <w:pStyle w:val="Compact"/>
            </w:pPr>
            <w:r>
              <w:t xml:space="preserve">“Supplier sells to Buyer; Platform is agent; Platform never takes title; Buyer is consignee/importer.”</w:t>
            </w:r>
          </w:p>
        </w:tc>
        <w:tc>
          <w:tcPr/>
          <w:p>
            <w:pPr>
              <w:pStyle w:val="Compact"/>
            </w:pPr>
            <w:r>
              <w:t xml:space="preserve">Reduces risk of platform becoming FSVP importer (U.S. owner/consignee).</w:t>
            </w:r>
            <w:r>
              <w:t xml:space="preserve"> </w:t>
            </w:r>
            <w:hyperlink r:id="rId21">
              <w:r>
                <w:rPr>
                  <w:rStyle w:val="Hyperlink"/>
                </w:rPr>
                <w:t xml:space="preserve">[61]</w:t>
              </w:r>
            </w:hyperlink>
          </w:p>
        </w:tc>
      </w:tr>
      <w:tr>
        <w:tc>
          <w:tcPr/>
          <w:p>
            <w:pPr>
              <w:pStyle w:val="Compact"/>
            </w:pPr>
            <w:r>
              <w:t xml:space="preserve">Documentation covenant</w:t>
            </w:r>
          </w:p>
        </w:tc>
        <w:tc>
          <w:tcPr/>
          <w:p>
            <w:pPr>
              <w:pStyle w:val="Compact"/>
            </w:pPr>
            <w:r>
              <w:t xml:space="preserve">Ensure export docs are provided and verifiable</w:t>
            </w:r>
          </w:p>
        </w:tc>
        <w:tc>
          <w:tcPr/>
          <w:p>
            <w:pPr>
              <w:pStyle w:val="Compact"/>
            </w:pPr>
            <w:r>
              <w:t xml:space="preserve">Supplier must provide export permit/COO and post-shipment docs within specified time</w:t>
            </w:r>
          </w:p>
        </w:tc>
        <w:tc>
          <w:tcPr/>
          <w:p>
            <w:pPr>
              <w:pStyle w:val="Compact"/>
            </w:pPr>
            <w:r>
              <w:t xml:space="preserve">Coffee Board outlines permits/COO and post-shipment doc submission expectations</w:t>
            </w:r>
            <w:r>
              <w:t xml:space="preserve"> </w:t>
            </w:r>
            <w:hyperlink r:id="rId22">
              <w:r>
                <w:rPr>
                  <w:rStyle w:val="Hyperlink"/>
                </w:rPr>
                <w:t xml:space="preserve">[3]</w:t>
              </w:r>
            </w:hyperlink>
          </w:p>
        </w:tc>
      </w:tr>
      <w:tr>
        <w:tc>
          <w:tcPr/>
          <w:p>
            <w:pPr>
              <w:pStyle w:val="Compact"/>
            </w:pPr>
            <w:r>
              <w:t xml:space="preserve">Lot data rights</w:t>
            </w:r>
          </w:p>
        </w:tc>
        <w:tc>
          <w:tcPr/>
          <w:p>
            <w:pPr>
              <w:pStyle w:val="Compact"/>
            </w:pPr>
            <w:r>
              <w:t xml:space="preserve">Enable platform analytics and buyer confidence</w:t>
            </w:r>
          </w:p>
        </w:tc>
        <w:tc>
          <w:tcPr/>
          <w:p>
            <w:pPr>
              <w:pStyle w:val="Compact"/>
            </w:pPr>
            <w:r>
              <w:t xml:space="preserve">License to use lot/traceability data for compliance packs and analytics; confidentiality carve-outs</w:t>
            </w:r>
          </w:p>
        </w:tc>
        <w:tc>
          <w:tcPr/>
          <w:p>
            <w:pPr>
              <w:pStyle w:val="Compact"/>
            </w:pPr>
            <w:r>
              <w:t xml:space="preserve">EU traceability requires systems/procedures; data must be retrievable</w:t>
            </w:r>
            <w:r>
              <w:t xml:space="preserve"> </w:t>
            </w:r>
            <w:hyperlink r:id="rId39">
              <w:r>
                <w:rPr>
                  <w:rStyle w:val="Hyperlink"/>
                </w:rPr>
                <w:t xml:space="preserve">[23]</w:t>
              </w:r>
            </w:hyperlink>
          </w:p>
        </w:tc>
      </w:tr>
      <w:tr>
        <w:tc>
          <w:tcPr/>
          <w:p>
            <w:pPr>
              <w:pStyle w:val="Compact"/>
            </w:pPr>
            <w:r>
              <w:t xml:space="preserve">QC acceptance</w:t>
            </w:r>
          </w:p>
        </w:tc>
        <w:tc>
          <w:tcPr/>
          <w:p>
            <w:pPr>
              <w:pStyle w:val="Compact"/>
            </w:pPr>
            <w:r>
              <w:t xml:space="preserve">Make disputes resolvable</w:t>
            </w:r>
          </w:p>
        </w:tc>
        <w:tc>
          <w:tcPr/>
          <w:p>
            <w:pPr>
              <w:pStyle w:val="Compact"/>
            </w:pPr>
            <w:r>
              <w:t xml:space="preserve">Pre-shipment sample approvals; moisture/defect thresholds; rejection protocol</w:t>
            </w:r>
          </w:p>
        </w:tc>
        <w:tc>
          <w:tcPr/>
          <w:p>
            <w:pPr>
              <w:pStyle w:val="Compact"/>
            </w:pPr>
            <w:r>
              <w:t xml:space="preserve">Coffee Board quality specs include moisture standards and grading/imperfection tolerance</w:t>
            </w:r>
            <w:r>
              <w:t xml:space="preserve"> </w:t>
            </w:r>
            <w:hyperlink r:id="rId27">
              <w:r>
                <w:rPr>
                  <w:rStyle w:val="Hyperlink"/>
                </w:rPr>
                <w:t xml:space="preserve">[12]</w:t>
              </w:r>
            </w:hyperlink>
          </w:p>
        </w:tc>
      </w:tr>
      <w:tr>
        <w:tc>
          <w:tcPr/>
          <w:p>
            <w:pPr>
              <w:pStyle w:val="Compact"/>
            </w:pPr>
            <w:r>
              <w:t xml:space="preserve">Recall/withdrawal cooperation</w:t>
            </w:r>
          </w:p>
        </w:tc>
        <w:tc>
          <w:tcPr/>
          <w:p>
            <w:pPr>
              <w:pStyle w:val="Compact"/>
            </w:pPr>
            <w:r>
              <w:t xml:space="preserve">Enable rapid response</w:t>
            </w:r>
          </w:p>
        </w:tc>
        <w:tc>
          <w:tcPr/>
          <w:p>
            <w:pPr>
              <w:pStyle w:val="Compact"/>
            </w:pPr>
            <w:r>
              <w:t xml:space="preserve">Supplier must cooperate in incident investigations and lot isolation</w:t>
            </w:r>
          </w:p>
        </w:tc>
        <w:tc>
          <w:tcPr/>
          <w:p>
            <w:pPr>
              <w:pStyle w:val="Compact"/>
            </w:pPr>
            <w:r>
              <w:t xml:space="preserve">EU law requires withdrawal/recall procedures and cooperation</w:t>
            </w:r>
            <w:r>
              <w:t xml:space="preserve"> </w:t>
            </w:r>
            <w:hyperlink r:id="rId51">
              <w:r>
                <w:rPr>
                  <w:rStyle w:val="Hyperlink"/>
                </w:rPr>
                <w:t xml:space="preserve">[38]</w:t>
              </w:r>
            </w:hyperlink>
          </w:p>
        </w:tc>
      </w:tr>
      <w:tr>
        <w:tc>
          <w:tcPr/>
          <w:p>
            <w:pPr>
              <w:pStyle w:val="Compact"/>
            </w:pPr>
            <w:r>
              <w:t xml:space="preserve">EUDR readiness</w:t>
            </w:r>
          </w:p>
        </w:tc>
        <w:tc>
          <w:tcPr/>
          <w:p>
            <w:pPr>
              <w:pStyle w:val="Compact"/>
            </w:pPr>
            <w:r>
              <w:t xml:space="preserve">Prepare for future EU buyer demands</w:t>
            </w:r>
          </w:p>
        </w:tc>
        <w:tc>
          <w:tcPr/>
          <w:p>
            <w:pPr>
              <w:pStyle w:val="Compact"/>
            </w:pPr>
            <w:r>
              <w:t xml:space="preserve">Supplier will provide plot geolocation and legality evidence as needed</w:t>
            </w:r>
          </w:p>
        </w:tc>
        <w:tc>
          <w:tcPr/>
          <w:p>
            <w:pPr>
              <w:pStyle w:val="Compact"/>
            </w:pPr>
            <w:r>
              <w:t xml:space="preserve">EUDR due diligence systems include geolocation; coffee is in scope HS 0901</w:t>
            </w:r>
            <w:r>
              <w:t xml:space="preserve"> </w:t>
            </w:r>
            <w:hyperlink r:id="rId25">
              <w:r>
                <w:rPr>
                  <w:rStyle w:val="Hyperlink"/>
                </w:rPr>
                <w:t xml:space="preserve">[62]</w:t>
              </w:r>
            </w:hyperlink>
          </w:p>
        </w:tc>
      </w:tr>
    </w:tbl>
    <w:bookmarkEnd w:id="68"/>
    <w:bookmarkStart w:id="69" w:name="X6510e4165e6ba194dce7421a470b903b2ab30fb"/>
    <w:p>
      <w:pPr>
        <w:pStyle w:val="Heading3"/>
      </w:pPr>
      <w:r>
        <w:t xml:space="preserve">Twelve-month timeline with milestones and funding tranches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Build objectives</w:t>
            </w:r>
          </w:p>
        </w:tc>
        <w:tc>
          <w:tcPr/>
          <w:p>
            <w:pPr>
              <w:pStyle w:val="Compact"/>
            </w:pPr>
            <w:r>
              <w:t xml:space="preserve">Go-to-market objectives</w:t>
            </w:r>
          </w:p>
        </w:tc>
        <w:tc>
          <w:tcPr/>
          <w:p>
            <w:pPr>
              <w:pStyle w:val="Compact"/>
            </w:pPr>
            <w:r>
              <w:t xml:space="preserve">Funding tranche rationale</w:t>
            </w:r>
          </w:p>
        </w:tc>
      </w:tr>
      <w:tr>
        <w:tc>
          <w:tcPr/>
          <w:p>
            <w:pPr>
              <w:pStyle w:val="Compact"/>
            </w:pPr>
            <w:r>
              <w:t xml:space="preserve">Months 1–3</w:t>
            </w:r>
          </w:p>
        </w:tc>
        <w:tc>
          <w:tcPr/>
          <w:p>
            <w:pPr>
              <w:pStyle w:val="Compact"/>
            </w:pPr>
            <w:r>
              <w:t xml:space="preserve">MVP: supplier portal, category catalog, lot ledger, document vault; basic commission engine</w:t>
            </w:r>
          </w:p>
        </w:tc>
        <w:tc>
          <w:tcPr/>
          <w:p>
            <w:pPr>
              <w:pStyle w:val="Compact"/>
            </w:pPr>
            <w:r>
              <w:t xml:space="preserve">Onboard 5–10 exporters; secure 10–20 B2B buyer conversations</w:t>
            </w:r>
          </w:p>
        </w:tc>
        <w:tc>
          <w:tcPr/>
          <w:p>
            <w:pPr>
              <w:pStyle w:val="Compact"/>
            </w:pPr>
            <w:r>
              <w:t xml:space="preserve">Bootstrapped/angel or small pre-seed; prove onboarding and doc completeness</w:t>
            </w:r>
            <w:r>
              <w:t xml:space="preserve"> </w:t>
            </w:r>
            <w:hyperlink r:id="rId22">
              <w:r>
                <w:rPr>
                  <w:rStyle w:val="Hyperlink"/>
                </w:rPr>
                <w:t xml:space="preserve">[3]</w:t>
              </w:r>
            </w:hyperlink>
          </w:p>
        </w:tc>
      </w:tr>
      <w:tr>
        <w:tc>
          <w:tcPr/>
          <w:p>
            <w:pPr>
              <w:pStyle w:val="Compact"/>
            </w:pPr>
            <w:r>
              <w:t xml:space="preserve">Months 4–6</w:t>
            </w:r>
          </w:p>
        </w:tc>
        <w:tc>
          <w:tcPr/>
          <w:p>
            <w:pPr>
              <w:pStyle w:val="Compact"/>
            </w:pPr>
            <w:r>
              <w:t xml:space="preserve">Order routing, payouts with reserves, compliance pack export; basic analytics</w:t>
            </w:r>
          </w:p>
        </w:tc>
        <w:tc>
          <w:tcPr/>
          <w:p>
            <w:pPr>
              <w:pStyle w:val="Compact"/>
            </w:pPr>
            <w:r>
              <w:t xml:space="preserve">Execute first paid B2B orders; refine category pricing</w:t>
            </w:r>
          </w:p>
        </w:tc>
        <w:tc>
          <w:tcPr/>
          <w:p>
            <w:pPr>
              <w:pStyle w:val="Compact"/>
            </w:pPr>
            <w:r>
              <w:t xml:space="preserve">Pre-seed if you have executed GMV + low disputes; demonstrate importer posture clarity</w:t>
            </w:r>
            <w:r>
              <w:t xml:space="preserve"> </w:t>
            </w:r>
            <w:hyperlink r:id="rId21">
              <w:r>
                <w:rPr>
                  <w:rStyle w:val="Hyperlink"/>
                </w:rPr>
                <w:t xml:space="preserve">[63]</w:t>
              </w:r>
            </w:hyperlink>
          </w:p>
        </w:tc>
      </w:tr>
      <w:tr>
        <w:tc>
          <w:tcPr/>
          <w:p>
            <w:pPr>
              <w:pStyle w:val="Compact"/>
            </w:pPr>
            <w:r>
              <w:t xml:space="preserve">Months 7–9</w:t>
            </w:r>
          </w:p>
        </w:tc>
        <w:tc>
          <w:tcPr/>
          <w:p>
            <w:pPr>
              <w:pStyle w:val="Compact"/>
            </w:pPr>
            <w:r>
              <w:t xml:space="preserve">Add optional consignment pilot module + 3PL integration (if pursuing)</w:t>
            </w:r>
          </w:p>
        </w:tc>
        <w:tc>
          <w:tcPr/>
          <w:p>
            <w:pPr>
              <w:pStyle w:val="Compact"/>
            </w:pPr>
            <w:r>
              <w:t xml:space="preserve">Expand buyer base; repeat orders; start content marketing</w:t>
            </w:r>
          </w:p>
        </w:tc>
        <w:tc>
          <w:tcPr/>
          <w:p>
            <w:pPr>
              <w:pStyle w:val="Compact"/>
            </w:pPr>
            <w:r>
              <w:t xml:space="preserve">Bridge tranche if adding inventory/3PL complexity; hire ops/sales</w:t>
            </w:r>
          </w:p>
        </w:tc>
      </w:tr>
      <w:tr>
        <w:tc>
          <w:tcPr/>
          <w:p>
            <w:pPr>
              <w:pStyle w:val="Compact"/>
            </w:pPr>
            <w:r>
              <w:t xml:space="preserve">Months 10–12</w:t>
            </w:r>
          </w:p>
        </w:tc>
        <w:tc>
          <w:tcPr/>
          <w:p>
            <w:pPr>
              <w:pStyle w:val="Compact"/>
            </w:pPr>
            <w:r>
              <w:t xml:space="preserve">EUDR-ready fields; improved traceability graph; prepare EU VAT/IOSS logic only if doing EU B2C</w:t>
            </w:r>
          </w:p>
        </w:tc>
        <w:tc>
          <w:tcPr/>
          <w:p>
            <w:pPr>
              <w:pStyle w:val="Compact"/>
            </w:pPr>
            <w:r>
              <w:t xml:space="preserve">Decide: (A) remain B2B-first, or (B) launch small US D2C pilot in-market</w:t>
            </w:r>
          </w:p>
        </w:tc>
        <w:tc>
          <w:tcPr/>
          <w:p>
            <w:pPr>
              <w:pStyle w:val="Compact"/>
            </w:pPr>
            <w:r>
              <w:t xml:space="preserve">Seed if: repeatable buyer engine + compliance literacy + roadmap for EUDR and EU customs/VAT complexity</w:t>
            </w:r>
            <w:r>
              <w:t xml:space="preserve"> </w:t>
            </w:r>
            <w:hyperlink r:id="rId47">
              <w:r>
                <w:rPr>
                  <w:rStyle w:val="Hyperlink"/>
                </w:rPr>
                <w:t xml:space="preserve">[64]</w:t>
              </w:r>
            </w:hyperlink>
          </w:p>
        </w:tc>
      </w:tr>
    </w:tbl>
    <w:bookmarkEnd w:id="69"/>
    <w:bookmarkStart w:id="70" w:name="key-risks-and-mitigations"/>
    <w:p>
      <w:pPr>
        <w:pStyle w:val="Heading3"/>
      </w:pPr>
      <w:r>
        <w:t xml:space="preserve">Key risks and mitigations</w:t>
      </w:r>
    </w:p>
    <w:p>
      <w:pPr>
        <w:pStyle w:val="Compact"/>
        <w:numPr>
          <w:ilvl w:val="0"/>
          <w:numId w:val="1003"/>
        </w:numPr>
      </w:pPr>
      <w:r>
        <w:rPr>
          <w:b/>
          <w:bCs/>
        </w:rPr>
        <w:t xml:space="preserve">Importer-role ambiguity risk</w:t>
      </w:r>
      <w:r>
        <w:t xml:space="preserve"> </w:t>
      </w:r>
      <w:r>
        <w:t xml:space="preserve">(you accidentally become the FSVP importer or EU label-responsible operator): mitigate with contract design</w:t>
      </w:r>
      <w:r>
        <w:t xml:space="preserve"> </w:t>
      </w:r>
      <w:r>
        <w:rPr>
          <w:i/>
          <w:iCs/>
        </w:rPr>
        <w:t xml:space="preserve">and</w:t>
      </w:r>
      <w:r>
        <w:t xml:space="preserve"> </w:t>
      </w:r>
      <w:r>
        <w:t xml:space="preserve">operational enforcement consistent with FDA importer definitions and EU labeling responsibility.</w:t>
      </w:r>
      <w:r>
        <w:t xml:space="preserve"> </w:t>
      </w:r>
      <w:hyperlink r:id="rId21">
        <w:r>
          <w:rPr>
            <w:rStyle w:val="Hyperlink"/>
          </w:rPr>
          <w:t xml:space="preserve">[54]</w:t>
        </w:r>
      </w:hyperlink>
    </w:p>
    <w:p>
      <w:pPr>
        <w:pStyle w:val="Compact"/>
        <w:numPr>
          <w:ilvl w:val="0"/>
          <w:numId w:val="1003"/>
        </w:numPr>
      </w:pPr>
      <w:r>
        <w:rPr>
          <w:b/>
          <w:bCs/>
        </w:rPr>
        <w:t xml:space="preserve">Dropship economics deterioration in the EU</w:t>
      </w:r>
      <w:r>
        <w:t xml:space="preserve"> </w:t>
      </w:r>
      <w:r>
        <w:t xml:space="preserve">due to customs duty reform: mitigate by not betting the company on parcel-led direct import; the EU has committed to removing the €150 customs duty exemption as of 2026.</w:t>
      </w:r>
      <w:r>
        <w:t xml:space="preserve"> </w:t>
      </w:r>
      <w:hyperlink r:id="rId61">
        <w:r>
          <w:rPr>
            <w:rStyle w:val="Hyperlink"/>
          </w:rPr>
          <w:t xml:space="preserve">[51]</w:t>
        </w:r>
      </w:hyperlink>
    </w:p>
    <w:p>
      <w:pPr>
        <w:pStyle w:val="Compact"/>
        <w:numPr>
          <w:ilvl w:val="0"/>
          <w:numId w:val="1003"/>
        </w:numPr>
      </w:pPr>
      <w:r>
        <w:rPr>
          <w:b/>
          <w:bCs/>
        </w:rPr>
        <w:t xml:space="preserve">Traceability/recall operational risk</w:t>
      </w:r>
      <w:r>
        <w:t xml:space="preserve">: mitigate with lot ledger, document vault, and incident workflows aligned to EU traceability and withdrawal/recall obligations.</w:t>
      </w:r>
      <w:r>
        <w:t xml:space="preserve"> </w:t>
      </w:r>
      <w:hyperlink r:id="rId39">
        <w:r>
          <w:rPr>
            <w:rStyle w:val="Hyperlink"/>
          </w:rPr>
          <w:t xml:space="preserve">[24]</w:t>
        </w:r>
      </w:hyperlink>
    </w:p>
    <w:p>
      <w:pPr>
        <w:pStyle w:val="Compact"/>
        <w:numPr>
          <w:ilvl w:val="0"/>
          <w:numId w:val="1003"/>
        </w:numPr>
      </w:pPr>
      <w:r>
        <w:rPr>
          <w:b/>
          <w:bCs/>
        </w:rPr>
        <w:t xml:space="preserve">EUDR preparedness gap</w:t>
      </w:r>
      <w:r>
        <w:t xml:space="preserve">: mitigate by collecting EUDR-ready data fields now (HS mapping, supplier chain, geolocation placeholders) and aligning internal milestones to official 2026/2027 timelines.</w:t>
      </w:r>
      <w:r>
        <w:t xml:space="preserve"> </w:t>
      </w:r>
      <w:hyperlink r:id="rId25">
        <w:r>
          <w:rPr>
            <w:rStyle w:val="Hyperlink"/>
          </w:rPr>
          <w:t xml:space="preserve">[56]</w:t>
        </w:r>
      </w:hyperlink>
    </w:p>
    <w:p>
      <w:pPr>
        <w:pStyle w:val="Compact"/>
        <w:numPr>
          <w:ilvl w:val="0"/>
          <w:numId w:val="1003"/>
        </w:numPr>
      </w:pPr>
      <w:r>
        <w:rPr>
          <w:b/>
          <w:bCs/>
        </w:rPr>
        <w:t xml:space="preserve">Supplier adoption risk</w:t>
      </w:r>
      <w:r>
        <w:t xml:space="preserve">: mitigate by aligning your portal to Coffee Board exporter workflows (digital permits/COOs, post-shipment documents) and offering buyer access + compliance pack automation as tangible value.</w:t>
      </w:r>
      <w:r>
        <w:t xml:space="preserve"> </w:t>
      </w:r>
      <w:hyperlink r:id="rId22">
        <w:r>
          <w:rPr>
            <w:rStyle w:val="Hyperlink"/>
          </w:rPr>
          <w:t xml:space="preserve">[3]</w:t>
        </w:r>
      </w:hyperlink>
    </w:p>
    <w:p>
      <w:pPr>
        <w:pStyle w:val="FirstParagraph"/>
      </w:pPr>
      <w:r>
        <w:rPr>
          <w:b/>
          <w:bCs/>
        </w:rPr>
        <w:t xml:space="preserve">Bottom line recommendation:</w:t>
      </w:r>
      <w:r>
        <w:t xml:space="preserve"> </w:t>
      </w:r>
      <w:r>
        <w:t xml:space="preserve">build the platform and supplier base first via a</w:t>
      </w:r>
      <w:r>
        <w:t xml:space="preserve"> </w:t>
      </w:r>
      <w:r>
        <w:rPr>
          <w:b/>
          <w:bCs/>
        </w:rPr>
        <w:t xml:space="preserve">B2B charge-on-order marketplace</w:t>
      </w:r>
      <w:r>
        <w:t xml:space="preserve"> </w:t>
      </w:r>
      <w:r>
        <w:t xml:space="preserve">whose categories mirror Coffee Board types/grades and whose compliance posture keeps you out of importer-of-record duties by default. Add</w:t>
      </w:r>
      <w:r>
        <w:t xml:space="preserve"> </w:t>
      </w:r>
      <w:r>
        <w:rPr>
          <w:b/>
          <w:bCs/>
        </w:rPr>
        <w:t xml:space="preserve">consignment/in-market fulfillment</w:t>
      </w:r>
      <w:r>
        <w:t xml:space="preserve"> </w:t>
      </w:r>
      <w:r>
        <w:t xml:space="preserve">only once you have repeatable demand and operational controls. Avoid making consumer dropship the core model in US/EU because it structurally multiplies import/VAT/returns friction and is being pressured further by EU customs reform.</w:t>
      </w:r>
      <w:r>
        <w:t xml:space="preserve"> </w:t>
      </w:r>
      <w:hyperlink r:id="rId22">
        <w:r>
          <w:rPr>
            <w:rStyle w:val="Hyperlink"/>
          </w:rPr>
          <w:t xml:space="preserve">[65]</w:t>
        </w:r>
      </w:hyperlink>
    </w:p>
    <w:bookmarkEnd w:id="70"/>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hyperlink r:id="rId21">
        <w:r>
          <w:rPr>
            <w:rStyle w:val="Hyperlink"/>
          </w:rPr>
          <w:t xml:space="preserve">[17]</w:t>
        </w:r>
      </w:hyperlink>
      <w:r>
        <w:t xml:space="preserve"> </w:t>
      </w:r>
      <w:hyperlink r:id="rId21">
        <w:r>
          <w:rPr>
            <w:rStyle w:val="Hyperlink"/>
          </w:rPr>
          <w:t xml:space="preserve">[44]</w:t>
        </w:r>
      </w:hyperlink>
      <w:r>
        <w:t xml:space="preserve"> </w:t>
      </w:r>
      <w:hyperlink r:id="rId21">
        <w:r>
          <w:rPr>
            <w:rStyle w:val="Hyperlink"/>
          </w:rPr>
          <w:t xml:space="preserve">[47]</w:t>
        </w:r>
      </w:hyperlink>
      <w:r>
        <w:t xml:space="preserve"> </w:t>
      </w:r>
      <w:hyperlink r:id="rId21">
        <w:r>
          <w:rPr>
            <w:rStyle w:val="Hyperlink"/>
          </w:rPr>
          <w:t xml:space="preserve">[54]</w:t>
        </w:r>
      </w:hyperlink>
      <w:r>
        <w:t xml:space="preserve"> </w:t>
      </w:r>
      <w:hyperlink r:id="rId21">
        <w:r>
          <w:rPr>
            <w:rStyle w:val="Hyperlink"/>
          </w:rPr>
          <w:t xml:space="preserve">[61]</w:t>
        </w:r>
      </w:hyperlink>
      <w:r>
        <w:t xml:space="preserve"> </w:t>
      </w:r>
      <w:hyperlink r:id="rId21">
        <w:r>
          <w:rPr>
            <w:rStyle w:val="Hyperlink"/>
          </w:rPr>
          <w:t xml:space="preserve">[63]</w:t>
        </w:r>
      </w:hyperlink>
      <w:r>
        <w:t xml:space="preserve"> </w:t>
      </w:r>
      <w:r>
        <w:t xml:space="preserve">Final Rule on Foreign Supplier Verification Programs At-A- ...</w:t>
      </w:r>
    </w:p>
    <w:p>
      <w:pPr>
        <w:pStyle w:val="BodyText"/>
      </w:pPr>
      <w:hyperlink r:id="rId21">
        <w:r>
          <w:rPr>
            <w:rStyle w:val="Hyperlink"/>
          </w:rPr>
          <w:t xml:space="preserve">https://www.fda.gov/food/food-safety-modernization-act-fsma/final-rule-foreign-supplier-verification-programs-fsvp-glance?utm_source=chatgpt.com</w:t>
        </w:r>
      </w:hyperlink>
    </w:p>
    <w:p>
      <w:pPr>
        <w:pStyle w:val="BodyText"/>
      </w:pPr>
      <w:hyperlink r:id="rId22">
        <w:r>
          <w:rPr>
            <w:rStyle w:val="Hyperlink"/>
          </w:rPr>
          <w:t xml:space="preserve">[3]</w:t>
        </w:r>
      </w:hyperlink>
      <w:r>
        <w:t xml:space="preserve"> </w:t>
      </w:r>
      <w:hyperlink r:id="rId22">
        <w:r>
          <w:rPr>
            <w:rStyle w:val="Hyperlink"/>
          </w:rPr>
          <w:t xml:space="preserve">[40]</w:t>
        </w:r>
      </w:hyperlink>
      <w:r>
        <w:t xml:space="preserve"> </w:t>
      </w:r>
      <w:hyperlink r:id="rId22">
        <w:r>
          <w:rPr>
            <w:rStyle w:val="Hyperlink"/>
          </w:rPr>
          <w:t xml:space="preserve">[48]</w:t>
        </w:r>
      </w:hyperlink>
      <w:r>
        <w:t xml:space="preserve"> </w:t>
      </w:r>
      <w:hyperlink r:id="rId22">
        <w:r>
          <w:rPr>
            <w:rStyle w:val="Hyperlink"/>
          </w:rPr>
          <w:t xml:space="preserve">[55]</w:t>
        </w:r>
      </w:hyperlink>
      <w:r>
        <w:t xml:space="preserve"> </w:t>
      </w:r>
      <w:hyperlink r:id="rId22">
        <w:r>
          <w:rPr>
            <w:rStyle w:val="Hyperlink"/>
          </w:rPr>
          <w:t xml:space="preserve">[58]</w:t>
        </w:r>
      </w:hyperlink>
      <w:r>
        <w:t xml:space="preserve"> </w:t>
      </w:r>
      <w:hyperlink r:id="rId22">
        <w:r>
          <w:rPr>
            <w:rStyle w:val="Hyperlink"/>
          </w:rPr>
          <w:t xml:space="preserve">[65]</w:t>
        </w:r>
      </w:hyperlink>
      <w:r>
        <w:t xml:space="preserve"> </w:t>
      </w:r>
      <w:r>
        <w:t xml:space="preserve">Coffee Board of India</w:t>
      </w:r>
    </w:p>
    <w:p>
      <w:pPr>
        <w:pStyle w:val="BodyText"/>
      </w:pPr>
      <w:hyperlink r:id="rId22">
        <w:r>
          <w:rPr>
            <w:rStyle w:val="Hyperlink"/>
          </w:rPr>
          <w:t xml:space="preserve">https://coffeeboard.gov.in/Exporter.aspx</w:t>
        </w:r>
      </w:hyperlink>
    </w:p>
    <w:p>
      <w:pPr>
        <w:pStyle w:val="BodyText"/>
      </w:pPr>
      <w:hyperlink r:id="rId23">
        <w:r>
          <w:rPr>
            <w:rStyle w:val="Hyperlink"/>
          </w:rPr>
          <w:t xml:space="preserve">[4]</w:t>
        </w:r>
      </w:hyperlink>
      <w:r>
        <w:t xml:space="preserve"> </w:t>
      </w:r>
      <w:hyperlink r:id="rId23">
        <w:r>
          <w:rPr>
            <w:rStyle w:val="Hyperlink"/>
          </w:rPr>
          <w:t xml:space="preserve">[11]</w:t>
        </w:r>
      </w:hyperlink>
      <w:r>
        <w:t xml:space="preserve"> </w:t>
      </w:r>
      <w:hyperlink r:id="rId23">
        <w:r>
          <w:rPr>
            <w:rStyle w:val="Hyperlink"/>
          </w:rPr>
          <w:t xml:space="preserve">[14]</w:t>
        </w:r>
      </w:hyperlink>
      <w:r>
        <w:t xml:space="preserve"> </w:t>
      </w:r>
      <w:hyperlink r:id="rId23">
        <w:r>
          <w:rPr>
            <w:rStyle w:val="Hyperlink"/>
          </w:rPr>
          <w:t xml:space="preserve">[20]</w:t>
        </w:r>
      </w:hyperlink>
      <w:r>
        <w:t xml:space="preserve"> </w:t>
      </w:r>
      <w:hyperlink r:id="rId23">
        <w:r>
          <w:rPr>
            <w:rStyle w:val="Hyperlink"/>
          </w:rPr>
          <w:t xml:space="preserve">[21]</w:t>
        </w:r>
      </w:hyperlink>
      <w:r>
        <w:t xml:space="preserve"> </w:t>
      </w:r>
      <w:hyperlink r:id="rId23">
        <w:r>
          <w:rPr>
            <w:rStyle w:val="Hyperlink"/>
          </w:rPr>
          <w:t xml:space="preserve">[49]</w:t>
        </w:r>
      </w:hyperlink>
      <w:r>
        <w:t xml:space="preserve"> </w:t>
      </w:r>
      <w:r>
        <w:t xml:space="preserve">Filing Prior Notice of Imported Foods</w:t>
      </w:r>
    </w:p>
    <w:p>
      <w:pPr>
        <w:pStyle w:val="BodyText"/>
      </w:pPr>
      <w:hyperlink r:id="rId23">
        <w:r>
          <w:rPr>
            <w:rStyle w:val="Hyperlink"/>
          </w:rPr>
          <w:t xml:space="preserve">https://www.fda.gov/industry/prior-notice-imported-foods/filing-prior-notice-imported-foods?utm_source=chatgpt.com</w:t>
        </w:r>
      </w:hyperlink>
    </w:p>
    <w:p>
      <w:pPr>
        <w:pStyle w:val="BodyText"/>
      </w:pPr>
      <w:hyperlink r:id="rId24">
        <w:r>
          <w:rPr>
            <w:rStyle w:val="Hyperlink"/>
          </w:rPr>
          <w:t xml:space="preserve">[5]</w:t>
        </w:r>
      </w:hyperlink>
      <w:r>
        <w:t xml:space="preserve"> </w:t>
      </w:r>
      <w:hyperlink r:id="rId24">
        <w:r>
          <w:rPr>
            <w:rStyle w:val="Hyperlink"/>
          </w:rPr>
          <w:t xml:space="preserve">[15]</w:t>
        </w:r>
      </w:hyperlink>
      <w:r>
        <w:t xml:space="preserve"> </w:t>
      </w:r>
      <w:hyperlink r:id="rId24">
        <w:r>
          <w:rPr>
            <w:rStyle w:val="Hyperlink"/>
          </w:rPr>
          <w:t xml:space="preserve">[26]</w:t>
        </w:r>
      </w:hyperlink>
      <w:r>
        <w:t xml:space="preserve"> </w:t>
      </w:r>
      <w:hyperlink r:id="rId24">
        <w:r>
          <w:rPr>
            <w:rStyle w:val="Hyperlink"/>
          </w:rPr>
          <w:t xml:space="preserve">[37]</w:t>
        </w:r>
      </w:hyperlink>
      <w:r>
        <w:t xml:space="preserve"> </w:t>
      </w:r>
      <w:hyperlink r:id="rId24">
        <w:r>
          <w:rPr>
            <w:rStyle w:val="Hyperlink"/>
          </w:rPr>
          <w:t xml:space="preserve">[39]</w:t>
        </w:r>
      </w:hyperlink>
      <w:r>
        <w:t xml:space="preserve"> </w:t>
      </w:r>
      <w:hyperlink r:id="rId24">
        <w:r>
          <w:rPr>
            <w:rStyle w:val="Hyperlink"/>
          </w:rPr>
          <w:t xml:space="preserve">[46]</w:t>
        </w:r>
      </w:hyperlink>
      <w:r>
        <w:t xml:space="preserve"> </w:t>
      </w:r>
      <w:r>
        <w:t xml:space="preserve">Regulation (EU) No 1169/2011 of the European Parliament ...</w:t>
      </w:r>
    </w:p>
    <w:p>
      <w:pPr>
        <w:pStyle w:val="BodyText"/>
      </w:pPr>
      <w:hyperlink r:id="rId24">
        <w:r>
          <w:rPr>
            <w:rStyle w:val="Hyperlink"/>
          </w:rPr>
          <w:t xml:space="preserve">https://www.legislation.gov.uk/eur/2011/1169/article/8?utm_source=chatgpt.com</w:t>
        </w:r>
      </w:hyperlink>
    </w:p>
    <w:p>
      <w:pPr>
        <w:pStyle w:val="BodyText"/>
      </w:pPr>
      <w:hyperlink r:id="rId25">
        <w:r>
          <w:rPr>
            <w:rStyle w:val="Hyperlink"/>
          </w:rPr>
          <w:t xml:space="preserve">[6]</w:t>
        </w:r>
      </w:hyperlink>
      <w:r>
        <w:t xml:space="preserve"> </w:t>
      </w:r>
      <w:hyperlink r:id="rId25">
        <w:r>
          <w:rPr>
            <w:rStyle w:val="Hyperlink"/>
          </w:rPr>
          <w:t xml:space="preserve">[32]</w:t>
        </w:r>
      </w:hyperlink>
      <w:r>
        <w:t xml:space="preserve"> </w:t>
      </w:r>
      <w:hyperlink r:id="rId25">
        <w:r>
          <w:rPr>
            <w:rStyle w:val="Hyperlink"/>
          </w:rPr>
          <w:t xml:space="preserve">[52]</w:t>
        </w:r>
      </w:hyperlink>
      <w:r>
        <w:t xml:space="preserve"> </w:t>
      </w:r>
      <w:hyperlink r:id="rId25">
        <w:r>
          <w:rPr>
            <w:rStyle w:val="Hyperlink"/>
          </w:rPr>
          <w:t xml:space="preserve">[56]</w:t>
        </w:r>
      </w:hyperlink>
      <w:r>
        <w:t xml:space="preserve"> </w:t>
      </w:r>
      <w:hyperlink r:id="rId25">
        <w:r>
          <w:rPr>
            <w:rStyle w:val="Hyperlink"/>
          </w:rPr>
          <w:t xml:space="preserve">[62]</w:t>
        </w:r>
      </w:hyperlink>
      <w:r>
        <w:t xml:space="preserve"> </w:t>
      </w:r>
      <w:r>
        <w:t xml:space="preserve">Regulation (EU) 2023/1115 Of the European Parliament and ...</w:t>
      </w:r>
    </w:p>
    <w:p>
      <w:pPr>
        <w:pStyle w:val="BodyText"/>
      </w:pPr>
      <w:hyperlink r:id="rId25">
        <w:r>
          <w:rPr>
            <w:rStyle w:val="Hyperlink"/>
          </w:rPr>
          <w:t xml:space="preserve">https://eur-lex.europa.eu/legal-content/EN/TXT/PDF/?uri=CELEX%3A32023R1115&amp;utm_source=chatgpt.com</w:t>
        </w:r>
      </w:hyperlink>
    </w:p>
    <w:p>
      <w:pPr>
        <w:pStyle w:val="BodyText"/>
      </w:pPr>
      <w:hyperlink r:id="rId27">
        <w:r>
          <w:rPr>
            <w:rStyle w:val="Hyperlink"/>
          </w:rPr>
          <w:t xml:space="preserve">[8]</w:t>
        </w:r>
      </w:hyperlink>
      <w:r>
        <w:t xml:space="preserve"> </w:t>
      </w:r>
      <w:hyperlink r:id="rId27">
        <w:r>
          <w:rPr>
            <w:rStyle w:val="Hyperlink"/>
          </w:rPr>
          <w:t xml:space="preserve">[9]</w:t>
        </w:r>
      </w:hyperlink>
      <w:r>
        <w:t xml:space="preserve"> </w:t>
      </w:r>
      <w:hyperlink r:id="rId27">
        <w:r>
          <w:rPr>
            <w:rStyle w:val="Hyperlink"/>
          </w:rPr>
          <w:t xml:space="preserve">[12]</w:t>
        </w:r>
      </w:hyperlink>
      <w:r>
        <w:t xml:space="preserve"> </w:t>
      </w:r>
      <w:hyperlink r:id="rId27">
        <w:r>
          <w:rPr>
            <w:rStyle w:val="Hyperlink"/>
          </w:rPr>
          <w:t xml:space="preserve">[35]</w:t>
        </w:r>
      </w:hyperlink>
      <w:r>
        <w:t xml:space="preserve"> </w:t>
      </w:r>
      <w:hyperlink r:id="rId27">
        <w:r>
          <w:rPr>
            <w:rStyle w:val="Hyperlink"/>
          </w:rPr>
          <w:t xml:space="preserve">[36]</w:t>
        </w:r>
      </w:hyperlink>
      <w:r>
        <w:t xml:space="preserve"> </w:t>
      </w:r>
      <w:r>
        <w:t xml:space="preserve">coffeeboard.gov.in</w:t>
      </w:r>
    </w:p>
    <w:p>
      <w:pPr>
        <w:pStyle w:val="BodyText"/>
      </w:pPr>
      <w:hyperlink r:id="rId27">
        <w:r>
          <w:rPr>
            <w:rStyle w:val="Hyperlink"/>
          </w:rPr>
          <w:t xml:space="preserve">https://coffeeboard.gov.in/Indian%20Coffee/coffee%20karma.pdf</w:t>
        </w:r>
      </w:hyperlink>
    </w:p>
    <w:p>
      <w:pPr>
        <w:pStyle w:val="BodyText"/>
      </w:pPr>
      <w:hyperlink r:id="rId31">
        <w:r>
          <w:rPr>
            <w:rStyle w:val="Hyperlink"/>
          </w:rPr>
          <w:t xml:space="preserve">[16]</w:t>
        </w:r>
      </w:hyperlink>
      <w:r>
        <w:t xml:space="preserve"> </w:t>
      </w:r>
      <w:hyperlink r:id="rId31">
        <w:r>
          <w:rPr>
            <w:rStyle w:val="Hyperlink"/>
          </w:rPr>
          <w:t xml:space="preserve">[60]</w:t>
        </w:r>
      </w:hyperlink>
      <w:r>
        <w:t xml:space="preserve"> </w:t>
      </w:r>
      <w:r>
        <w:t xml:space="preserve">Indian Coffee Sustainability Standard Certification Scheme. ...</w:t>
      </w:r>
    </w:p>
    <w:p>
      <w:pPr>
        <w:pStyle w:val="BodyText"/>
      </w:pPr>
      <w:hyperlink r:id="rId31">
        <w:r>
          <w:rPr>
            <w:rStyle w:val="Hyperlink"/>
          </w:rPr>
          <w:t xml:space="preserve">https://coffeeboard.gov.in/Indian%20Coffee/Indian%20Coffee%20Sustainability%20Standard%20%20Certification%20Scheme.pdf?utm_source=chatgpt.com</w:t>
        </w:r>
      </w:hyperlink>
    </w:p>
    <w:p>
      <w:pPr>
        <w:pStyle w:val="BodyText"/>
      </w:pPr>
      <w:hyperlink r:id="rId33">
        <w:r>
          <w:rPr>
            <w:rStyle w:val="Hyperlink"/>
          </w:rPr>
          <w:t xml:space="preserve">[18]</w:t>
        </w:r>
      </w:hyperlink>
      <w:r>
        <w:t xml:space="preserve"> </w:t>
      </w:r>
      <w:hyperlink r:id="rId33">
        <w:r>
          <w:rPr>
            <w:rStyle w:val="Hyperlink"/>
          </w:rPr>
          <w:t xml:space="preserve">[31]</w:t>
        </w:r>
      </w:hyperlink>
      <w:r>
        <w:t xml:space="preserve"> </w:t>
      </w:r>
      <w:hyperlink r:id="rId33">
        <w:r>
          <w:rPr>
            <w:rStyle w:val="Hyperlink"/>
          </w:rPr>
          <w:t xml:space="preserve">[43]</w:t>
        </w:r>
      </w:hyperlink>
      <w:r>
        <w:t xml:space="preserve"> </w:t>
      </w:r>
      <w:hyperlink r:id="rId33">
        <w:r>
          <w:rPr>
            <w:rStyle w:val="Hyperlink"/>
          </w:rPr>
          <w:t xml:space="preserve">[45]</w:t>
        </w:r>
      </w:hyperlink>
      <w:r>
        <w:t xml:space="preserve"> </w:t>
      </w:r>
      <w:r>
        <w:t xml:space="preserve">vat-one-stop-shop.ec.europa.eu</w:t>
      </w:r>
    </w:p>
    <w:p>
      <w:pPr>
        <w:pStyle w:val="BodyText"/>
      </w:pPr>
      <w:hyperlink r:id="rId33">
        <w:r>
          <w:rPr>
            <w:rStyle w:val="Hyperlink"/>
          </w:rPr>
          <w:t xml:space="preserve">https://vat-one-stop-shop.ec.europa.eu/system/files/2022-01/guidance_on_import_and_export_of_low_value_consignments_en.pdf</w:t>
        </w:r>
      </w:hyperlink>
    </w:p>
    <w:p>
      <w:pPr>
        <w:pStyle w:val="BodyText"/>
      </w:pPr>
      <w:hyperlink r:id="rId34">
        <w:r>
          <w:rPr>
            <w:rStyle w:val="Hyperlink"/>
          </w:rPr>
          <w:t xml:space="preserve">[19]</w:t>
        </w:r>
      </w:hyperlink>
      <w:r>
        <w:t xml:space="preserve"> </w:t>
      </w:r>
      <w:r>
        <w:t xml:space="preserve">Economic Operators Registration and Identification number ...</w:t>
      </w:r>
    </w:p>
    <w:p>
      <w:pPr>
        <w:pStyle w:val="BodyText"/>
      </w:pPr>
      <w:hyperlink r:id="rId34">
        <w:r>
          <w:rPr>
            <w:rStyle w:val="Hyperlink"/>
          </w:rPr>
          <w:t xml:space="preserve">https://taxation-customs.ec.europa.eu/customs/customs-procedures-import-and-export/customs-operations/economic-operators-registration-and-identification-number-eori_en?utm_source=chatgpt.com</w:t>
        </w:r>
      </w:hyperlink>
    </w:p>
    <w:p>
      <w:pPr>
        <w:pStyle w:val="BodyText"/>
      </w:pPr>
      <w:hyperlink r:id="rId37">
        <w:r>
          <w:rPr>
            <w:rStyle w:val="Hyperlink"/>
          </w:rPr>
          <w:t xml:space="preserve">[22]</w:t>
        </w:r>
      </w:hyperlink>
      <w:r>
        <w:t xml:space="preserve"> </w:t>
      </w:r>
      <w:r>
        <w:t xml:space="preserve">FSMA Final Rule on FSVP for Imports</w:t>
      </w:r>
    </w:p>
    <w:p>
      <w:pPr>
        <w:pStyle w:val="BodyText"/>
      </w:pPr>
      <w:hyperlink r:id="rId37">
        <w:r>
          <w:rPr>
            <w:rStyle w:val="Hyperlink"/>
          </w:rPr>
          <w:t xml:space="preserve">https://www.fda.gov/food/food-safety-modernization-act-fsma/fsma-final-rule-foreign-supplier-verification-programs-fsvp-importers-food-humans-and-animals?utm_source=chatgpt.com</w:t>
        </w:r>
      </w:hyperlink>
    </w:p>
    <w:p>
      <w:pPr>
        <w:pStyle w:val="BodyText"/>
      </w:pPr>
      <w:hyperlink r:id="rId39">
        <w:r>
          <w:rPr>
            <w:rStyle w:val="Hyperlink"/>
          </w:rPr>
          <w:t xml:space="preserve">[23]</w:t>
        </w:r>
      </w:hyperlink>
      <w:r>
        <w:t xml:space="preserve"> </w:t>
      </w:r>
      <w:hyperlink r:id="rId39">
        <w:r>
          <w:rPr>
            <w:rStyle w:val="Hyperlink"/>
          </w:rPr>
          <w:t xml:space="preserve">[24]</w:t>
        </w:r>
      </w:hyperlink>
      <w:r>
        <w:t xml:space="preserve"> </w:t>
      </w:r>
      <w:hyperlink r:id="rId39">
        <w:r>
          <w:rPr>
            <w:rStyle w:val="Hyperlink"/>
          </w:rPr>
          <w:t xml:space="preserve">[53]</w:t>
        </w:r>
      </w:hyperlink>
      <w:r>
        <w:t xml:space="preserve"> </w:t>
      </w:r>
      <w:hyperlink r:id="rId39">
        <w:r>
          <w:rPr>
            <w:rStyle w:val="Hyperlink"/>
          </w:rPr>
          <w:t xml:space="preserve">[59]</w:t>
        </w:r>
      </w:hyperlink>
      <w:r>
        <w:t xml:space="preserve"> </w:t>
      </w:r>
      <w:r>
        <w:t xml:space="preserve">Regulation (EC) No 178/2002 of the European Parliament ...</w:t>
      </w:r>
    </w:p>
    <w:p>
      <w:pPr>
        <w:pStyle w:val="BodyText"/>
      </w:pPr>
      <w:hyperlink r:id="rId39">
        <w:r>
          <w:rPr>
            <w:rStyle w:val="Hyperlink"/>
          </w:rPr>
          <w:t xml:space="preserve">https://www.legislation.gov.uk/eur/2002/178/article/18?utm_source=chatgpt.com</w:t>
        </w:r>
      </w:hyperlink>
    </w:p>
    <w:p>
      <w:pPr>
        <w:pStyle w:val="BodyText"/>
      </w:pPr>
      <w:hyperlink r:id="rId40">
        <w:r>
          <w:rPr>
            <w:rStyle w:val="Hyperlink"/>
          </w:rPr>
          <w:t xml:space="preserve">[25]</w:t>
        </w:r>
      </w:hyperlink>
      <w:r>
        <w:t xml:space="preserve"> </w:t>
      </w:r>
      <w:r>
        <w:t xml:space="preserve">Regulation (EC) No. 852/2004, Article 5</w:t>
      </w:r>
    </w:p>
    <w:p>
      <w:pPr>
        <w:pStyle w:val="BodyText"/>
      </w:pPr>
      <w:hyperlink r:id="rId40">
        <w:r>
          <w:rPr>
            <w:rStyle w:val="Hyperlink"/>
          </w:rPr>
          <w:t xml:space="preserve">https://www.legislation.gov.uk/eur/2004/852/article/5?utm_source=chatgpt.com</w:t>
        </w:r>
      </w:hyperlink>
    </w:p>
    <w:p>
      <w:pPr>
        <w:pStyle w:val="BodyText"/>
      </w:pPr>
      <w:hyperlink r:id="rId41">
        <w:r>
          <w:rPr>
            <w:rStyle w:val="Hyperlink"/>
          </w:rPr>
          <w:t xml:space="preserve">[27]</w:t>
        </w:r>
      </w:hyperlink>
      <w:r>
        <w:t xml:space="preserve"> </w:t>
      </w:r>
      <w:r>
        <w:t xml:space="preserve">Regulation - EU - 2017/625 - EN - EUR-Lex</w:t>
      </w:r>
    </w:p>
    <w:p>
      <w:pPr>
        <w:pStyle w:val="BodyText"/>
      </w:pPr>
      <w:hyperlink r:id="rId41">
        <w:r>
          <w:rPr>
            <w:rStyle w:val="Hyperlink"/>
          </w:rPr>
          <w:t xml:space="preserve">https://eur-lex.europa.eu/eli/reg/2017/625/oj/eng?utm_source=chatgpt.com</w:t>
        </w:r>
      </w:hyperlink>
    </w:p>
    <w:p>
      <w:pPr>
        <w:pStyle w:val="BodyText"/>
      </w:pPr>
      <w:hyperlink r:id="rId42">
        <w:r>
          <w:rPr>
            <w:rStyle w:val="Hyperlink"/>
          </w:rPr>
          <w:t xml:space="preserve">[28]</w:t>
        </w:r>
      </w:hyperlink>
      <w:r>
        <w:t xml:space="preserve"> </w:t>
      </w:r>
      <w:r>
        <w:t xml:space="preserve">Import controls of food and feed Q&amp;As</w:t>
      </w:r>
    </w:p>
    <w:p>
      <w:pPr>
        <w:pStyle w:val="BodyText"/>
      </w:pPr>
      <w:hyperlink r:id="rId42">
        <w:r>
          <w:rPr>
            <w:rStyle w:val="Hyperlink"/>
          </w:rPr>
          <w:t xml:space="preserve">https://food.ec.europa.eu/horizontal-topics/official-controls-and-enforcement/import-controls-food-and-feed-qas_en?utm_source=chatgpt.com</w:t>
        </w:r>
      </w:hyperlink>
    </w:p>
    <w:p>
      <w:pPr>
        <w:pStyle w:val="BodyText"/>
      </w:pPr>
      <w:hyperlink r:id="rId43">
        <w:r>
          <w:rPr>
            <w:rStyle w:val="Hyperlink"/>
          </w:rPr>
          <w:t xml:space="preserve">[29]</w:t>
        </w:r>
      </w:hyperlink>
      <w:r>
        <w:t xml:space="preserve"> </w:t>
      </w:r>
      <w:r>
        <w:t xml:space="preserve">Guide for import of goods | Access2Markets</w:t>
      </w:r>
    </w:p>
    <w:p>
      <w:pPr>
        <w:pStyle w:val="BodyText"/>
      </w:pPr>
      <w:hyperlink r:id="rId43">
        <w:r>
          <w:rPr>
            <w:rStyle w:val="Hyperlink"/>
          </w:rPr>
          <w:t xml:space="preserve">https://trade.ec.europa.eu/access-to-markets/en/content/guide-import-goods?utm_source=chatgpt.com</w:t>
        </w:r>
      </w:hyperlink>
    </w:p>
    <w:p>
      <w:pPr>
        <w:pStyle w:val="BodyText"/>
      </w:pPr>
      <w:hyperlink r:id="rId45">
        <w:r>
          <w:rPr>
            <w:rStyle w:val="Hyperlink"/>
          </w:rPr>
          <w:t xml:space="preserve">[30]</w:t>
        </w:r>
      </w:hyperlink>
      <w:r>
        <w:t xml:space="preserve"> </w:t>
      </w:r>
      <w:hyperlink r:id="rId45">
        <w:r>
          <w:rPr>
            <w:rStyle w:val="Hyperlink"/>
          </w:rPr>
          <w:t xml:space="preserve">[41]</w:t>
        </w:r>
      </w:hyperlink>
      <w:r>
        <w:t xml:space="preserve"> </w:t>
      </w:r>
      <w:r>
        <w:t xml:space="preserve">VAT e-Commerce - One Stop Shop - European Union</w:t>
      </w:r>
    </w:p>
    <w:p>
      <w:pPr>
        <w:pStyle w:val="BodyText"/>
      </w:pPr>
      <w:hyperlink r:id="rId45">
        <w:r>
          <w:rPr>
            <w:rStyle w:val="Hyperlink"/>
          </w:rPr>
          <w:t xml:space="preserve">https://vat-one-stop-shop.ec.europa.eu/index_en?utm_source=chatgpt.com</w:t>
        </w:r>
      </w:hyperlink>
    </w:p>
    <w:p>
      <w:pPr>
        <w:pStyle w:val="BodyText"/>
      </w:pPr>
      <w:hyperlink r:id="rId47">
        <w:r>
          <w:rPr>
            <w:rStyle w:val="Hyperlink"/>
          </w:rPr>
          <w:t xml:space="preserve">[33]</w:t>
        </w:r>
      </w:hyperlink>
      <w:r>
        <w:t xml:space="preserve"> </w:t>
      </w:r>
      <w:hyperlink r:id="rId47">
        <w:r>
          <w:rPr>
            <w:rStyle w:val="Hyperlink"/>
          </w:rPr>
          <w:t xml:space="preserve">[34]</w:t>
        </w:r>
      </w:hyperlink>
      <w:r>
        <w:t xml:space="preserve"> </w:t>
      </w:r>
      <w:hyperlink r:id="rId47">
        <w:r>
          <w:rPr>
            <w:rStyle w:val="Hyperlink"/>
          </w:rPr>
          <w:t xml:space="preserve">[50]</w:t>
        </w:r>
      </w:hyperlink>
      <w:r>
        <w:t xml:space="preserve"> </w:t>
      </w:r>
      <w:hyperlink r:id="rId47">
        <w:r>
          <w:rPr>
            <w:rStyle w:val="Hyperlink"/>
          </w:rPr>
          <w:t xml:space="preserve">[64]</w:t>
        </w:r>
      </w:hyperlink>
      <w:r>
        <w:t xml:space="preserve"> </w:t>
      </w:r>
      <w:r>
        <w:t xml:space="preserve">Delay until December 2026 and other developments in the ...</w:t>
      </w:r>
    </w:p>
    <w:p>
      <w:pPr>
        <w:pStyle w:val="BodyText"/>
      </w:pPr>
      <w:hyperlink r:id="rId47">
        <w:r>
          <w:rPr>
            <w:rStyle w:val="Hyperlink"/>
          </w:rPr>
          <w:t xml:space="preserve">https://trade.ec.europa.eu/access-to-markets/en/news/delay-until-december-2026-and-other-developments-implementation-eudr-regulation?utm_source=chatgpt.com</w:t>
        </w:r>
      </w:hyperlink>
    </w:p>
    <w:p>
      <w:pPr>
        <w:pStyle w:val="BodyText"/>
      </w:pPr>
      <w:hyperlink r:id="rId51">
        <w:r>
          <w:rPr>
            <w:rStyle w:val="Hyperlink"/>
          </w:rPr>
          <w:t xml:space="preserve">[38]</w:t>
        </w:r>
      </w:hyperlink>
      <w:r>
        <w:t xml:space="preserve"> </w:t>
      </w:r>
      <w:r>
        <w:t xml:space="preserve">Regulation (EC) No 178/2002 of the European Parliament ...</w:t>
      </w:r>
    </w:p>
    <w:p>
      <w:pPr>
        <w:pStyle w:val="BodyText"/>
      </w:pPr>
      <w:hyperlink r:id="rId51">
        <w:r>
          <w:rPr>
            <w:rStyle w:val="Hyperlink"/>
          </w:rPr>
          <w:t xml:space="preserve">https://www.legislation.gov.uk/eur/2002/178/article/19?utm_source=chatgpt.com</w:t>
        </w:r>
      </w:hyperlink>
    </w:p>
    <w:p>
      <w:pPr>
        <w:pStyle w:val="BodyText"/>
      </w:pPr>
      <w:hyperlink r:id="rId55">
        <w:r>
          <w:rPr>
            <w:rStyle w:val="Hyperlink"/>
          </w:rPr>
          <w:t xml:space="preserve">[42]</w:t>
        </w:r>
      </w:hyperlink>
      <w:r>
        <w:t xml:space="preserve"> </w:t>
      </w:r>
      <w:r>
        <w:t xml:space="preserve">Incoterms® rules - ICC - International Chamber of Commerce</w:t>
      </w:r>
    </w:p>
    <w:p>
      <w:pPr>
        <w:pStyle w:val="BodyText"/>
      </w:pPr>
      <w:hyperlink r:id="rId55">
        <w:r>
          <w:rPr>
            <w:rStyle w:val="Hyperlink"/>
          </w:rPr>
          <w:t xml:space="preserve">https://iccwbo.org/business-solutions/incoterms-rules/?utm_source=chatgpt.com</w:t>
        </w:r>
      </w:hyperlink>
    </w:p>
    <w:p>
      <w:pPr>
        <w:pStyle w:val="BodyText"/>
      </w:pPr>
      <w:hyperlink r:id="rId61">
        <w:r>
          <w:rPr>
            <w:rStyle w:val="Hyperlink"/>
          </w:rPr>
          <w:t xml:space="preserve">[51]</w:t>
        </w:r>
      </w:hyperlink>
      <w:r>
        <w:t xml:space="preserve"> </w:t>
      </w:r>
      <w:r>
        <w:t xml:space="preserve">E-commerce: 150 EUR customs duty exemption threshold to be removed as of 2026 - Taxation and Customs Union</w:t>
      </w:r>
    </w:p>
    <w:p>
      <w:pPr>
        <w:pStyle w:val="BodyText"/>
      </w:pPr>
      <w:hyperlink r:id="rId61">
        <w:r>
          <w:rPr>
            <w:rStyle w:val="Hyperlink"/>
          </w:rPr>
          <w:t xml:space="preserve">https://taxation-customs.ec.europa.eu/news/e-commerce-150-eur-customs-duty-exemption-threshold-be-removed-2026-2025-11-13_en</w:t>
        </w:r>
      </w:hyperlink>
    </w:p>
    <w:p>
      <w:pPr>
        <w:pStyle w:val="BodyText"/>
      </w:pPr>
      <w:hyperlink r:id="rId66">
        <w:r>
          <w:rPr>
            <w:rStyle w:val="Hyperlink"/>
          </w:rPr>
          <w:t xml:space="preserve">[57]</w:t>
        </w:r>
      </w:hyperlink>
      <w:r>
        <w:t xml:space="preserve"> </w:t>
      </w:r>
      <w:r>
        <w:t xml:space="preserve">coffeeboard.gov.in</w:t>
      </w:r>
    </w:p>
    <w:p>
      <w:pPr>
        <w:pStyle w:val="BodyText"/>
      </w:pPr>
      <w:hyperlink r:id="rId66">
        <w:r>
          <w:rPr>
            <w:rStyle w:val="Hyperlink"/>
          </w:rPr>
          <w:t xml:space="preserve">https://coffeeboard.gov.in/Indian%20Coffee/Digitally_signed_ICO.pdf</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offeeboard.gov.in/Exporter.aspx" TargetMode="External" /><Relationship Type="http://schemas.openxmlformats.org/officeDocument/2006/relationships/hyperlink" Id="rId66" Target="https://coffeeboard.gov.in/Indian%20Coffee/Digitally_signed_ICO.pdf" TargetMode="External" /><Relationship Type="http://schemas.openxmlformats.org/officeDocument/2006/relationships/hyperlink" Id="rId31" Target="https://coffeeboard.gov.in/Indian%20Coffee/Indian%20Coffee%20Sustainability%20Standard%20%20Certification%20Scheme.pdf?utm_source=chatgpt.com" TargetMode="External" /><Relationship Type="http://schemas.openxmlformats.org/officeDocument/2006/relationships/hyperlink" Id="rId27" Target="https://coffeeboard.gov.in/Indian%20Coffee/coffee%20karma.pdf" TargetMode="External" /><Relationship Type="http://schemas.openxmlformats.org/officeDocument/2006/relationships/hyperlink" Id="rId41" Target="https://eur-lex.europa.eu/eli/reg/2017/625/oj/eng?utm_source=chatgpt.com" TargetMode="External" /><Relationship Type="http://schemas.openxmlformats.org/officeDocument/2006/relationships/hyperlink" Id="rId25" Target="https://eur-lex.europa.eu/legal-content/EN/TXT/PDF/?uri=CELEX%3A32023R1115&amp;utm_source=chatgpt.com" TargetMode="External" /><Relationship Type="http://schemas.openxmlformats.org/officeDocument/2006/relationships/hyperlink" Id="rId42" Target="https://food.ec.europa.eu/horizontal-topics/official-controls-and-enforcement/import-controls-food-and-feed-qas_en?utm_source=chatgpt.com" TargetMode="External" /><Relationship Type="http://schemas.openxmlformats.org/officeDocument/2006/relationships/hyperlink" Id="rId55" Target="https://iccwbo.org/business-solutions/incoterms-rules/?utm_source=chatgpt.com" TargetMode="External" /><Relationship Type="http://schemas.openxmlformats.org/officeDocument/2006/relationships/hyperlink" Id="rId34" Target="https://taxation-customs.ec.europa.eu/customs/customs-procedures-import-and-export/customs-operations/economic-operators-registration-and-identification-number-eori_en?utm_source=chatgpt.com" TargetMode="External" /><Relationship Type="http://schemas.openxmlformats.org/officeDocument/2006/relationships/hyperlink" Id="rId61" Target="https://taxation-customs.ec.europa.eu/news/e-commerce-150-eur-customs-duty-exemption-threshold-be-removed-2026-2025-11-13_en" TargetMode="External" /><Relationship Type="http://schemas.openxmlformats.org/officeDocument/2006/relationships/hyperlink" Id="rId43" Target="https://trade.ec.europa.eu/access-to-markets/en/content/guide-import-goods?utm_source=chatgpt.com" TargetMode="External" /><Relationship Type="http://schemas.openxmlformats.org/officeDocument/2006/relationships/hyperlink" Id="rId47" Target="https://trade.ec.europa.eu/access-to-markets/en/news/delay-until-december-2026-and-other-developments-implementation-eudr-regulation?utm_source=chatgpt.com" TargetMode="External" /><Relationship Type="http://schemas.openxmlformats.org/officeDocument/2006/relationships/hyperlink" Id="rId45" Target="https://vat-one-stop-shop.ec.europa.eu/index_en?utm_source=chatgpt.com" TargetMode="External" /><Relationship Type="http://schemas.openxmlformats.org/officeDocument/2006/relationships/hyperlink" Id="rId33" Target="https://vat-one-stop-shop.ec.europa.eu/system/files/2022-01/guidance_on_import_and_export_of_low_value_consignments_en.pdf" TargetMode="External" /><Relationship Type="http://schemas.openxmlformats.org/officeDocument/2006/relationships/hyperlink" Id="rId21" Target="https://www.fda.gov/food/food-safety-modernization-act-fsma/final-rule-foreign-supplier-verification-programs-fsvp-glance?utm_source=chatgpt.com" TargetMode="External" /><Relationship Type="http://schemas.openxmlformats.org/officeDocument/2006/relationships/hyperlink" Id="rId37" Target="https://www.fda.gov/food/food-safety-modernization-act-fsma/fsma-final-rule-foreign-supplier-verification-programs-fsvp-importers-food-humans-and-animals?utm_source=chatgpt.com" TargetMode="External" /><Relationship Type="http://schemas.openxmlformats.org/officeDocument/2006/relationships/hyperlink" Id="rId23" Target="https://www.fda.gov/industry/prior-notice-imported-foods/filing-prior-notice-imported-foods?utm_source=chatgpt.com" TargetMode="External" /><Relationship Type="http://schemas.openxmlformats.org/officeDocument/2006/relationships/hyperlink" Id="rId39" Target="https://www.legislation.gov.uk/eur/2002/178/article/18?utm_source=chatgpt.com" TargetMode="External" /><Relationship Type="http://schemas.openxmlformats.org/officeDocument/2006/relationships/hyperlink" Id="rId51" Target="https://www.legislation.gov.uk/eur/2002/178/article/19?utm_source=chatgpt.com" TargetMode="External" /><Relationship Type="http://schemas.openxmlformats.org/officeDocument/2006/relationships/hyperlink" Id="rId40" Target="https://www.legislation.gov.uk/eur/2004/852/article/5?utm_source=chatgpt.com" TargetMode="External" /><Relationship Type="http://schemas.openxmlformats.org/officeDocument/2006/relationships/hyperlink" Id="rId24" Target="https://www.legislation.gov.uk/eur/2011/1169/article/8?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2" Target="https://coffeeboard.gov.in/Exporter.aspx" TargetMode="External" /><Relationship Type="http://schemas.openxmlformats.org/officeDocument/2006/relationships/hyperlink" Id="rId66" Target="https://coffeeboard.gov.in/Indian%20Coffee/Digitally_signed_ICO.pdf" TargetMode="External" /><Relationship Type="http://schemas.openxmlformats.org/officeDocument/2006/relationships/hyperlink" Id="rId31" Target="https://coffeeboard.gov.in/Indian%20Coffee/Indian%20Coffee%20Sustainability%20Standard%20%20Certification%20Scheme.pdf?utm_source=chatgpt.com" TargetMode="External" /><Relationship Type="http://schemas.openxmlformats.org/officeDocument/2006/relationships/hyperlink" Id="rId27" Target="https://coffeeboard.gov.in/Indian%20Coffee/coffee%20karma.pdf" TargetMode="External" /><Relationship Type="http://schemas.openxmlformats.org/officeDocument/2006/relationships/hyperlink" Id="rId41" Target="https://eur-lex.europa.eu/eli/reg/2017/625/oj/eng?utm_source=chatgpt.com" TargetMode="External" /><Relationship Type="http://schemas.openxmlformats.org/officeDocument/2006/relationships/hyperlink" Id="rId25" Target="https://eur-lex.europa.eu/legal-content/EN/TXT/PDF/?uri=CELEX%3A32023R1115&amp;utm_source=chatgpt.com" TargetMode="External" /><Relationship Type="http://schemas.openxmlformats.org/officeDocument/2006/relationships/hyperlink" Id="rId42" Target="https://food.ec.europa.eu/horizontal-topics/official-controls-and-enforcement/import-controls-food-and-feed-qas_en?utm_source=chatgpt.com" TargetMode="External" /><Relationship Type="http://schemas.openxmlformats.org/officeDocument/2006/relationships/hyperlink" Id="rId55" Target="https://iccwbo.org/business-solutions/incoterms-rules/?utm_source=chatgpt.com" TargetMode="External" /><Relationship Type="http://schemas.openxmlformats.org/officeDocument/2006/relationships/hyperlink" Id="rId34" Target="https://taxation-customs.ec.europa.eu/customs/customs-procedures-import-and-export/customs-operations/economic-operators-registration-and-identification-number-eori_en?utm_source=chatgpt.com" TargetMode="External" /><Relationship Type="http://schemas.openxmlformats.org/officeDocument/2006/relationships/hyperlink" Id="rId61" Target="https://taxation-customs.ec.europa.eu/news/e-commerce-150-eur-customs-duty-exemption-threshold-be-removed-2026-2025-11-13_en" TargetMode="External" /><Relationship Type="http://schemas.openxmlformats.org/officeDocument/2006/relationships/hyperlink" Id="rId43" Target="https://trade.ec.europa.eu/access-to-markets/en/content/guide-import-goods?utm_source=chatgpt.com" TargetMode="External" /><Relationship Type="http://schemas.openxmlformats.org/officeDocument/2006/relationships/hyperlink" Id="rId47" Target="https://trade.ec.europa.eu/access-to-markets/en/news/delay-until-december-2026-and-other-developments-implementation-eudr-regulation?utm_source=chatgpt.com" TargetMode="External" /><Relationship Type="http://schemas.openxmlformats.org/officeDocument/2006/relationships/hyperlink" Id="rId45" Target="https://vat-one-stop-shop.ec.europa.eu/index_en?utm_source=chatgpt.com" TargetMode="External" /><Relationship Type="http://schemas.openxmlformats.org/officeDocument/2006/relationships/hyperlink" Id="rId33" Target="https://vat-one-stop-shop.ec.europa.eu/system/files/2022-01/guidance_on_import_and_export_of_low_value_consignments_en.pdf" TargetMode="External" /><Relationship Type="http://schemas.openxmlformats.org/officeDocument/2006/relationships/hyperlink" Id="rId21" Target="https://www.fda.gov/food/food-safety-modernization-act-fsma/final-rule-foreign-supplier-verification-programs-fsvp-glance?utm_source=chatgpt.com" TargetMode="External" /><Relationship Type="http://schemas.openxmlformats.org/officeDocument/2006/relationships/hyperlink" Id="rId37" Target="https://www.fda.gov/food/food-safety-modernization-act-fsma/fsma-final-rule-foreign-supplier-verification-programs-fsvp-importers-food-humans-and-animals?utm_source=chatgpt.com" TargetMode="External" /><Relationship Type="http://schemas.openxmlformats.org/officeDocument/2006/relationships/hyperlink" Id="rId23" Target="https://www.fda.gov/industry/prior-notice-imported-foods/filing-prior-notice-imported-foods?utm_source=chatgpt.com" TargetMode="External" /><Relationship Type="http://schemas.openxmlformats.org/officeDocument/2006/relationships/hyperlink" Id="rId39" Target="https://www.legislation.gov.uk/eur/2002/178/article/18?utm_source=chatgpt.com" TargetMode="External" /><Relationship Type="http://schemas.openxmlformats.org/officeDocument/2006/relationships/hyperlink" Id="rId51" Target="https://www.legislation.gov.uk/eur/2002/178/article/19?utm_source=chatgpt.com" TargetMode="External" /><Relationship Type="http://schemas.openxmlformats.org/officeDocument/2006/relationships/hyperlink" Id="rId40" Target="https://www.legislation.gov.uk/eur/2004/852/article/5?utm_source=chatgpt.com" TargetMode="External" /><Relationship Type="http://schemas.openxmlformats.org/officeDocument/2006/relationships/hyperlink" Id="rId24" Target="https://www.legislation.gov.uk/eur/2011/1169/article/8?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2026-03-17T00:43:25Z</dcterms:created>
  <dcterms:modified xsi:type="dcterms:W3CDTF">2026-03-17T00:43:25Z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