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7" w:name="content"/>
    <w:bookmarkStart w:id="86" w:name="Xeab739740416b4597246ad707d4911437a55262"/>
    <w:p>
      <w:pPr>
        <w:pStyle w:val="Heading1"/>
      </w:pPr>
      <w:r>
        <w:t xml:space="preserve">Product Requirements Document for an AI-Native Indian Coffee Company Serving US and EU Markets</w:t>
      </w:r>
    </w:p>
    <w:bookmarkStart w:id="27" w:name="executive-summary"/>
    <w:p>
      <w:pPr>
        <w:pStyle w:val="Heading2"/>
      </w:pPr>
      <w:r>
        <w:t xml:space="preserve">Executive summary</w:t>
      </w:r>
    </w:p>
    <w:p>
      <w:pPr>
        <w:pStyle w:val="FirstParagraph"/>
      </w:pPr>
      <w:r>
        <w:t xml:space="preserve">This PRD defines an AI-native coffee company that sells</w:t>
      </w:r>
      <w:r>
        <w:t xml:space="preserve"> </w:t>
      </w:r>
      <w:r>
        <w:rPr>
          <w:b/>
          <w:bCs/>
        </w:rPr>
        <w:t xml:space="preserve">physically shipped coffee sourced from India</w:t>
      </w:r>
      <w:r>
        <w:t xml:space="preserve"> </w:t>
      </w:r>
      <w:r>
        <w:t xml:space="preserve">while simultaneously building a</w:t>
      </w:r>
      <w:r>
        <w:t xml:space="preserve"> </w:t>
      </w:r>
      <w:r>
        <w:rPr>
          <w:b/>
          <w:bCs/>
        </w:rPr>
        <w:t xml:space="preserve">data and AI product layer</w:t>
      </w:r>
      <w:r>
        <w:t xml:space="preserve"> </w:t>
      </w:r>
      <w:r>
        <w:t xml:space="preserve">that improves quality, traceability, compliance readiness, personalization, and demand planning. The core thesis is “</w:t>
      </w:r>
      <w:r>
        <w:rPr>
          <w:b/>
          <w:bCs/>
        </w:rPr>
        <w:t xml:space="preserve">coffee as a premium physical product + coffee as a verified, queryable dataset</w:t>
      </w:r>
      <w:r>
        <w:t xml:space="preserve">,” creating advantage across brand trust, gross margin resilience, and enterprise partnerships.</w:t>
      </w:r>
    </w:p>
    <w:p>
      <w:pPr>
        <w:pStyle w:val="BodyText"/>
      </w:pPr>
      <w:r>
        <w:rPr>
          <w:b/>
          <w:bCs/>
        </w:rPr>
        <w:t xml:space="preserve">Key assumptions (explicit):</w:t>
      </w:r>
      <w:r>
        <w:br/>
      </w:r>
      <w:r>
        <w:t xml:space="preserve">The request does not specify go-to-market model or markets; therefore, this PRD assumes a</w:t>
      </w:r>
      <w:r>
        <w:t xml:space="preserve"> </w:t>
      </w:r>
      <w:r>
        <w:rPr>
          <w:b/>
          <w:bCs/>
        </w:rPr>
        <w:t xml:space="preserve">dual motion</w:t>
      </w:r>
      <w:r>
        <w:t xml:space="preserve"> </w:t>
      </w:r>
      <w:r>
        <w:t xml:space="preserve">(B2C + B2B) and</w:t>
      </w:r>
      <w:r>
        <w:t xml:space="preserve"> </w:t>
      </w:r>
      <w:r>
        <w:rPr>
          <w:b/>
          <w:bCs/>
        </w:rPr>
        <w:t xml:space="preserve">primary commercial markets in the US and EU</w:t>
      </w:r>
      <w:r>
        <w:t xml:space="preserve">. These assumptions are deliberately chosen because India’s coffee production and export structure is already EU-connected, and EU compliance trends (e.g., deforestation due diligence) raise the value of robust traceability and provenance data.</w:t>
      </w:r>
      <w:r>
        <w:t xml:space="preserve"> </w:t>
      </w:r>
      <w:hyperlink r:id="rId21">
        <w:r>
          <w:rPr>
            <w:rStyle w:val="Hyperlink"/>
          </w:rPr>
          <w:t xml:space="preserve">[1]</w:t>
        </w:r>
      </w:hyperlink>
    </w:p>
    <w:p>
      <w:pPr>
        <w:pStyle w:val="BodyText"/>
      </w:pPr>
      <w:r>
        <w:rPr>
          <w:b/>
          <w:bCs/>
        </w:rPr>
        <w:t xml:space="preserve">Strategic goal:</w:t>
      </w:r>
      <w:r>
        <w:t xml:space="preserve"> </w:t>
      </w:r>
      <w:r>
        <w:t xml:space="preserve">Launch a differentiated coffee brand built on</w:t>
      </w:r>
      <w:r>
        <w:t xml:space="preserve"> </w:t>
      </w:r>
      <w:r>
        <w:rPr>
          <w:b/>
          <w:bCs/>
        </w:rPr>
        <w:t xml:space="preserve">Indian specialty coffees and origin stories</w:t>
      </w:r>
      <w:r>
        <w:t xml:space="preserve"> </w:t>
      </w:r>
      <w:r>
        <w:t xml:space="preserve">(e.g., high-grown Arabicas; monsooned processing; robusta specialty grades) supported by consistent quality protocols and a first-party “lot ledger.” The Indian Coffee ecosystem provides unusually rich “region + variety + grade” framing and national-level sustainability/traceability initiatives (e.g., INDICOFS) that can be leveraged into product differentiation.</w:t>
      </w:r>
      <w:r>
        <w:t xml:space="preserve"> </w:t>
      </w:r>
      <w:hyperlink r:id="rId22">
        <w:r>
          <w:rPr>
            <w:rStyle w:val="Hyperlink"/>
          </w:rPr>
          <w:t xml:space="preserve">[2]</w:t>
        </w:r>
      </w:hyperlink>
    </w:p>
    <w:p>
      <w:pPr>
        <w:pStyle w:val="BodyText"/>
      </w:pPr>
      <w:r>
        <w:rPr>
          <w:b/>
          <w:bCs/>
        </w:rPr>
        <w:t xml:space="preserve">MVP recommendation (six months):</w:t>
      </w:r>
      <w:r>
        <w:t xml:space="preserve"> </w:t>
      </w:r>
      <w:r>
        <w:t xml:space="preserve">1.</w:t>
      </w:r>
      <w:r>
        <w:t xml:space="preserve"> </w:t>
      </w:r>
      <w:r>
        <w:rPr>
          <w:b/>
          <w:bCs/>
        </w:rPr>
        <w:t xml:space="preserve">Physical coffee line:</w:t>
      </w:r>
      <w:r>
        <w:t xml:space="preserve"> </w:t>
      </w:r>
      <w:r>
        <w:t xml:space="preserve">3–5 SKUs anchored in Indian regions and specialty preparations (details in Product scope).</w:t>
      </w:r>
      <w:r>
        <w:t xml:space="preserve"> </w:t>
      </w:r>
      <w:hyperlink r:id="rId22">
        <w:r>
          <w:rPr>
            <w:rStyle w:val="Hyperlink"/>
          </w:rPr>
          <w:t xml:space="preserve">[3]</w:t>
        </w:r>
      </w:hyperlink>
      <w:r>
        <w:br/>
      </w:r>
      <w:r>
        <w:t xml:space="preserve">2.</w:t>
      </w:r>
      <w:r>
        <w:t xml:space="preserve"> </w:t>
      </w:r>
      <w:r>
        <w:rPr>
          <w:b/>
          <w:bCs/>
        </w:rPr>
        <w:t xml:space="preserve">Traceability MVP:</w:t>
      </w:r>
      <w:r>
        <w:t xml:space="preserve"> </w:t>
      </w:r>
      <w:r>
        <w:t xml:space="preserve">lot/batch QR that exposes “farm/estate or cooperative → curing/monsooning → export → roast → packaging,” plus compliance-ready metadata (region, variety, process, moisture/specs, certificates, chain-of-custody documents).</w:t>
      </w:r>
      <w:r>
        <w:t xml:space="preserve"> </w:t>
      </w:r>
      <w:hyperlink r:id="rId23">
        <w:r>
          <w:rPr>
            <w:rStyle w:val="Hyperlink"/>
          </w:rPr>
          <w:t xml:space="preserve">[4]</w:t>
        </w:r>
      </w:hyperlink>
      <w:r>
        <w:br/>
      </w:r>
      <w:r>
        <w:t xml:space="preserve">3.</w:t>
      </w:r>
      <w:r>
        <w:t xml:space="preserve"> </w:t>
      </w:r>
      <w:r>
        <w:rPr>
          <w:b/>
          <w:bCs/>
        </w:rPr>
        <w:t xml:space="preserve">AI MVP:</w:t>
      </w:r>
      <w:r>
        <w:t xml:space="preserve"> </w:t>
      </w:r>
      <w:r>
        <w:t xml:space="preserve">personalization (B2C) + demand forecasting (B2B) using first-party sales, subscription behavior, and inventory signals; built with strong governance and continuous monitoring.</w:t>
      </w:r>
      <w:r>
        <w:t xml:space="preserve"> </w:t>
      </w:r>
      <w:hyperlink r:id="rId24">
        <w:r>
          <w:rPr>
            <w:rStyle w:val="Hyperlink"/>
          </w:rPr>
          <w:t xml:space="preserve">[5]</w:t>
        </w:r>
      </w:hyperlink>
      <w:r>
        <w:br/>
      </w:r>
      <w:r>
        <w:t xml:space="preserve">4.</w:t>
      </w:r>
      <w:r>
        <w:t xml:space="preserve"> </w:t>
      </w:r>
      <w:r>
        <w:rPr>
          <w:b/>
          <w:bCs/>
        </w:rPr>
        <w:t xml:space="preserve">Market focus:</w:t>
      </w:r>
      <w:r>
        <w:t xml:space="preserve"> </w:t>
      </w:r>
      <w:r>
        <w:t xml:space="preserve">acquire B2C customers via subscription + content and close a small number of</w:t>
      </w:r>
      <w:r>
        <w:t xml:space="preserve"> </w:t>
      </w:r>
      <w:r>
        <w:rPr>
          <w:b/>
          <w:bCs/>
        </w:rPr>
        <w:t xml:space="preserve">high-signal B2B pilots</w:t>
      </w:r>
      <w:r>
        <w:t xml:space="preserve"> </w:t>
      </w:r>
      <w:r>
        <w:t xml:space="preserve">(cafés, boutique grocers, offices) to obtain repeatable wholesale demand and operational learning.</w:t>
      </w:r>
    </w:p>
    <w:p>
      <w:pPr>
        <w:pStyle w:val="BodyText"/>
      </w:pPr>
      <w:r>
        <w:rPr>
          <w:b/>
          <w:bCs/>
        </w:rPr>
        <w:t xml:space="preserve">Why India is compelling for this thesis:</w:t>
      </w:r>
      <w:r>
        <w:t xml:space="preserve"> </w:t>
      </w:r>
      <w:r>
        <w:t xml:space="preserve">Coffee production is concentrated in</w:t>
      </w:r>
      <w:r>
        <w:t xml:space="preserve"> </w:t>
      </w:r>
      <w:r>
        <w:rPr>
          <w:b/>
          <w:bCs/>
        </w:rPr>
        <w:t xml:space="preserve">southern states</w:t>
      </w:r>
      <w:r>
        <w:t xml:space="preserve"> </w:t>
      </w:r>
      <w:r>
        <w:t xml:space="preserve">with defined districts and region identities (e.g., Karnataka alone has a large share of production; non-traditional areas like Andhra Pradesh also matter), enabling region-led branding and supply diversification. The Coffee Board publishes granular statistics and region specs that can be translated into customer-facing transparency and supply planning inputs.</w:t>
      </w:r>
      <w:r>
        <w:t xml:space="preserve"> </w:t>
      </w:r>
      <w:hyperlink r:id="rId25">
        <w:r>
          <w:rPr>
            <w:rStyle w:val="Hyperlink"/>
          </w:rPr>
          <w:t xml:space="preserve">[6]</w:t>
        </w:r>
      </w:hyperlink>
    </w:p>
    <w:p>
      <w:pPr>
        <w:pStyle w:val="BodyText"/>
      </w:pPr>
      <w:r>
        <w:rPr>
          <w:b/>
          <w:bCs/>
        </w:rPr>
        <w:t xml:space="preserve">Top business risks:</w:t>
      </w:r>
      <w:r>
        <w:t xml:space="preserve"> </w:t>
      </w:r>
      <w:r>
        <w:t xml:space="preserve">(1) regulatory complexity across US/EU food import and labeling; (2) quality consistency and food contaminants; (3) EUDR-driven due diligence timelines; (4) AI trust, bias, privacy. Mitigations are embedded as requirements, gate checks, and governance practices, grounded in FDA, EU food law, and recognized AI risk frameworks.</w:t>
      </w:r>
      <w:r>
        <w:t xml:space="preserve"> </w:t>
      </w:r>
      <w:hyperlink r:id="rId26">
        <w:r>
          <w:rPr>
            <w:rStyle w:val="Hyperlink"/>
          </w:rPr>
          <w:t xml:space="preserve">[7]</w:t>
        </w:r>
      </w:hyperlink>
    </w:p>
    <w:bookmarkEnd w:id="27"/>
    <w:bookmarkStart w:id="31" w:name="vision-and-mission"/>
    <w:p>
      <w:pPr>
        <w:pStyle w:val="Heading2"/>
      </w:pPr>
      <w:r>
        <w:t xml:space="preserve">Vision and mission</w:t>
      </w:r>
    </w:p>
    <w:p>
      <w:pPr>
        <w:pStyle w:val="FirstParagraph"/>
      </w:pPr>
      <w:r>
        <w:rPr>
          <w:b/>
          <w:bCs/>
        </w:rPr>
        <w:t xml:space="preserve">Vision</w:t>
      </w:r>
      <w:r>
        <w:br/>
      </w:r>
      <w:r>
        <w:t xml:space="preserve">Create the most trusted, data-proven Indian coffee brand in the US/EU by making provenance, quality, and sustainability</w:t>
      </w:r>
      <w:r>
        <w:t xml:space="preserve"> </w:t>
      </w:r>
      <w:r>
        <w:rPr>
          <w:b/>
          <w:bCs/>
        </w:rPr>
        <w:t xml:space="preserve">machine-verifiable and consumer-readable</w:t>
      </w:r>
      <w:r>
        <w:t xml:space="preserve">, turning each bag into both (a) a sensory product and (b) a transparency artifact.</w:t>
      </w:r>
    </w:p>
    <w:p>
      <w:pPr>
        <w:pStyle w:val="BodyText"/>
      </w:pPr>
      <w:r>
        <w:rPr>
          <w:b/>
          <w:bCs/>
        </w:rPr>
        <w:t xml:space="preserve">Mission</w:t>
      </w:r>
      <w:r>
        <w:br/>
      </w:r>
      <w:r>
        <w:t xml:space="preserve">Deliver exceptional Indian coffee—especially shade-grown, region-distinct coffees—while building AI systems that improve:</w:t>
      </w:r>
      <w:r>
        <w:t xml:space="preserve"> </w:t>
      </w:r>
      <w:r>
        <w:t xml:space="preserve">- consistency and safety (quality analytics, defect prevention, contaminant risk screening),</w:t>
      </w:r>
      <w:r>
        <w:t xml:space="preserve"> </w:t>
      </w:r>
      <w:r>
        <w:t xml:space="preserve">- compliance readiness (traceability, documentation, due diligence data),</w:t>
      </w:r>
      <w:r>
        <w:t xml:space="preserve"> </w:t>
      </w:r>
      <w:r>
        <w:t xml:space="preserve">- customer fit (taste and brew personalization),</w:t>
      </w:r>
      <w:r>
        <w:t xml:space="preserve"> </w:t>
      </w:r>
      <w:r>
        <w:t xml:space="preserve">- operational efficiency (forecasting, replenishment, logistics optimization).</w:t>
      </w:r>
    </w:p>
    <w:p>
      <w:pPr>
        <w:pStyle w:val="BodyText"/>
      </w:pPr>
      <w:r>
        <w:t xml:space="preserve">Coffee in India is widely framed by the Coffee Board as shade-grown and regionally distinctive, and the Board also provides structured research, quality, and sustainability frameworks (e.g., INDICOFS) that can be translated into product and data requirements.</w:t>
      </w:r>
      <w:r>
        <w:t xml:space="preserve"> </w:t>
      </w:r>
      <w:hyperlink r:id="rId28">
        <w:r>
          <w:rPr>
            <w:rStyle w:val="Hyperlink"/>
          </w:rPr>
          <w:t xml:space="preserve">[8]</w:t>
        </w:r>
      </w:hyperlink>
    </w:p>
    <w:p>
      <w:pPr>
        <w:pStyle w:val="BodyText"/>
      </w:pPr>
      <w:r>
        <w:rPr>
          <w:b/>
          <w:bCs/>
        </w:rPr>
        <w:t xml:space="preserve">Product principles</w:t>
      </w:r>
      <w:r>
        <w:t xml:space="preserve"> </w:t>
      </w:r>
      <w:r>
        <w:t xml:space="preserve">-</w:t>
      </w:r>
      <w:r>
        <w:t xml:space="preserve"> </w:t>
      </w:r>
      <w:r>
        <w:rPr>
          <w:b/>
          <w:bCs/>
        </w:rPr>
        <w:t xml:space="preserve">Provenance-first:</w:t>
      </w:r>
      <w:r>
        <w:t xml:space="preserve"> </w:t>
      </w:r>
      <w:r>
        <w:t xml:space="preserve">Every SKU is anchored to a region/spec and has a lot ledger.</w:t>
      </w:r>
      <w:r>
        <w:t xml:space="preserve"> </w:t>
      </w:r>
      <w:hyperlink r:id="rId22">
        <w:r>
          <w:rPr>
            <w:rStyle w:val="Hyperlink"/>
          </w:rPr>
          <w:t xml:space="preserve">[9]</w:t>
        </w:r>
      </w:hyperlink>
      <w:r>
        <w:br/>
      </w:r>
      <w:r>
        <w:t xml:space="preserve">-</w:t>
      </w:r>
      <w:r>
        <w:t xml:space="preserve"> </w:t>
      </w:r>
      <w:r>
        <w:rPr>
          <w:b/>
          <w:bCs/>
        </w:rPr>
        <w:t xml:space="preserve">Quality as a system:</w:t>
      </w:r>
      <w:r>
        <w:t xml:space="preserve"> </w:t>
      </w:r>
      <w:r>
        <w:t xml:space="preserve">Use standardized grading/cupping and internal QC checkpoints; treat defects and process drift as measurable.</w:t>
      </w:r>
      <w:r>
        <w:t xml:space="preserve"> </w:t>
      </w:r>
      <w:hyperlink r:id="rId29">
        <w:r>
          <w:rPr>
            <w:rStyle w:val="Hyperlink"/>
          </w:rPr>
          <w:t xml:space="preserve">[10]</w:t>
        </w:r>
      </w:hyperlink>
      <w:r>
        <w:br/>
      </w:r>
      <w:r>
        <w:t xml:space="preserve">-</w:t>
      </w:r>
      <w:r>
        <w:t xml:space="preserve"> </w:t>
      </w:r>
      <w:r>
        <w:rPr>
          <w:b/>
          <w:bCs/>
        </w:rPr>
        <w:t xml:space="preserve">Compliance by design:</w:t>
      </w:r>
      <w:r>
        <w:t xml:space="preserve"> </w:t>
      </w:r>
      <w:r>
        <w:t xml:space="preserve">Build traceability, records retention, and label accuracy into workflows.</w:t>
      </w:r>
      <w:r>
        <w:t xml:space="preserve"> </w:t>
      </w:r>
      <w:hyperlink r:id="rId30">
        <w:r>
          <w:rPr>
            <w:rStyle w:val="Hyperlink"/>
          </w:rPr>
          <w:t xml:space="preserve">[11]</w:t>
        </w:r>
      </w:hyperlink>
      <w:r>
        <w:br/>
      </w:r>
      <w:r>
        <w:t xml:space="preserve">-</w:t>
      </w:r>
      <w:r>
        <w:t xml:space="preserve"> </w:t>
      </w:r>
      <w:r>
        <w:rPr>
          <w:b/>
          <w:bCs/>
        </w:rPr>
        <w:t xml:space="preserve">AI as decision support, not vibes:</w:t>
      </w:r>
      <w:r>
        <w:t xml:space="preserve"> </w:t>
      </w:r>
      <w:r>
        <w:t xml:space="preserve">Model outputs must be explainable enough for ops decisions; monitor for drift and bias.</w:t>
      </w:r>
      <w:r>
        <w:t xml:space="preserve"> </w:t>
      </w:r>
      <w:hyperlink r:id="rId24">
        <w:r>
          <w:rPr>
            <w:rStyle w:val="Hyperlink"/>
          </w:rPr>
          <w:t xml:space="preserve">[5]</w:t>
        </w:r>
      </w:hyperlink>
    </w:p>
    <w:bookmarkEnd w:id="31"/>
    <w:bookmarkStart w:id="32" w:name="target-customers-and-personas"/>
    <w:p>
      <w:pPr>
        <w:pStyle w:val="Heading2"/>
      </w:pPr>
      <w:r>
        <w:t xml:space="preserve">Target customers and personas</w:t>
      </w:r>
    </w:p>
    <w:p>
      <w:pPr>
        <w:pStyle w:val="FirstParagraph"/>
      </w:pPr>
      <w:r>
        <w:t xml:space="preserve">Because B2B/B2C is unspecified, this PRD assumes</w:t>
      </w:r>
      <w:r>
        <w:t xml:space="preserve"> </w:t>
      </w:r>
      <w:r>
        <w:rPr>
          <w:b/>
          <w:bCs/>
        </w:rPr>
        <w:t xml:space="preserve">both</w:t>
      </w:r>
      <w:r>
        <w:t xml:space="preserve"> </w:t>
      </w:r>
      <w:r>
        <w:t xml:space="preserve">and designs a shared platform where B2C revenue funds data collection and B2B services monetize operational intelligence.</w:t>
      </w:r>
    </w:p>
    <w:p>
      <w:pPr>
        <w:pStyle w:val="BodyText"/>
      </w:pPr>
      <w:r>
        <w:rPr>
          <w:b/>
          <w:bCs/>
        </w:rPr>
        <w:t xml:space="preserve">B2C personas</w:t>
      </w:r>
      <w:r>
        <w:t xml:space="preserve"> </w:t>
      </w:r>
      <w:r>
        <w:t xml:space="preserve">-</w:t>
      </w:r>
      <w:r>
        <w:t xml:space="preserve"> </w:t>
      </w:r>
      <w:r>
        <w:rPr>
          <w:b/>
          <w:bCs/>
        </w:rPr>
        <w:t xml:space="preserve">The Origin-Driven Enthusiast:</w:t>
      </w:r>
      <w:r>
        <w:t xml:space="preserve"> </w:t>
      </w:r>
      <w:r>
        <w:t xml:space="preserve">buys single-origin and cares about farming practices; values provenance and story but wants verifiable details, not marketing.</w:t>
      </w:r>
      <w:r>
        <w:t xml:space="preserve"> </w:t>
      </w:r>
      <w:r>
        <w:t xml:space="preserve">-</w:t>
      </w:r>
      <w:r>
        <w:t xml:space="preserve"> </w:t>
      </w:r>
      <w:r>
        <w:rPr>
          <w:b/>
          <w:bCs/>
        </w:rPr>
        <w:t xml:space="preserve">The Subscription Pragmatist:</w:t>
      </w:r>
      <w:r>
        <w:t xml:space="preserve"> </w:t>
      </w:r>
      <w:r>
        <w:t xml:space="preserve">wants excellent coffee without decision fatigue; values reliable delivery, stable taste preferences, and easy reordering.</w:t>
      </w:r>
      <w:r>
        <w:t xml:space="preserve"> </w:t>
      </w:r>
      <w:r>
        <w:t xml:space="preserve">-</w:t>
      </w:r>
      <w:r>
        <w:t xml:space="preserve"> </w:t>
      </w:r>
      <w:r>
        <w:rPr>
          <w:b/>
          <w:bCs/>
        </w:rPr>
        <w:t xml:space="preserve">The Home Barista Optimizer:</w:t>
      </w:r>
      <w:r>
        <w:t xml:space="preserve"> </w:t>
      </w:r>
      <w:r>
        <w:t xml:space="preserve">wants brew guidance and repeatability; values grind size, dose ratios, water temperature, and method-specific recipes tied to each SKU.</w:t>
      </w:r>
    </w:p>
    <w:p>
      <w:pPr>
        <w:pStyle w:val="BodyText"/>
      </w:pPr>
      <w:r>
        <w:rPr>
          <w:b/>
          <w:bCs/>
        </w:rPr>
        <w:t xml:space="preserve">B2B personas</w:t>
      </w:r>
      <w:r>
        <w:t xml:space="preserve"> </w:t>
      </w:r>
      <w:r>
        <w:t xml:space="preserve">-</w:t>
      </w:r>
      <w:r>
        <w:t xml:space="preserve"> </w:t>
      </w:r>
      <w:r>
        <w:rPr>
          <w:b/>
          <w:bCs/>
        </w:rPr>
        <w:t xml:space="preserve">Specialty Café Owner / Roaster-Partner:</w:t>
      </w:r>
      <w:r>
        <w:t xml:space="preserve"> </w:t>
      </w:r>
      <w:r>
        <w:t xml:space="preserve">needs consistent beans and story; wants stable supply, cupping score reliability, and fast issue resolution.</w:t>
      </w:r>
      <w:r>
        <w:t xml:space="preserve"> </w:t>
      </w:r>
      <w:r>
        <w:t xml:space="preserve">-</w:t>
      </w:r>
      <w:r>
        <w:t xml:space="preserve"> </w:t>
      </w:r>
      <w:r>
        <w:rPr>
          <w:b/>
          <w:bCs/>
        </w:rPr>
        <w:t xml:space="preserve">Office / Hospitality Procurement Manager:</w:t>
      </w:r>
      <w:r>
        <w:t xml:space="preserve"> </w:t>
      </w:r>
      <w:r>
        <w:t xml:space="preserve">values reliability, compliance documentation, and predictable costs; less tolerant of stockouts.</w:t>
      </w:r>
      <w:r>
        <w:t xml:space="preserve"> </w:t>
      </w:r>
      <w:r>
        <w:t xml:space="preserve">-</w:t>
      </w:r>
      <w:r>
        <w:t xml:space="preserve"> </w:t>
      </w:r>
      <w:r>
        <w:rPr>
          <w:b/>
          <w:bCs/>
        </w:rPr>
        <w:t xml:space="preserve">Retail Buyer (Grocery / Boutique):</w:t>
      </w:r>
      <w:r>
        <w:t xml:space="preserve"> </w:t>
      </w:r>
      <w:r>
        <w:t xml:space="preserve">needs differentiated SKU stories and scan-ready compliance documentation; values low returns and stable shelf-life handling.</w:t>
      </w:r>
      <w:r>
        <w:t xml:space="preserve"> </w:t>
      </w:r>
      <w:r>
        <w:t xml:space="preserve">-</w:t>
      </w:r>
      <w:r>
        <w:t xml:space="preserve"> </w:t>
      </w:r>
      <w:r>
        <w:rPr>
          <w:b/>
          <w:bCs/>
        </w:rPr>
        <w:t xml:space="preserve">Sustainability / Compliance Lead (EU-facing):</w:t>
      </w:r>
      <w:r>
        <w:t xml:space="preserve"> </w:t>
      </w:r>
      <w:r>
        <w:t xml:space="preserve">needs due diligence evidence and traceability systems to meet evolving obligations; the added burden of deforestation-related due diligence increases the ROI of robust traceability and geolocation-ready records.</w:t>
      </w:r>
      <w:r>
        <w:t xml:space="preserve"> </w:t>
      </w:r>
      <w:hyperlink r:id="rId21">
        <w:r>
          <w:rPr>
            <w:rStyle w:val="Hyperlink"/>
          </w:rPr>
          <w:t xml:space="preserve">[12]</w:t>
        </w:r>
      </w:hyperlink>
    </w:p>
    <w:p>
      <w:pPr>
        <w:pStyle w:val="BodyText"/>
      </w:pPr>
      <w:r>
        <w:rPr>
          <w:b/>
          <w:bCs/>
        </w:rPr>
        <w:t xml:space="preserve">Jobs-to-be-done (JTBD) summary</w:t>
      </w:r>
      <w:r>
        <w:t xml:space="preserve"> </w:t>
      </w:r>
      <w:r>
        <w:t xml:space="preserve">- “Help me choose coffee I’ll love” → personalization, guided discovery, and reliable substitutions when a lot changes.</w:t>
      </w:r>
      <w:r>
        <w:t xml:space="preserve"> </w:t>
      </w:r>
      <w:r>
        <w:t xml:space="preserve">- “Help me trust the claim” → lot-level traceability, credible certification references, chain-of-custody.</w:t>
      </w:r>
      <w:r>
        <w:t xml:space="preserve"> </w:t>
      </w:r>
      <w:r>
        <w:t xml:space="preserve">- “Help me run my coffee program” → forecasting, reorder, waste reduction, quality issue triage.</w:t>
      </w:r>
    </w:p>
    <w:bookmarkEnd w:id="32"/>
    <w:bookmarkStart w:id="40" w:name="product-scope-and-requirements"/>
    <w:p>
      <w:pPr>
        <w:pStyle w:val="Heading2"/>
      </w:pPr>
      <w:r>
        <w:t xml:space="preserve">Product scope and requirements</w:t>
      </w:r>
    </w:p>
    <w:bookmarkStart w:id="33" w:name="product-offerings"/>
    <w:p>
      <w:pPr>
        <w:pStyle w:val="Heading3"/>
      </w:pPr>
      <w:r>
        <w:t xml:space="preserve">Product offerings</w:t>
      </w:r>
    </w:p>
    <w:p>
      <w:pPr>
        <w:pStyle w:val="FirstParagraph"/>
      </w:pPr>
      <w:r>
        <w:rPr>
          <w:b/>
          <w:bCs/>
        </w:rPr>
        <w:t xml:space="preserve">Physical coffee products (initial portfolio)</w:t>
      </w:r>
      <w:r>
        <w:br/>
      </w:r>
      <w:r>
        <w:t xml:space="preserve">The Coffee Board provides a structured vocabulary for Indian coffee regions, varieties, and specialty preparations (e.g., monsooned coffees; Mysore Nuggets; Robusta Kaapi Royale), enabling a product lineup that is both authentic and communicable.</w:t>
      </w:r>
      <w:r>
        <w:t xml:space="preserve"> </w:t>
      </w:r>
      <w:hyperlink r:id="rId22">
        <w:r>
          <w:rPr>
            <w:rStyle w:val="Hyperlink"/>
          </w:rPr>
          <w:t xml:space="preserve">[13]</w:t>
        </w:r>
      </w:hyperlink>
    </w:p>
    <w:p>
      <w:pPr>
        <w:pStyle w:val="BodyText"/>
      </w:pPr>
      <w:r>
        <w:t xml:space="preserve">Proposed launch SKUs (example):</w:t>
      </w:r>
      <w:r>
        <w:t xml:space="preserve"> </w:t>
      </w:r>
      <w:r>
        <w:t xml:space="preserve">1.</w:t>
      </w:r>
      <w:r>
        <w:t xml:space="preserve"> </w:t>
      </w:r>
      <w:r>
        <w:rPr>
          <w:b/>
          <w:bCs/>
        </w:rPr>
        <w:t xml:space="preserve">High-grown Arabica single origin</w:t>
      </w:r>
      <w:r>
        <w:t xml:space="preserve"> </w:t>
      </w:r>
      <w:r>
        <w:t xml:space="preserve">from a named region (e.g., Bababudangiris / Coorg / Nilgiris), washed process.</w:t>
      </w:r>
      <w:r>
        <w:t xml:space="preserve"> </w:t>
      </w:r>
      <w:hyperlink r:id="rId22">
        <w:r>
          <w:rPr>
            <w:rStyle w:val="Hyperlink"/>
          </w:rPr>
          <w:t xml:space="preserve">[14]</w:t>
        </w:r>
      </w:hyperlink>
      <w:r>
        <w:br/>
      </w:r>
      <w:r>
        <w:t xml:space="preserve">2.</w:t>
      </w:r>
      <w:r>
        <w:t xml:space="preserve"> </w:t>
      </w:r>
      <w:r>
        <w:rPr>
          <w:b/>
          <w:bCs/>
        </w:rPr>
        <w:t xml:space="preserve">Mysore Nuggets Extra Bold</w:t>
      </w:r>
      <w:r>
        <w:t xml:space="preserve"> </w:t>
      </w:r>
      <w:r>
        <w:t xml:space="preserve">(premium washed Arabica, signature “big bean” profile).</w:t>
      </w:r>
      <w:r>
        <w:t xml:space="preserve"> </w:t>
      </w:r>
      <w:hyperlink r:id="rId23">
        <w:r>
          <w:rPr>
            <w:rStyle w:val="Hyperlink"/>
          </w:rPr>
          <w:t xml:space="preserve">[15]</w:t>
        </w:r>
      </w:hyperlink>
      <w:r>
        <w:br/>
      </w:r>
      <w:r>
        <w:t xml:space="preserve">3.</w:t>
      </w:r>
      <w:r>
        <w:t xml:space="preserve"> </w:t>
      </w:r>
      <w:r>
        <w:rPr>
          <w:b/>
          <w:bCs/>
        </w:rPr>
        <w:t xml:space="preserve">Monsooned Malabar AA</w:t>
      </w:r>
      <w:r>
        <w:t xml:space="preserve"> </w:t>
      </w:r>
      <w:r>
        <w:t xml:space="preserve">(seasonal process June–September; 12–16 weeks; mellowed acidity; special QC and fumigation practice referenced by the Coffee Board).</w:t>
      </w:r>
      <w:r>
        <w:t xml:space="preserve"> </w:t>
      </w:r>
      <w:hyperlink r:id="rId23">
        <w:r>
          <w:rPr>
            <w:rStyle w:val="Hyperlink"/>
          </w:rPr>
          <w:t xml:space="preserve">[16]</w:t>
        </w:r>
      </w:hyperlink>
      <w:r>
        <w:br/>
      </w:r>
      <w:r>
        <w:t xml:space="preserve">4.</w:t>
      </w:r>
      <w:r>
        <w:t xml:space="preserve"> </w:t>
      </w:r>
      <w:r>
        <w:rPr>
          <w:b/>
          <w:bCs/>
        </w:rPr>
        <w:t xml:space="preserve">Robusta Kaapi Royale</w:t>
      </w:r>
      <w:r>
        <w:t xml:space="preserve"> </w:t>
      </w:r>
      <w:r>
        <w:t xml:space="preserve">or other premium robusta grade for espresso/body/blends.</w:t>
      </w:r>
      <w:r>
        <w:t xml:space="preserve"> </w:t>
      </w:r>
      <w:hyperlink r:id="rId23">
        <w:r>
          <w:rPr>
            <w:rStyle w:val="Hyperlink"/>
          </w:rPr>
          <w:t xml:space="preserve">[17]</w:t>
        </w:r>
      </w:hyperlink>
      <w:r>
        <w:br/>
      </w:r>
      <w:r>
        <w:t xml:space="preserve">5.</w:t>
      </w:r>
      <w:r>
        <w:t xml:space="preserve"> </w:t>
      </w:r>
      <w:r>
        <w:rPr>
          <w:b/>
          <w:bCs/>
        </w:rPr>
        <w:t xml:space="preserve">Seasonal micro-lot</w:t>
      </w:r>
      <w:r>
        <w:t xml:space="preserve"> </w:t>
      </w:r>
      <w:r>
        <w:t xml:space="preserve">(limited lots; higher price; used to build brand authority and data on preferences).</w:t>
      </w:r>
    </w:p>
    <w:p>
      <w:pPr>
        <w:pStyle w:val="BodyText"/>
      </w:pPr>
      <w:r>
        <w:rPr>
          <w:b/>
          <w:bCs/>
        </w:rPr>
        <w:t xml:space="preserve">AI-enabled digital products/services</w:t>
      </w:r>
      <w:r>
        <w:t xml:space="preserve"> </w:t>
      </w:r>
      <w:r>
        <w:t xml:space="preserve">-</w:t>
      </w:r>
      <w:r>
        <w:t xml:space="preserve"> </w:t>
      </w:r>
      <w:r>
        <w:rPr>
          <w:b/>
          <w:bCs/>
        </w:rPr>
        <w:t xml:space="preserve">B2C:</w:t>
      </w:r>
      <w:r>
        <w:t xml:space="preserve"> </w:t>
      </w:r>
      <w:r>
        <w:t xml:space="preserve">personalization &amp; subscription tuning, brew assistant, taste-profile learning, customer support automation + human escalation.</w:t>
      </w:r>
      <w:r>
        <w:t xml:space="preserve"> </w:t>
      </w:r>
      <w:r>
        <w:t xml:space="preserve">-</w:t>
      </w:r>
      <w:r>
        <w:t xml:space="preserve"> </w:t>
      </w:r>
      <w:r>
        <w:rPr>
          <w:b/>
          <w:bCs/>
        </w:rPr>
        <w:t xml:space="preserve">B2B:</w:t>
      </w:r>
      <w:r>
        <w:t xml:space="preserve"> </w:t>
      </w:r>
      <w:r>
        <w:t xml:space="preserve">demand forecasting, replenishment recommendations, quality incident management, traceability portal + API, and compliance documentation packs.</w:t>
      </w:r>
    </w:p>
    <w:bookmarkEnd w:id="33"/>
    <w:bookmarkStart w:id="35" w:name="X5ccf01637e41aad11e4babe3e8e98535c94f8bf"/>
    <w:p>
      <w:pPr>
        <w:pStyle w:val="Heading3"/>
      </w:pPr>
      <w:r>
        <w:t xml:space="preserve">Coffee varieties and specialty forms comparison table</w:t>
      </w:r>
    </w:p>
    <w:p>
      <w:pPr>
        <w:pStyle w:val="FirstParagraph"/>
      </w:pPr>
      <w:r>
        <w:t xml:space="preserve">The table below intentionally combines</w:t>
      </w:r>
      <w:r>
        <w:t xml:space="preserve"> </w:t>
      </w:r>
      <w:r>
        <w:rPr>
          <w:b/>
          <w:bCs/>
        </w:rPr>
        <w:t xml:space="preserve">cultivars</w:t>
      </w:r>
      <w:r>
        <w:t xml:space="preserve"> </w:t>
      </w:r>
      <w:r>
        <w:t xml:space="preserve">(varietal genetics) and</w:t>
      </w:r>
      <w:r>
        <w:t xml:space="preserve"> </w:t>
      </w:r>
      <w:r>
        <w:rPr>
          <w:b/>
          <w:bCs/>
        </w:rPr>
        <w:t xml:space="preserve">market-recognized specialty preparations/grades</w:t>
      </w:r>
      <w:r>
        <w:t xml:space="preserve"> </w:t>
      </w:r>
      <w:r>
        <w:t xml:space="preserve">because customers and buyers purchase both: genetics drives agronomic risk and cup tendencies; specialty preparations/grades drive SKU differentiation. Coffee Board sources explicitly describe key varieties (Kents, S.795, Cauvery/Catimor, Sln.9), robusta types, and specialty product definitions (monsooning, Mysore Nuggets, Kaapi Royale).</w:t>
      </w:r>
      <w:r>
        <w:t xml:space="preserve"> </w:t>
      </w:r>
      <w:hyperlink r:id="rId22">
        <w:r>
          <w:rPr>
            <w:rStyle w:val="Hyperlink"/>
          </w:rPr>
          <w:t xml:space="preserve">[18]</w:t>
        </w:r>
      </w:hyperlink>
    </w:p>
    <w:tbl>
      <w:tblPr>
        <w:tblStyle w:val="Table"/>
        <w:tblW w:type="auto" w:w="0"/>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pPr>
            <w:r>
              <w:t xml:space="preserve">Item</w:t>
            </w:r>
          </w:p>
        </w:tc>
        <w:tc>
          <w:tcPr/>
          <w:p>
            <w:pPr>
              <w:pStyle w:val="Compact"/>
            </w:pPr>
            <w:r>
              <w:t xml:space="preserve">Type</w:t>
            </w:r>
          </w:p>
        </w:tc>
        <w:tc>
          <w:tcPr/>
          <w:p>
            <w:pPr>
              <w:pStyle w:val="Compact"/>
            </w:pPr>
            <w:r>
              <w:t xml:space="preserve">Species</w:t>
            </w:r>
          </w:p>
        </w:tc>
        <w:tc>
          <w:tcPr/>
          <w:p>
            <w:pPr>
              <w:pStyle w:val="Compact"/>
            </w:pPr>
            <w:r>
              <w:t xml:space="preserve">What it is</w:t>
            </w:r>
          </w:p>
        </w:tc>
        <w:tc>
          <w:tcPr/>
          <w:p>
            <w:pPr>
              <w:pStyle w:val="Compact"/>
            </w:pPr>
            <w:r>
              <w:t xml:space="preserve">Where it shows up in India</w:t>
            </w:r>
          </w:p>
        </w:tc>
        <w:tc>
          <w:tcPr/>
          <w:p>
            <w:pPr>
              <w:pStyle w:val="Compact"/>
            </w:pPr>
            <w:r>
              <w:t xml:space="preserve">Differentiation &amp; use in portfolio</w:t>
            </w:r>
          </w:p>
        </w:tc>
      </w:tr>
      <w:tr>
        <w:tc>
          <w:tcPr/>
          <w:p>
            <w:pPr>
              <w:pStyle w:val="Compact"/>
            </w:pPr>
            <w:r>
              <w:t xml:space="preserve">Kents</w:t>
            </w:r>
          </w:p>
        </w:tc>
        <w:tc>
          <w:tcPr/>
          <w:p>
            <w:pPr>
              <w:pStyle w:val="Compact"/>
            </w:pPr>
            <w:r>
              <w:t xml:space="preserve">Cultivar</w:t>
            </w:r>
          </w:p>
        </w:tc>
        <w:tc>
          <w:tcPr/>
          <w:p>
            <w:pPr>
              <w:pStyle w:val="Compact"/>
            </w:pPr>
            <w:r>
              <w:t xml:space="preserve">Arabica</w:t>
            </w:r>
          </w:p>
        </w:tc>
        <w:tc>
          <w:tcPr/>
          <w:p>
            <w:pPr>
              <w:pStyle w:val="Compact"/>
            </w:pPr>
            <w:r>
              <w:t xml:space="preserve">Early Arabica variety selected in the 1920s; historically less susceptible to rust; still known for cup quality.</w:t>
            </w:r>
            <w:r>
              <w:t xml:space="preserve"> </w:t>
            </w:r>
            <w:hyperlink r:id="rId22">
              <w:r>
                <w:rPr>
                  <w:rStyle w:val="Hyperlink"/>
                </w:rPr>
                <w:t xml:space="preserve">[14]</w:t>
              </w:r>
            </w:hyperlink>
          </w:p>
        </w:tc>
        <w:tc>
          <w:tcPr/>
          <w:p>
            <w:pPr>
              <w:pStyle w:val="Compact"/>
            </w:pPr>
            <w:r>
              <w:t xml:space="preserve">Grown in limited areas; referenced as “exotic” in high-grown contexts.</w:t>
            </w:r>
            <w:r>
              <w:t xml:space="preserve"> </w:t>
            </w:r>
            <w:hyperlink r:id="rId22">
              <w:r>
                <w:rPr>
                  <w:rStyle w:val="Hyperlink"/>
                </w:rPr>
                <w:t xml:space="preserve">[3]</w:t>
              </w:r>
            </w:hyperlink>
          </w:p>
        </w:tc>
        <w:tc>
          <w:tcPr/>
          <w:p>
            <w:pPr>
              <w:pStyle w:val="Compact"/>
            </w:pPr>
            <w:r>
              <w:t xml:space="preserve">Micro-lot / premium single origin; storytelling anchor.</w:t>
            </w:r>
          </w:p>
        </w:tc>
      </w:tr>
      <w:tr>
        <w:tc>
          <w:tcPr/>
          <w:p>
            <w:pPr>
              <w:pStyle w:val="Compact"/>
            </w:pPr>
            <w:r>
              <w:t xml:space="preserve">S.795</w:t>
            </w:r>
          </w:p>
        </w:tc>
        <w:tc>
          <w:tcPr/>
          <w:p>
            <w:pPr>
              <w:pStyle w:val="Compact"/>
            </w:pPr>
            <w:r>
              <w:t xml:space="preserve">Cultivar</w:t>
            </w:r>
          </w:p>
        </w:tc>
        <w:tc>
          <w:tcPr/>
          <w:p>
            <w:pPr>
              <w:pStyle w:val="Compact"/>
            </w:pPr>
            <w:r>
              <w:t xml:space="preserve">Arabica</w:t>
            </w:r>
          </w:p>
        </w:tc>
        <w:tc>
          <w:tcPr/>
          <w:p>
            <w:pPr>
              <w:pStyle w:val="Compact"/>
            </w:pPr>
            <w:r>
              <w:t xml:space="preserve">Widely cultivated; released in the 1940s; high yields and bold beans; relative rust tolerance; “Mocca” notes described by Coffee Board.</w:t>
            </w:r>
            <w:r>
              <w:t xml:space="preserve"> </w:t>
            </w:r>
            <w:hyperlink r:id="rId22">
              <w:r>
                <w:rPr>
                  <w:rStyle w:val="Hyperlink"/>
                </w:rPr>
                <w:t xml:space="preserve">[14]</w:t>
              </w:r>
            </w:hyperlink>
          </w:p>
        </w:tc>
        <w:tc>
          <w:tcPr/>
          <w:p>
            <w:pPr>
              <w:pStyle w:val="Compact"/>
            </w:pPr>
            <w:r>
              <w:t xml:space="preserve">Appears across multiple regions; listed as a main variety in multiple region specs.</w:t>
            </w:r>
            <w:r>
              <w:t xml:space="preserve"> </w:t>
            </w:r>
            <w:hyperlink r:id="rId22">
              <w:r>
                <w:rPr>
                  <w:rStyle w:val="Hyperlink"/>
                </w:rPr>
                <w:t xml:space="preserve">[14]</w:t>
              </w:r>
            </w:hyperlink>
          </w:p>
        </w:tc>
        <w:tc>
          <w:tcPr/>
          <w:p>
            <w:pPr>
              <w:pStyle w:val="Compact"/>
            </w:pPr>
            <w:r>
              <w:t xml:space="preserve">“House single origin” backbone; stable supply and messaging.</w:t>
            </w:r>
          </w:p>
        </w:tc>
      </w:tr>
      <w:tr>
        <w:tc>
          <w:tcPr/>
          <w:p>
            <w:pPr>
              <w:pStyle w:val="Compact"/>
            </w:pPr>
            <w:r>
              <w:t xml:space="preserve">Cauvery (Catimor)</w:t>
            </w:r>
          </w:p>
        </w:tc>
        <w:tc>
          <w:tcPr/>
          <w:p>
            <w:pPr>
              <w:pStyle w:val="Compact"/>
            </w:pPr>
            <w:r>
              <w:t xml:space="preserve">Cultivar line</w:t>
            </w:r>
          </w:p>
        </w:tc>
        <w:tc>
          <w:tcPr/>
          <w:p>
            <w:pPr>
              <w:pStyle w:val="Compact"/>
            </w:pPr>
            <w:r>
              <w:t xml:space="preserve">Arabica</w:t>
            </w:r>
          </w:p>
        </w:tc>
        <w:tc>
          <w:tcPr/>
          <w:p>
            <w:pPr>
              <w:pStyle w:val="Compact"/>
            </w:pPr>
            <w:r>
              <w:t xml:space="preserve">Descendant of Caturra × Hybrido-de-Timor; combines yield/quality traits with disease resistance lineage.</w:t>
            </w:r>
            <w:r>
              <w:t xml:space="preserve"> </w:t>
            </w:r>
            <w:hyperlink r:id="rId22">
              <w:r>
                <w:rPr>
                  <w:rStyle w:val="Hyperlink"/>
                </w:rPr>
                <w:t xml:space="preserve">[14]</w:t>
              </w:r>
            </w:hyperlink>
          </w:p>
        </w:tc>
        <w:tc>
          <w:tcPr/>
          <w:p>
            <w:pPr>
              <w:pStyle w:val="Compact"/>
            </w:pPr>
            <w:r>
              <w:t xml:space="preserve">Listed as main variety across regions.</w:t>
            </w:r>
            <w:r>
              <w:t xml:space="preserve"> </w:t>
            </w:r>
            <w:hyperlink r:id="rId22">
              <w:r>
                <w:rPr>
                  <w:rStyle w:val="Hyperlink"/>
                </w:rPr>
                <w:t xml:space="preserve">[14]</w:t>
              </w:r>
            </w:hyperlink>
          </w:p>
        </w:tc>
        <w:tc>
          <w:tcPr/>
          <w:p>
            <w:pPr>
              <w:pStyle w:val="Compact"/>
            </w:pPr>
            <w:r>
              <w:t xml:space="preserve">Resilience-oriented sourcing; useful for climate/leaf-rust risk management.</w:t>
            </w:r>
          </w:p>
        </w:tc>
      </w:tr>
      <w:tr>
        <w:tc>
          <w:tcPr/>
          <w:p>
            <w:pPr>
              <w:pStyle w:val="Compact"/>
            </w:pPr>
            <w:r>
              <w:t xml:space="preserve">Sln.9 (Selection 9)</w:t>
            </w:r>
          </w:p>
        </w:tc>
        <w:tc>
          <w:tcPr/>
          <w:p>
            <w:pPr>
              <w:pStyle w:val="Compact"/>
            </w:pPr>
            <w:r>
              <w:t xml:space="preserve">Cultivar</w:t>
            </w:r>
          </w:p>
        </w:tc>
        <w:tc>
          <w:tcPr/>
          <w:p>
            <w:pPr>
              <w:pStyle w:val="Compact"/>
            </w:pPr>
            <w:r>
              <w:t xml:space="preserve">Arabica</w:t>
            </w:r>
          </w:p>
        </w:tc>
        <w:tc>
          <w:tcPr/>
          <w:p>
            <w:pPr>
              <w:pStyle w:val="Compact"/>
            </w:pPr>
            <w:r>
              <w:t xml:space="preserve">Ethiopian ‘Tafarikela’ × Hybrido-de-Timor derivative; associated with cup quality and award recognition in Coffee Board’s cupping competition context.</w:t>
            </w:r>
            <w:r>
              <w:t xml:space="preserve"> </w:t>
            </w:r>
            <w:hyperlink r:id="rId22">
              <w:r>
                <w:rPr>
                  <w:rStyle w:val="Hyperlink"/>
                </w:rPr>
                <w:t xml:space="preserve">[14]</w:t>
              </w:r>
            </w:hyperlink>
          </w:p>
        </w:tc>
        <w:tc>
          <w:tcPr/>
          <w:p>
            <w:pPr>
              <w:pStyle w:val="Compact"/>
            </w:pPr>
            <w:r>
              <w:t xml:space="preserve">Listed in multiple region specs; suited to higher-elevation Arabica areas.</w:t>
            </w:r>
            <w:r>
              <w:t xml:space="preserve"> </w:t>
            </w:r>
            <w:hyperlink r:id="rId22">
              <w:r>
                <w:rPr>
                  <w:rStyle w:val="Hyperlink"/>
                </w:rPr>
                <w:t xml:space="preserve">[14]</w:t>
              </w:r>
            </w:hyperlink>
          </w:p>
        </w:tc>
        <w:tc>
          <w:tcPr/>
          <w:p>
            <w:pPr>
              <w:pStyle w:val="Compact"/>
            </w:pPr>
            <w:r>
              <w:t xml:space="preserve">Premium single origin; supports “specialty-grade India” positioning.</w:t>
            </w:r>
          </w:p>
        </w:tc>
      </w:tr>
      <w:tr>
        <w:tc>
          <w:tcPr/>
          <w:p>
            <w:pPr>
              <w:pStyle w:val="Compact"/>
            </w:pPr>
            <w:r>
              <w:t xml:space="preserve">Chandragiri</w:t>
            </w:r>
          </w:p>
        </w:tc>
        <w:tc>
          <w:tcPr/>
          <w:p>
            <w:pPr>
              <w:pStyle w:val="Compact"/>
            </w:pPr>
            <w:r>
              <w:t xml:space="preserve">Cultivar</w:t>
            </w:r>
          </w:p>
        </w:tc>
        <w:tc>
          <w:tcPr/>
          <w:p>
            <w:pPr>
              <w:pStyle w:val="Compact"/>
            </w:pPr>
            <w:r>
              <w:t xml:space="preserve">Arabica</w:t>
            </w:r>
          </w:p>
        </w:tc>
        <w:tc>
          <w:tcPr/>
          <w:p>
            <w:pPr>
              <w:pStyle w:val="Compact"/>
            </w:pPr>
            <w:r>
              <w:t xml:space="preserve">Coffee Board notes tolerance to known races of leaf rust and high share of “A grade” beans.</w:t>
            </w:r>
            <w:r>
              <w:t xml:space="preserve"> </w:t>
            </w:r>
            <w:hyperlink r:id="rId34">
              <w:r>
                <w:rPr>
                  <w:rStyle w:val="Hyperlink"/>
                </w:rPr>
                <w:t xml:space="preserve">[19]</w:t>
              </w:r>
            </w:hyperlink>
          </w:p>
        </w:tc>
        <w:tc>
          <w:tcPr/>
          <w:p>
            <w:pPr>
              <w:pStyle w:val="Compact"/>
            </w:pPr>
            <w:r>
              <w:t xml:space="preserve">Research and field adoption; part of Coffee Board’s variety contributions.</w:t>
            </w:r>
            <w:r>
              <w:t xml:space="preserve"> </w:t>
            </w:r>
            <w:hyperlink r:id="rId34">
              <w:r>
                <w:rPr>
                  <w:rStyle w:val="Hyperlink"/>
                </w:rPr>
                <w:t xml:space="preserve">[19]</w:t>
              </w:r>
            </w:hyperlink>
          </w:p>
        </w:tc>
        <w:tc>
          <w:tcPr/>
          <w:p>
            <w:pPr>
              <w:pStyle w:val="Compact"/>
            </w:pPr>
            <w:r>
              <w:t xml:space="preserve">Long-term supply resilience; potential for “climate-ready” narrative.</w:t>
            </w:r>
          </w:p>
        </w:tc>
      </w:tr>
      <w:tr>
        <w:tc>
          <w:tcPr/>
          <w:p>
            <w:pPr>
              <w:pStyle w:val="Compact"/>
            </w:pPr>
            <w:r>
              <w:t xml:space="preserve">S.274 / CxR / Peridenia (Robusta types)</w:t>
            </w:r>
          </w:p>
        </w:tc>
        <w:tc>
          <w:tcPr/>
          <w:p>
            <w:pPr>
              <w:pStyle w:val="Compact"/>
            </w:pPr>
            <w:r>
              <w:t xml:space="preserve">Cultivar set</w:t>
            </w:r>
          </w:p>
        </w:tc>
        <w:tc>
          <w:tcPr/>
          <w:p>
            <w:pPr>
              <w:pStyle w:val="Compact"/>
            </w:pPr>
            <w:r>
              <w:t xml:space="preserve">Robusta</w:t>
            </w:r>
          </w:p>
        </w:tc>
        <w:tc>
          <w:tcPr/>
          <w:p>
            <w:pPr>
              <w:pStyle w:val="Compact"/>
            </w:pPr>
            <w:r>
              <w:t xml:space="preserve">Region pages list robusta varieties used in key areas.</w:t>
            </w:r>
            <w:r>
              <w:t xml:space="preserve"> </w:t>
            </w:r>
            <w:hyperlink r:id="rId22">
              <w:r>
                <w:rPr>
                  <w:rStyle w:val="Hyperlink"/>
                </w:rPr>
                <w:t xml:space="preserve">[14]</w:t>
              </w:r>
            </w:hyperlink>
          </w:p>
        </w:tc>
        <w:tc>
          <w:tcPr/>
          <w:p>
            <w:pPr>
              <w:pStyle w:val="Compact"/>
            </w:pPr>
            <w:r>
              <w:t xml:space="preserve">Coorg/Chikmagalur/Nilgiris etc list robusta varieties.</w:t>
            </w:r>
            <w:r>
              <w:t xml:space="preserve"> </w:t>
            </w:r>
            <w:hyperlink r:id="rId22">
              <w:r>
                <w:rPr>
                  <w:rStyle w:val="Hyperlink"/>
                </w:rPr>
                <w:t xml:space="preserve">[14]</w:t>
              </w:r>
            </w:hyperlink>
          </w:p>
        </w:tc>
        <w:tc>
          <w:tcPr/>
          <w:p>
            <w:pPr>
              <w:pStyle w:val="Compact"/>
            </w:pPr>
            <w:r>
              <w:t xml:space="preserve">Espresso blends, RTD/cold brew, B2B cost-optimized offerings.</w:t>
            </w:r>
          </w:p>
        </w:tc>
      </w:tr>
      <w:tr>
        <w:tc>
          <w:tcPr/>
          <w:p>
            <w:pPr>
              <w:pStyle w:val="Compact"/>
            </w:pPr>
            <w:r>
              <w:t xml:space="preserve">Monsooned Malabar AA</w:t>
            </w:r>
          </w:p>
        </w:tc>
        <w:tc>
          <w:tcPr/>
          <w:p>
            <w:pPr>
              <w:pStyle w:val="Compact"/>
            </w:pPr>
            <w:r>
              <w:t xml:space="preserve">Specialty process/grade</w:t>
            </w:r>
          </w:p>
        </w:tc>
        <w:tc>
          <w:tcPr/>
          <w:p>
            <w:pPr>
              <w:pStyle w:val="Compact"/>
            </w:pPr>
            <w:r>
              <w:t xml:space="preserve">Arabica (often)</w:t>
            </w:r>
          </w:p>
        </w:tc>
        <w:tc>
          <w:tcPr/>
          <w:p>
            <w:pPr>
              <w:pStyle w:val="Compact"/>
            </w:pPr>
            <w:r>
              <w:t xml:space="preserve">Monsooning method: selected cherry coffees; June–September exposure; 12–16 weeks; beans swell and change color; lower acidity; fumigated to prevent weevil attack.</w:t>
            </w:r>
            <w:r>
              <w:t xml:space="preserve"> </w:t>
            </w:r>
            <w:hyperlink r:id="rId23">
              <w:r>
                <w:rPr>
                  <w:rStyle w:val="Hyperlink"/>
                </w:rPr>
                <w:t xml:space="preserve">[16]</w:t>
              </w:r>
            </w:hyperlink>
          </w:p>
        </w:tc>
        <w:tc>
          <w:tcPr/>
          <w:p>
            <w:pPr>
              <w:pStyle w:val="Compact"/>
            </w:pPr>
            <w:r>
              <w:t xml:space="preserve">Prepared at west-coast curing factories; process-driven identity rather than farm-only identity.</w:t>
            </w:r>
            <w:r>
              <w:t xml:space="preserve"> </w:t>
            </w:r>
            <w:hyperlink r:id="rId23">
              <w:r>
                <w:rPr>
                  <w:rStyle w:val="Hyperlink"/>
                </w:rPr>
                <w:t xml:space="preserve">[15]</w:t>
              </w:r>
            </w:hyperlink>
          </w:p>
        </w:tc>
        <w:tc>
          <w:tcPr/>
          <w:p>
            <w:pPr>
              <w:pStyle w:val="Compact"/>
            </w:pPr>
            <w:r>
              <w:t xml:space="preserve">Seasonal/limited “iconic India” SKU; high storytelling; requires strict moisture/mold controls.</w:t>
            </w:r>
            <w:r>
              <w:t xml:space="preserve"> </w:t>
            </w:r>
            <w:hyperlink r:id="rId23">
              <w:r>
                <w:rPr>
                  <w:rStyle w:val="Hyperlink"/>
                </w:rPr>
                <w:t xml:space="preserve">[16]</w:t>
              </w:r>
            </w:hyperlink>
          </w:p>
        </w:tc>
      </w:tr>
      <w:tr>
        <w:tc>
          <w:tcPr/>
          <w:p>
            <w:pPr>
              <w:pStyle w:val="Compact"/>
            </w:pPr>
            <w:r>
              <w:t xml:space="preserve">Mysore Nuggets Extra Bold</w:t>
            </w:r>
          </w:p>
        </w:tc>
        <w:tc>
          <w:tcPr/>
          <w:p>
            <w:pPr>
              <w:pStyle w:val="Compact"/>
            </w:pPr>
            <w:r>
              <w:t xml:space="preserve">Specialty grade</w:t>
            </w:r>
          </w:p>
        </w:tc>
        <w:tc>
          <w:tcPr/>
          <w:p>
            <w:pPr>
              <w:pStyle w:val="Compact"/>
            </w:pPr>
            <w:r>
              <w:t xml:space="preserve">Arabica</w:t>
            </w:r>
          </w:p>
        </w:tc>
        <w:tc>
          <w:tcPr/>
          <w:p>
            <w:pPr>
              <w:pStyle w:val="Compact"/>
            </w:pPr>
            <w:r>
              <w:t xml:space="preserve">Large uniform washed Arabica beans; sourced from defined regions; described as premium with spice hint and good acidity/body.</w:t>
            </w:r>
            <w:r>
              <w:t xml:space="preserve"> </w:t>
            </w:r>
            <w:hyperlink r:id="rId23">
              <w:r>
                <w:rPr>
                  <w:rStyle w:val="Hyperlink"/>
                </w:rPr>
                <w:t xml:space="preserve">[16]</w:t>
              </w:r>
            </w:hyperlink>
          </w:p>
        </w:tc>
        <w:tc>
          <w:tcPr/>
          <w:p>
            <w:pPr>
              <w:pStyle w:val="Compact"/>
            </w:pPr>
            <w:r>
              <w:t xml:space="preserve">Prepared from washed Arabicas from multiple regions (named by Coffee Board).</w:t>
            </w:r>
            <w:r>
              <w:t xml:space="preserve"> </w:t>
            </w:r>
            <w:hyperlink r:id="rId23">
              <w:r>
                <w:rPr>
                  <w:rStyle w:val="Hyperlink"/>
                </w:rPr>
                <w:t xml:space="preserve">[15]</w:t>
              </w:r>
            </w:hyperlink>
          </w:p>
        </w:tc>
        <w:tc>
          <w:tcPr/>
          <w:p>
            <w:pPr>
              <w:pStyle w:val="Compact"/>
            </w:pPr>
            <w:r>
              <w:t xml:space="preserve">Premium flagship; suited to omni roast + filter; strong B2C and café appeal.</w:t>
            </w:r>
          </w:p>
        </w:tc>
      </w:tr>
      <w:tr>
        <w:tc>
          <w:tcPr/>
          <w:p>
            <w:pPr>
              <w:pStyle w:val="Compact"/>
            </w:pPr>
            <w:r>
              <w:t xml:space="preserve">Robusta Kaapi Royale</w:t>
            </w:r>
          </w:p>
        </w:tc>
        <w:tc>
          <w:tcPr/>
          <w:p>
            <w:pPr>
              <w:pStyle w:val="Compact"/>
            </w:pPr>
            <w:r>
              <w:t xml:space="preserve">Specialty grade</w:t>
            </w:r>
          </w:p>
        </w:tc>
        <w:tc>
          <w:tcPr/>
          <w:p>
            <w:pPr>
              <w:pStyle w:val="Compact"/>
            </w:pPr>
            <w:r>
              <w:t xml:space="preserve">Robusta</w:t>
            </w:r>
          </w:p>
        </w:tc>
        <w:tc>
          <w:tcPr/>
          <w:p>
            <w:pPr>
              <w:pStyle w:val="Compact"/>
            </w:pPr>
            <w:r>
              <w:t xml:space="preserve">Prepared from robusta parchment AB; bold beans; full body; smooth and mellow profile; regions specified by Coffee Board.</w:t>
            </w:r>
            <w:r>
              <w:t xml:space="preserve"> </w:t>
            </w:r>
            <w:hyperlink r:id="rId23">
              <w:r>
                <w:rPr>
                  <w:rStyle w:val="Hyperlink"/>
                </w:rPr>
                <w:t xml:space="preserve">[15]</w:t>
              </w:r>
            </w:hyperlink>
          </w:p>
        </w:tc>
        <w:tc>
          <w:tcPr/>
          <w:p>
            <w:pPr>
              <w:pStyle w:val="Compact"/>
            </w:pPr>
            <w:r>
              <w:t xml:space="preserve">Coorg/Wayanad/Chikmagalur/Travancore referenced; robusta specialty grade identity.</w:t>
            </w:r>
            <w:r>
              <w:t xml:space="preserve"> </w:t>
            </w:r>
            <w:hyperlink r:id="rId23">
              <w:r>
                <w:rPr>
                  <w:rStyle w:val="Hyperlink"/>
                </w:rPr>
                <w:t xml:space="preserve">[15]</w:t>
              </w:r>
            </w:hyperlink>
          </w:p>
        </w:tc>
        <w:tc>
          <w:tcPr/>
          <w:p>
            <w:pPr>
              <w:pStyle w:val="Compact"/>
            </w:pPr>
            <w:r>
              <w:t xml:space="preserve">Espresso/cold brew; B2B reliability and cost control.</w:t>
            </w:r>
          </w:p>
        </w:tc>
      </w:tr>
    </w:tbl>
    <w:bookmarkEnd w:id="35"/>
    <w:bookmarkStart w:id="36" w:name="feature-set-and-user-stories"/>
    <w:p>
      <w:pPr>
        <w:pStyle w:val="Heading3"/>
      </w:pPr>
      <w:r>
        <w:t xml:space="preserve">Feature set and user stories</w:t>
      </w:r>
    </w:p>
    <w:p>
      <w:pPr>
        <w:pStyle w:val="FirstParagraph"/>
      </w:pPr>
      <w:r>
        <w:rPr>
          <w:b/>
          <w:bCs/>
        </w:rPr>
        <w:t xml:space="preserve">AI + coffee feature areas</w:t>
      </w:r>
      <w:r>
        <w:t xml:space="preserve"> </w:t>
      </w:r>
      <w:r>
        <w:t xml:space="preserve">-</w:t>
      </w:r>
      <w:r>
        <w:t xml:space="preserve"> </w:t>
      </w:r>
      <w:r>
        <w:rPr>
          <w:b/>
          <w:bCs/>
        </w:rPr>
        <w:t xml:space="preserve">Discovery &amp; personalization:</w:t>
      </w:r>
      <w:r>
        <w:t xml:space="preserve"> </w:t>
      </w:r>
      <w:r>
        <w:t xml:space="preserve">recommendation engine; taste onboarding; substitutions when lots change; subscription configuration.</w:t>
      </w:r>
      <w:r>
        <w:t xml:space="preserve"> </w:t>
      </w:r>
      <w:r>
        <w:t xml:space="preserve">-</w:t>
      </w:r>
      <w:r>
        <w:t xml:space="preserve"> </w:t>
      </w:r>
      <w:r>
        <w:rPr>
          <w:b/>
          <w:bCs/>
        </w:rPr>
        <w:t xml:space="preserve">Brew intelligence:</w:t>
      </w:r>
      <w:r>
        <w:t xml:space="preserve"> </w:t>
      </w:r>
      <w:r>
        <w:t xml:space="preserve">method-based recipes per SKU/lot; grinder and water guidance; brew logging.</w:t>
      </w:r>
      <w:r>
        <w:t xml:space="preserve"> </w:t>
      </w:r>
      <w:r>
        <w:t xml:space="preserve">-</w:t>
      </w:r>
      <w:r>
        <w:t xml:space="preserve"> </w:t>
      </w:r>
      <w:r>
        <w:rPr>
          <w:b/>
          <w:bCs/>
        </w:rPr>
        <w:t xml:space="preserve">Trust &amp; traceability:</w:t>
      </w:r>
      <w:r>
        <w:t xml:space="preserve"> </w:t>
      </w:r>
      <w:r>
        <w:t xml:space="preserve">QR-based lot page; document bundle; chain-of-custody; certifications; region/variety/process; “what changed vs last lot.”</w:t>
      </w:r>
      <w:r>
        <w:t xml:space="preserve"> </w:t>
      </w:r>
      <w:r>
        <w:t xml:space="preserve">-</w:t>
      </w:r>
      <w:r>
        <w:t xml:space="preserve"> </w:t>
      </w:r>
      <w:r>
        <w:rPr>
          <w:b/>
          <w:bCs/>
        </w:rPr>
        <w:t xml:space="preserve">Quality operations:</w:t>
      </w:r>
      <w:r>
        <w:t xml:space="preserve"> </w:t>
      </w:r>
      <w:r>
        <w:t xml:space="preserve">cupping workflow, defect taxonomy, intake QA, supplier scorecards; incident triage.</w:t>
      </w:r>
      <w:r>
        <w:t xml:space="preserve"> </w:t>
      </w:r>
      <w:r>
        <w:t xml:space="preserve">-</w:t>
      </w:r>
      <w:r>
        <w:t xml:space="preserve"> </w:t>
      </w:r>
      <w:r>
        <w:rPr>
          <w:b/>
          <w:bCs/>
        </w:rPr>
        <w:t xml:space="preserve">B2B planning:</w:t>
      </w:r>
      <w:r>
        <w:t xml:space="preserve"> </w:t>
      </w:r>
      <w:r>
        <w:t xml:space="preserve">forecasting, reorder points, waste analytics; B2B portal; “predict out-of-stock by date.”</w:t>
      </w:r>
      <w:r>
        <w:t xml:space="preserve"> </w:t>
      </w:r>
      <w:r>
        <w:t xml:space="preserve">-</w:t>
      </w:r>
      <w:r>
        <w:t xml:space="preserve"> </w:t>
      </w:r>
      <w:r>
        <w:rPr>
          <w:b/>
          <w:bCs/>
        </w:rPr>
        <w:t xml:space="preserve">Compliance tooling:</w:t>
      </w:r>
      <w:r>
        <w:t xml:space="preserve"> </w:t>
      </w:r>
      <w:r>
        <w:t xml:space="preserve">export/import doc management; EU traceability alignment; audit-ready logs and record retention.</w:t>
      </w:r>
    </w:p>
    <w:p>
      <w:pPr>
        <w:pStyle w:val="BodyText"/>
      </w:pPr>
      <w:r>
        <w:rPr>
          <w:b/>
          <w:bCs/>
        </w:rPr>
        <w:t xml:space="preserve">Representative user stories (selected)</w:t>
      </w:r>
      <w:r>
        <w:t xml:space="preserve"> </w:t>
      </w:r>
      <w:r>
        <w:t xml:space="preserve">- B2C: “As a subscriber, I want my next shipment to match my acidity preference even when the lot changes, so I don’t churn.”</w:t>
      </w:r>
      <w:r>
        <w:br/>
      </w:r>
      <w:r>
        <w:t xml:space="preserve">- B2C: “As a home barista, I want a recipe that adapts to my brew method and grinder so I can reproduce results.”</w:t>
      </w:r>
      <w:r>
        <w:br/>
      </w:r>
      <w:r>
        <w:t xml:space="preserve">- B2B: “As a café owner, I want reorder recommendations based on demand forecast, so I reduce stockouts and stale inventory.”</w:t>
      </w:r>
      <w:r>
        <w:br/>
      </w:r>
      <w:r>
        <w:t xml:space="preserve">- B2B/EU: “As a compliance lead, I want lot-level traceability records and supplier geolocation readiness so I can prepare due diligence statements and respond to audits.” (EUDR timing materially impacts urgency.)</w:t>
      </w:r>
      <w:r>
        <w:t xml:space="preserve"> </w:t>
      </w:r>
      <w:hyperlink r:id="rId21">
        <w:r>
          <w:rPr>
            <w:rStyle w:val="Hyperlink"/>
          </w:rPr>
          <w:t xml:space="preserve">[20]</w:t>
        </w:r>
      </w:hyperlink>
      <w:r>
        <w:br/>
      </w:r>
      <w:r>
        <w:t xml:space="preserve">- Ops: “As QA, I want to link cupping outcomes and defect observations back to supplier lots so I can intervene early.” (SCA standards support structured quality protocols.)</w:t>
      </w:r>
      <w:r>
        <w:t xml:space="preserve"> </w:t>
      </w:r>
      <w:hyperlink r:id="rId29">
        <w:r>
          <w:rPr>
            <w:rStyle w:val="Hyperlink"/>
          </w:rPr>
          <w:t xml:space="preserve">[10]</w:t>
        </w:r>
      </w:hyperlink>
    </w:p>
    <w:bookmarkEnd w:id="36"/>
    <w:bookmarkStart w:id="39" w:name="feature-prioritization-table"/>
    <w:p>
      <w:pPr>
        <w:pStyle w:val="Heading3"/>
      </w:pPr>
      <w:r>
        <w:t xml:space="preserve">Feature prioritization table</w:t>
      </w:r>
    </w:p>
    <w:p>
      <w:pPr>
        <w:pStyle w:val="FirstParagraph"/>
      </w:pPr>
      <w:r>
        <w:t xml:space="preserve">Scoring method:</w:t>
      </w:r>
      <w:r>
        <w:t xml:space="preserve"> </w:t>
      </w:r>
      <w:r>
        <w:rPr>
          <w:b/>
          <w:bCs/>
        </w:rPr>
        <w:t xml:space="preserve">RICE-like</w:t>
      </w:r>
      <w:r>
        <w:t xml:space="preserve"> </w:t>
      </w:r>
      <w:r>
        <w:t xml:space="preserve">(Reach, Impact, Confidence, Effort) but simplified into “Priority” for PRD readability. Items are grouped to ensure the MVP can ship with real differentiation: traceability + a minimal AI loop.</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Feature</w:t>
            </w:r>
          </w:p>
        </w:tc>
        <w:tc>
          <w:tcPr/>
          <w:p>
            <w:pPr>
              <w:pStyle w:val="Compact"/>
            </w:pPr>
            <w:r>
              <w:t xml:space="preserve">Segment</w:t>
            </w:r>
          </w:p>
        </w:tc>
        <w:tc>
          <w:tcPr/>
          <w:p>
            <w:pPr>
              <w:pStyle w:val="Compact"/>
            </w:pPr>
            <w:r>
              <w:t xml:space="preserve">Why it matters</w:t>
            </w:r>
          </w:p>
        </w:tc>
        <w:tc>
          <w:tcPr/>
          <w:p>
            <w:pPr>
              <w:pStyle w:val="Compact"/>
            </w:pPr>
            <w:r>
              <w:t xml:space="preserve">Dependencies</w:t>
            </w:r>
          </w:p>
        </w:tc>
        <w:tc>
          <w:tcPr/>
          <w:p>
            <w:pPr>
              <w:pStyle w:val="Compact"/>
            </w:pPr>
            <w:r>
              <w:t xml:space="preserve">Priority (MVP / Next / Later)</w:t>
            </w:r>
          </w:p>
        </w:tc>
      </w:tr>
      <w:tr>
        <w:tc>
          <w:tcPr/>
          <w:p>
            <w:pPr>
              <w:pStyle w:val="Compact"/>
            </w:pPr>
            <w:r>
              <w:t xml:space="preserve">Lot QR page (region/variety/process, COA/doc links, shipment dates)</w:t>
            </w:r>
          </w:p>
        </w:tc>
        <w:tc>
          <w:tcPr/>
          <w:p>
            <w:pPr>
              <w:pStyle w:val="Compact"/>
            </w:pPr>
            <w:r>
              <w:t xml:space="preserve">B2C/B2B</w:t>
            </w:r>
          </w:p>
        </w:tc>
        <w:tc>
          <w:tcPr/>
          <w:p>
            <w:pPr>
              <w:pStyle w:val="Compact"/>
            </w:pPr>
            <w:r>
              <w:t xml:space="preserve">Trust differentiator and compliance foundation; aligns with EU traceability expectations.</w:t>
            </w:r>
            <w:r>
              <w:t xml:space="preserve"> </w:t>
            </w:r>
            <w:hyperlink r:id="rId30">
              <w:r>
                <w:rPr>
                  <w:rStyle w:val="Hyperlink"/>
                </w:rPr>
                <w:t xml:space="preserve">[21]</w:t>
              </w:r>
            </w:hyperlink>
          </w:p>
        </w:tc>
        <w:tc>
          <w:tcPr/>
          <w:p>
            <w:pPr>
              <w:pStyle w:val="Compact"/>
            </w:pPr>
            <w:r>
              <w:t xml:space="preserve">Lot ID schema; document storage</w:t>
            </w:r>
          </w:p>
        </w:tc>
        <w:tc>
          <w:tcPr/>
          <w:p>
            <w:pPr>
              <w:pStyle w:val="Compact"/>
            </w:pPr>
            <w:r>
              <w:t xml:space="preserve">MVP</w:t>
            </w:r>
          </w:p>
        </w:tc>
      </w:tr>
      <w:tr>
        <w:tc>
          <w:tcPr/>
          <w:p>
            <w:pPr>
              <w:pStyle w:val="Compact"/>
            </w:pPr>
            <w:r>
              <w:t xml:space="preserve">Customer preference onboarding + basic recommender</w:t>
            </w:r>
          </w:p>
        </w:tc>
        <w:tc>
          <w:tcPr/>
          <w:p>
            <w:pPr>
              <w:pStyle w:val="Compact"/>
            </w:pPr>
            <w:r>
              <w:t xml:space="preserve">B2C</w:t>
            </w:r>
          </w:p>
        </w:tc>
        <w:tc>
          <w:tcPr/>
          <w:p>
            <w:pPr>
              <w:pStyle w:val="Compact"/>
            </w:pPr>
            <w:r>
              <w:t xml:space="preserve">Improves conversion and retention; powers subscription.</w:t>
            </w:r>
          </w:p>
        </w:tc>
        <w:tc>
          <w:tcPr/>
          <w:p>
            <w:pPr>
              <w:pStyle w:val="Compact"/>
            </w:pPr>
            <w:r>
              <w:t xml:space="preserve">Event tracking; catalog metadata</w:t>
            </w:r>
          </w:p>
        </w:tc>
        <w:tc>
          <w:tcPr/>
          <w:p>
            <w:pPr>
              <w:pStyle w:val="Compact"/>
            </w:pPr>
            <w:r>
              <w:t xml:space="preserve">MVP</w:t>
            </w:r>
          </w:p>
        </w:tc>
      </w:tr>
      <w:tr>
        <w:tc>
          <w:tcPr/>
          <w:p>
            <w:pPr>
              <w:pStyle w:val="Compact"/>
            </w:pPr>
            <w:r>
              <w:t xml:space="preserve">Subscription management (skip, swap, cadence, bundles)</w:t>
            </w:r>
          </w:p>
        </w:tc>
        <w:tc>
          <w:tcPr/>
          <w:p>
            <w:pPr>
              <w:pStyle w:val="Compact"/>
            </w:pPr>
            <w:r>
              <w:t xml:space="preserve">B2C</w:t>
            </w:r>
          </w:p>
        </w:tc>
        <w:tc>
          <w:tcPr/>
          <w:p>
            <w:pPr>
              <w:pStyle w:val="Compact"/>
            </w:pPr>
            <w:r>
              <w:t xml:space="preserve">Recurring revenue and demand stability.</w:t>
            </w:r>
          </w:p>
        </w:tc>
        <w:tc>
          <w:tcPr/>
          <w:p>
            <w:pPr>
              <w:pStyle w:val="Compact"/>
            </w:pPr>
            <w:r>
              <w:t xml:space="preserve">E-commerce + payments</w:t>
            </w:r>
          </w:p>
        </w:tc>
        <w:tc>
          <w:tcPr/>
          <w:p>
            <w:pPr>
              <w:pStyle w:val="Compact"/>
            </w:pPr>
            <w:r>
              <w:t xml:space="preserve">MVP</w:t>
            </w:r>
          </w:p>
        </w:tc>
      </w:tr>
      <w:tr>
        <w:tc>
          <w:tcPr/>
          <w:p>
            <w:pPr>
              <w:pStyle w:val="Compact"/>
            </w:pPr>
            <w:r>
              <w:t xml:space="preserve">QA intake workflow (green coffee specs, moisture, defects, cupping notes)</w:t>
            </w:r>
          </w:p>
        </w:tc>
        <w:tc>
          <w:tcPr/>
          <w:p>
            <w:pPr>
              <w:pStyle w:val="Compact"/>
            </w:pPr>
            <w:r>
              <w:t xml:space="preserve">Ops</w:t>
            </w:r>
          </w:p>
        </w:tc>
        <w:tc>
          <w:tcPr/>
          <w:p>
            <w:pPr>
              <w:pStyle w:val="Compact"/>
            </w:pPr>
            <w:r>
              <w:t xml:space="preserve">Controls quality variability; creates training data. (Coffee Board quality specs + SCA standards inform system.)</w:t>
            </w:r>
            <w:r>
              <w:t xml:space="preserve"> </w:t>
            </w:r>
            <w:hyperlink r:id="rId37">
              <w:r>
                <w:rPr>
                  <w:rStyle w:val="Hyperlink"/>
                </w:rPr>
                <w:t xml:space="preserve">[22]</w:t>
              </w:r>
            </w:hyperlink>
          </w:p>
        </w:tc>
        <w:tc>
          <w:tcPr/>
          <w:p>
            <w:pPr>
              <w:pStyle w:val="Compact"/>
            </w:pPr>
            <w:r>
              <w:t xml:space="preserve">Lab/cupping SOP; data model</w:t>
            </w:r>
          </w:p>
        </w:tc>
        <w:tc>
          <w:tcPr/>
          <w:p>
            <w:pPr>
              <w:pStyle w:val="Compact"/>
            </w:pPr>
            <w:r>
              <w:t xml:space="preserve">MVP</w:t>
            </w:r>
          </w:p>
        </w:tc>
      </w:tr>
      <w:tr>
        <w:tc>
          <w:tcPr/>
          <w:p>
            <w:pPr>
              <w:pStyle w:val="Compact"/>
            </w:pPr>
            <w:r>
              <w:t xml:space="preserve">Demand forecasting (SKU-level time series)</w:t>
            </w:r>
          </w:p>
        </w:tc>
        <w:tc>
          <w:tcPr/>
          <w:p>
            <w:pPr>
              <w:pStyle w:val="Compact"/>
            </w:pPr>
            <w:r>
              <w:t xml:space="preserve">B2B/Ops</w:t>
            </w:r>
          </w:p>
        </w:tc>
        <w:tc>
          <w:tcPr/>
          <w:p>
            <w:pPr>
              <w:pStyle w:val="Compact"/>
            </w:pPr>
            <w:r>
              <w:t xml:space="preserve">Reduces stockouts/waste; improves working capital.</w:t>
            </w:r>
          </w:p>
        </w:tc>
        <w:tc>
          <w:tcPr/>
          <w:p>
            <w:pPr>
              <w:pStyle w:val="Compact"/>
            </w:pPr>
            <w:r>
              <w:t xml:space="preserve">Sales history; inventory</w:t>
            </w:r>
          </w:p>
        </w:tc>
        <w:tc>
          <w:tcPr/>
          <w:p>
            <w:pPr>
              <w:pStyle w:val="Compact"/>
            </w:pPr>
            <w:r>
              <w:t xml:space="preserve">Next</w:t>
            </w:r>
          </w:p>
        </w:tc>
      </w:tr>
      <w:tr>
        <w:tc>
          <w:tcPr/>
          <w:p>
            <w:pPr>
              <w:pStyle w:val="Compact"/>
            </w:pPr>
            <w:r>
              <w:t xml:space="preserve">Supplier scorecard + selection pipeline</w:t>
            </w:r>
          </w:p>
        </w:tc>
        <w:tc>
          <w:tcPr/>
          <w:p>
            <w:pPr>
              <w:pStyle w:val="Compact"/>
            </w:pPr>
            <w:r>
              <w:t xml:space="preserve">Ops</w:t>
            </w:r>
          </w:p>
        </w:tc>
        <w:tc>
          <w:tcPr/>
          <w:p>
            <w:pPr>
              <w:pStyle w:val="Compact"/>
            </w:pPr>
            <w:r>
              <w:t xml:space="preserve">Systematizes sourcing quality and risk; aligns with INDICOFS and certification readiness.</w:t>
            </w:r>
            <w:r>
              <w:t xml:space="preserve"> </w:t>
            </w:r>
            <w:hyperlink r:id="rId38">
              <w:r>
                <w:rPr>
                  <w:rStyle w:val="Hyperlink"/>
                </w:rPr>
                <w:t xml:space="preserve">[23]</w:t>
              </w:r>
            </w:hyperlink>
          </w:p>
        </w:tc>
        <w:tc>
          <w:tcPr/>
          <w:p>
            <w:pPr>
              <w:pStyle w:val="Compact"/>
            </w:pPr>
            <w:r>
              <w:t xml:space="preserve">Supplier data; QA outcomes</w:t>
            </w:r>
          </w:p>
        </w:tc>
        <w:tc>
          <w:tcPr/>
          <w:p>
            <w:pPr>
              <w:pStyle w:val="Compact"/>
            </w:pPr>
            <w:r>
              <w:t xml:space="preserve">Next</w:t>
            </w:r>
          </w:p>
        </w:tc>
      </w:tr>
      <w:tr>
        <w:tc>
          <w:tcPr/>
          <w:p>
            <w:pPr>
              <w:pStyle w:val="Compact"/>
            </w:pPr>
            <w:r>
              <w:t xml:space="preserve">B2B portal (pricing tiers, ordering, invoices, documentation)</w:t>
            </w:r>
          </w:p>
        </w:tc>
        <w:tc>
          <w:tcPr/>
          <w:p>
            <w:pPr>
              <w:pStyle w:val="Compact"/>
            </w:pPr>
            <w:r>
              <w:t xml:space="preserve">B2B</w:t>
            </w:r>
          </w:p>
        </w:tc>
        <w:tc>
          <w:tcPr/>
          <w:p>
            <w:pPr>
              <w:pStyle w:val="Compact"/>
            </w:pPr>
            <w:r>
              <w:t xml:space="preserve">Lowers sales friction; improves retention.</w:t>
            </w:r>
          </w:p>
        </w:tc>
        <w:tc>
          <w:tcPr/>
          <w:p>
            <w:pPr>
              <w:pStyle w:val="Compact"/>
            </w:pPr>
            <w:r>
              <w:t xml:space="preserve">Auth; invoices</w:t>
            </w:r>
          </w:p>
        </w:tc>
        <w:tc>
          <w:tcPr/>
          <w:p>
            <w:pPr>
              <w:pStyle w:val="Compact"/>
            </w:pPr>
            <w:r>
              <w:t xml:space="preserve">Next</w:t>
            </w:r>
          </w:p>
        </w:tc>
      </w:tr>
      <w:tr>
        <w:tc>
          <w:tcPr/>
          <w:p>
            <w:pPr>
              <w:pStyle w:val="Compact"/>
            </w:pPr>
            <w:r>
              <w:t xml:space="preserve">Brew assistant with user log + recipe adaptation</w:t>
            </w:r>
          </w:p>
        </w:tc>
        <w:tc>
          <w:tcPr/>
          <w:p>
            <w:pPr>
              <w:pStyle w:val="Compact"/>
            </w:pPr>
            <w:r>
              <w:t xml:space="preserve">B2C</w:t>
            </w:r>
          </w:p>
        </w:tc>
        <w:tc>
          <w:tcPr/>
          <w:p>
            <w:pPr>
              <w:pStyle w:val="Compact"/>
            </w:pPr>
            <w:r>
              <w:t xml:space="preserve">Differentiated experience; generates preference signals.</w:t>
            </w:r>
          </w:p>
        </w:tc>
        <w:tc>
          <w:tcPr/>
          <w:p>
            <w:pPr>
              <w:pStyle w:val="Compact"/>
            </w:pPr>
            <w:r>
              <w:t xml:space="preserve">App UI; data capture</w:t>
            </w:r>
          </w:p>
        </w:tc>
        <w:tc>
          <w:tcPr/>
          <w:p>
            <w:pPr>
              <w:pStyle w:val="Compact"/>
            </w:pPr>
            <w:r>
              <w:t xml:space="preserve">Later</w:t>
            </w:r>
          </w:p>
        </w:tc>
      </w:tr>
      <w:tr>
        <w:tc>
          <w:tcPr/>
          <w:p>
            <w:pPr>
              <w:pStyle w:val="Compact"/>
            </w:pPr>
            <w:r>
              <w:t xml:space="preserve">Traceability API for partners</w:t>
            </w:r>
          </w:p>
        </w:tc>
        <w:tc>
          <w:tcPr/>
          <w:p>
            <w:pPr>
              <w:pStyle w:val="Compact"/>
            </w:pPr>
            <w:r>
              <w:t xml:space="preserve">B2B</w:t>
            </w:r>
          </w:p>
        </w:tc>
        <w:tc>
          <w:tcPr/>
          <w:p>
            <w:pPr>
              <w:pStyle w:val="Compact"/>
            </w:pPr>
            <w:r>
              <w:t xml:space="preserve">Monetizes data layer; supports enterprise compliance.</w:t>
            </w:r>
          </w:p>
        </w:tc>
        <w:tc>
          <w:tcPr/>
          <w:p>
            <w:pPr>
              <w:pStyle w:val="Compact"/>
            </w:pPr>
            <w:r>
              <w:t xml:space="preserve">Stable schema; auth; SLA</w:t>
            </w:r>
          </w:p>
        </w:tc>
        <w:tc>
          <w:tcPr/>
          <w:p>
            <w:pPr>
              <w:pStyle w:val="Compact"/>
            </w:pPr>
            <w:r>
              <w:t xml:space="preserve">Later</w:t>
            </w:r>
          </w:p>
        </w:tc>
      </w:tr>
    </w:tbl>
    <w:bookmarkEnd w:id="39"/>
    <w:bookmarkEnd w:id="40"/>
    <w:bookmarkStart w:id="63" w:name="Xe84c83cf477978f3d5fdc3ec93d737c647e8bae"/>
    <w:p>
      <w:pPr>
        <w:pStyle w:val="Heading2"/>
      </w:pPr>
      <w:r>
        <w:t xml:space="preserve">Sourcing strategy, Indian supply plan, and compliance</w:t>
      </w:r>
    </w:p>
    <w:bookmarkStart w:id="41" w:name="indian-sourcing-strategy"/>
    <w:p>
      <w:pPr>
        <w:pStyle w:val="Heading3"/>
      </w:pPr>
      <w:r>
        <w:t xml:space="preserve">Indian sourcing strategy</w:t>
      </w:r>
    </w:p>
    <w:p>
      <w:pPr>
        <w:pStyle w:val="FirstParagraph"/>
      </w:pPr>
      <w:r>
        <w:rPr>
          <w:b/>
          <w:bCs/>
        </w:rPr>
        <w:t xml:space="preserve">Supply reality &amp; diversification</w:t>
      </w:r>
      <w:r>
        <w:br/>
      </w:r>
      <w:r>
        <w:t xml:space="preserve">Coffee Board statistics provide granular production estimates by state/district and show that traditional areas dominate supply, with non-traditional areas also contributing. The 2025–2026 post-blossom estimate indicates strong production volume in southern regions and a national total in the hundreds of thousands of metric tons, supporting scalable procurement while still enabling micro-lot selection.</w:t>
      </w:r>
      <w:r>
        <w:t xml:space="preserve"> </w:t>
      </w:r>
      <w:hyperlink r:id="rId25">
        <w:r>
          <w:rPr>
            <w:rStyle w:val="Hyperlink"/>
          </w:rPr>
          <w:t xml:space="preserve">[6]</w:t>
        </w:r>
      </w:hyperlink>
    </w:p>
    <w:p>
      <w:pPr>
        <w:pStyle w:val="BodyText"/>
      </w:pPr>
      <w:r>
        <w:t xml:space="preserve">To avoid single-region dependence, the sourcing plan should target:</w:t>
      </w:r>
      <w:r>
        <w:t xml:space="preserve"> </w:t>
      </w:r>
      <w:r>
        <w:t xml:space="preserve">-</w:t>
      </w:r>
      <w:r>
        <w:t xml:space="preserve"> </w:t>
      </w:r>
      <w:r>
        <w:rPr>
          <w:b/>
          <w:bCs/>
        </w:rPr>
        <w:t xml:space="preserve">Core supply:</w:t>
      </w:r>
      <w:r>
        <w:t xml:space="preserve"> </w:t>
      </w:r>
      <w:r>
        <w:t xml:space="preserve">traditional southern regions for consistency and volume.</w:t>
      </w:r>
      <w:r>
        <w:t xml:space="preserve"> </w:t>
      </w:r>
      <w:hyperlink r:id="rId25">
        <w:r>
          <w:rPr>
            <w:rStyle w:val="Hyperlink"/>
          </w:rPr>
          <w:t xml:space="preserve">[6]</w:t>
        </w:r>
      </w:hyperlink>
      <w:r>
        <w:br/>
      </w:r>
      <w:r>
        <w:t xml:space="preserve">-</w:t>
      </w:r>
      <w:r>
        <w:t xml:space="preserve"> </w:t>
      </w:r>
      <w:r>
        <w:rPr>
          <w:b/>
          <w:bCs/>
        </w:rPr>
        <w:t xml:space="preserve">Differentiation supply:</w:t>
      </w:r>
      <w:r>
        <w:t xml:space="preserve"> </w:t>
      </w:r>
      <w:r>
        <w:t xml:space="preserve">high-grown Arabicas and named specialty preparations (monsooned coffees, Mysore Nuggets).</w:t>
      </w:r>
      <w:r>
        <w:t xml:space="preserve"> </w:t>
      </w:r>
      <w:hyperlink r:id="rId23">
        <w:r>
          <w:rPr>
            <w:rStyle w:val="Hyperlink"/>
          </w:rPr>
          <w:t xml:space="preserve">[17]</w:t>
        </w:r>
      </w:hyperlink>
      <w:r>
        <w:br/>
      </w:r>
      <w:r>
        <w:t xml:space="preserve">-</w:t>
      </w:r>
      <w:r>
        <w:t xml:space="preserve"> </w:t>
      </w:r>
      <w:r>
        <w:rPr>
          <w:b/>
          <w:bCs/>
        </w:rPr>
        <w:t xml:space="preserve">Optional diversification:</w:t>
      </w:r>
      <w:r>
        <w:t xml:space="preserve"> </w:t>
      </w:r>
      <w:r>
        <w:t xml:space="preserve">non-traditional areas to support additional storytelling and risk diversification.</w:t>
      </w:r>
      <w:r>
        <w:t xml:space="preserve"> </w:t>
      </w:r>
      <w:hyperlink r:id="rId25">
        <w:r>
          <w:rPr>
            <w:rStyle w:val="Hyperlink"/>
          </w:rPr>
          <w:t xml:space="preserve">[6]</w:t>
        </w:r>
      </w:hyperlink>
    </w:p>
    <w:p>
      <w:pPr>
        <w:pStyle w:val="BodyText"/>
      </w:pPr>
      <w:r>
        <w:rPr>
          <w:b/>
          <w:bCs/>
        </w:rPr>
        <w:t xml:space="preserve">Region and agronomy considerations</w:t>
      </w:r>
      <w:r>
        <w:br/>
      </w:r>
      <w:r>
        <w:t xml:space="preserve">The Coffee Board region guidance characterizes India as growing coffee under a two-tier mixed shade canopy and provides a comparative table of Arabica vs Robusta growing conditions (elevation, temperature, rainfall).</w:t>
      </w:r>
      <w:r>
        <w:t xml:space="preserve"> </w:t>
      </w:r>
      <w:hyperlink r:id="rId22">
        <w:r>
          <w:rPr>
            <w:rStyle w:val="Hyperlink"/>
          </w:rPr>
          <w:t xml:space="preserve">[24]</w:t>
        </w:r>
      </w:hyperlink>
      <w:r>
        <w:br/>
      </w:r>
      <w:r>
        <w:t xml:space="preserve">This should directly dictate procurement rules:</w:t>
      </w:r>
      <w:r>
        <w:br/>
      </w:r>
      <w:r>
        <w:t xml:space="preserve">- treat</w:t>
      </w:r>
      <w:r>
        <w:t xml:space="preserve"> </w:t>
      </w:r>
      <w:r>
        <w:rPr>
          <w:b/>
          <w:bCs/>
        </w:rPr>
        <w:t xml:space="preserve">elevation and climate</w:t>
      </w:r>
      <w:r>
        <w:t xml:space="preserve"> </w:t>
      </w:r>
      <w:r>
        <w:t xml:space="preserve">as metadata fields in the lot ledger,</w:t>
      </w:r>
      <w:r>
        <w:br/>
      </w:r>
      <w:r>
        <w:t xml:space="preserve">- standardize</w:t>
      </w:r>
      <w:r>
        <w:t xml:space="preserve"> </w:t>
      </w:r>
      <w:r>
        <w:rPr>
          <w:b/>
          <w:bCs/>
        </w:rPr>
        <w:t xml:space="preserve">process descriptors</w:t>
      </w:r>
      <w:r>
        <w:t xml:space="preserve"> </w:t>
      </w:r>
      <w:r>
        <w:t xml:space="preserve">(washed vs natural/dry) because the Coffee Board explicitly classifies the two commercially cultivated types (Arabica and Robusta) by processing approach.</w:t>
      </w:r>
      <w:r>
        <w:t xml:space="preserve"> </w:t>
      </w:r>
      <w:hyperlink r:id="rId37">
        <w:r>
          <w:rPr>
            <w:rStyle w:val="Hyperlink"/>
          </w:rPr>
          <w:t xml:space="preserve">[25]</w:t>
        </w:r>
      </w:hyperlink>
    </w:p>
    <w:bookmarkEnd w:id="41"/>
    <w:bookmarkStart w:id="46" w:name="Xcba5a0b31a3036fc2872a0cf6f5b2277155e0b8"/>
    <w:p>
      <w:pPr>
        <w:pStyle w:val="Heading3"/>
      </w:pPr>
      <w:r>
        <w:t xml:space="preserve">Traceability, sustainability, and certifications strategy</w:t>
      </w:r>
    </w:p>
    <w:p>
      <w:pPr>
        <w:pStyle w:val="FirstParagraph"/>
      </w:pPr>
      <w:r>
        <w:rPr>
          <w:b/>
          <w:bCs/>
        </w:rPr>
        <w:t xml:space="preserve">Baseline traceability requirement (non-negotiable)</w:t>
      </w:r>
      <w:r>
        <w:br/>
      </w:r>
      <w:r>
        <w:t xml:space="preserve">EU food law emphasizes traceability expectations (ability to identify suppliers and customers in the chain) and HACCP-based food safety procedures.</w:t>
      </w:r>
      <w:r>
        <w:t xml:space="preserve"> </w:t>
      </w:r>
      <w:hyperlink r:id="rId30">
        <w:r>
          <w:rPr>
            <w:rStyle w:val="Hyperlink"/>
          </w:rPr>
          <w:t xml:space="preserve">[26]</w:t>
        </w:r>
      </w:hyperlink>
      <w:r>
        <w:br/>
      </w:r>
      <w:r>
        <w:t xml:space="preserve">Separately, the EU’s deforestation regulation has had its application postponed but remains a material risk driver; official EU sources describe the postponement and new application timing.</w:t>
      </w:r>
      <w:r>
        <w:t xml:space="preserve"> </w:t>
      </w:r>
      <w:hyperlink r:id="rId21">
        <w:r>
          <w:rPr>
            <w:rStyle w:val="Hyperlink"/>
          </w:rPr>
          <w:t xml:space="preserve">[27]</w:t>
        </w:r>
      </w:hyperlink>
      <w:r>
        <w:br/>
      </w:r>
      <w:r>
        <w:t xml:space="preserve">Therefore, the company should build a lot ledger that supports:</w:t>
      </w:r>
      <w:r>
        <w:t xml:space="preserve"> </w:t>
      </w:r>
      <w:r>
        <w:t xml:space="preserve">- “1 step back / 1 step forward” traceability as a minimum (supplier and customer records),</w:t>
      </w:r>
      <w:r>
        <w:t xml:space="preserve"> </w:t>
      </w:r>
      <w:r>
        <w:t xml:space="preserve">- internal lot partitioning (so you can isolate defects, contaminants, or compliance gaps),</w:t>
      </w:r>
      <w:r>
        <w:t xml:space="preserve"> </w:t>
      </w:r>
      <w:r>
        <w:t xml:space="preserve">- optional geolocation fields (to reduce future compliance scramble).</w:t>
      </w:r>
    </w:p>
    <w:p>
      <w:pPr>
        <w:pStyle w:val="BodyText"/>
      </w:pPr>
      <w:r>
        <w:rPr>
          <w:b/>
          <w:bCs/>
        </w:rPr>
        <w:t xml:space="preserve">INDICOFS alignment</w:t>
      </w:r>
      <w:r>
        <w:br/>
      </w:r>
      <w:r>
        <w:t xml:space="preserve">The Coffee Board’s</w:t>
      </w:r>
      <w:r>
        <w:t xml:space="preserve"> </w:t>
      </w:r>
      <w:r>
        <w:rPr>
          <w:b/>
          <w:bCs/>
        </w:rPr>
        <w:t xml:space="preserve">Indian Coffee Sustainability Standard and Certification Scheme (INDICOFS)</w:t>
      </w:r>
      <w:r>
        <w:t xml:space="preserve"> </w:t>
      </w:r>
      <w:r>
        <w:t xml:space="preserve">(published December 2025) explicitly frames sustainability, traceability, and evolving regulations like EUDR as drivers for a nationally anchored standard; it describes a multi-level certification approach and explicitly notes the scale of small holdings and livelihoods.</w:t>
      </w:r>
      <w:r>
        <w:t xml:space="preserve"> </w:t>
      </w:r>
      <w:hyperlink r:id="rId38">
        <w:r>
          <w:rPr>
            <w:rStyle w:val="Hyperlink"/>
          </w:rPr>
          <w:t xml:space="preserve">[28]</w:t>
        </w:r>
      </w:hyperlink>
      <w:r>
        <w:br/>
      </w:r>
      <w:r>
        <w:t xml:space="preserve">PRD implication: ingest INDICOFS-relevant fields into supplier onboarding so your “data contract” with suppliers is compatible with an emerging national scheme, reducing future rework.</w:t>
      </w:r>
    </w:p>
    <w:p>
      <w:pPr>
        <w:pStyle w:val="BodyText"/>
      </w:pPr>
      <w:r>
        <w:rPr>
          <w:b/>
          <w:bCs/>
        </w:rPr>
        <w:t xml:space="preserve">Organic and Fairtrade</w:t>
      </w:r>
      <w:r>
        <w:br/>
      </w:r>
      <w:r>
        <w:t xml:space="preserve">If pursuing organic or Fairtrade claims, treat them as</w:t>
      </w:r>
      <w:r>
        <w:t xml:space="preserve"> </w:t>
      </w:r>
      <w:r>
        <w:rPr>
          <w:b/>
          <w:bCs/>
        </w:rPr>
        <w:t xml:space="preserve">separate products with separate operational controls</w:t>
      </w:r>
      <w:r>
        <w:t xml:space="preserve">, not marketing badges:</w:t>
      </w:r>
      <w:r>
        <w:t xml:space="preserve"> </w:t>
      </w:r>
      <w:r>
        <w:t xml:space="preserve">- US organic claims map to the USDA National Organic Program regulations (7 CFR Part 205).</w:t>
      </w:r>
      <w:r>
        <w:t xml:space="preserve"> </w:t>
      </w:r>
      <w:hyperlink r:id="rId42">
        <w:r>
          <w:rPr>
            <w:rStyle w:val="Hyperlink"/>
          </w:rPr>
          <w:t xml:space="preserve">[29]</w:t>
        </w:r>
      </w:hyperlink>
      <w:r>
        <w:br/>
      </w:r>
      <w:r>
        <w:t xml:space="preserve">- EU organic claims map to Regulation (EU) 2018/848.</w:t>
      </w:r>
      <w:r>
        <w:t xml:space="preserve"> </w:t>
      </w:r>
      <w:hyperlink r:id="rId43">
        <w:r>
          <w:rPr>
            <w:rStyle w:val="Hyperlink"/>
          </w:rPr>
          <w:t xml:space="preserve">[30]</w:t>
        </w:r>
      </w:hyperlink>
      <w:r>
        <w:br/>
      </w:r>
      <w:r>
        <w:t xml:space="preserve">- Fairtrade pricing mechanics (minimum price + premium and organic differential where applicable) are described by Fairtrade documentation.</w:t>
      </w:r>
      <w:r>
        <w:t xml:space="preserve"> </w:t>
      </w:r>
      <w:hyperlink r:id="rId44">
        <w:r>
          <w:rPr>
            <w:rStyle w:val="Hyperlink"/>
          </w:rPr>
          <w:t xml:space="preserve">[31]</w:t>
        </w:r>
      </w:hyperlink>
      <w:r>
        <w:br/>
      </w:r>
      <w:r>
        <w:t xml:space="preserve">- Rainforest Alliance certification has explicit responsibilities for certificate holders, including data provision, and maintains traceability requirements in its guidance.</w:t>
      </w:r>
      <w:r>
        <w:t xml:space="preserve"> </w:t>
      </w:r>
      <w:hyperlink r:id="rId45">
        <w:r>
          <w:rPr>
            <w:rStyle w:val="Hyperlink"/>
          </w:rPr>
          <w:t xml:space="preserve">[32]</w:t>
        </w:r>
      </w:hyperlink>
    </w:p>
    <w:bookmarkEnd w:id="46"/>
    <w:bookmarkStart w:id="47" w:name="supplier-selection-criteria-table"/>
    <w:p>
      <w:pPr>
        <w:pStyle w:val="Heading3"/>
      </w:pPr>
      <w:r>
        <w:t xml:space="preserve">Supplier selection criteria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Criterion</w:t>
            </w:r>
          </w:p>
        </w:tc>
        <w:tc>
          <w:tcPr/>
          <w:p>
            <w:pPr>
              <w:pStyle w:val="Compact"/>
            </w:pPr>
            <w:r>
              <w:t xml:space="preserve">Why it matters</w:t>
            </w:r>
          </w:p>
        </w:tc>
        <w:tc>
          <w:tcPr/>
          <w:p>
            <w:pPr>
              <w:pStyle w:val="Compact"/>
            </w:pPr>
            <w:r>
              <w:t xml:space="preserve">How to measure</w:t>
            </w:r>
          </w:p>
        </w:tc>
        <w:tc>
          <w:tcPr/>
          <w:p>
            <w:pPr>
              <w:pStyle w:val="Compact"/>
            </w:pPr>
            <w:r>
              <w:t xml:space="preserve">Suggested weight</w:t>
            </w:r>
          </w:p>
        </w:tc>
      </w:tr>
      <w:tr>
        <w:tc>
          <w:tcPr/>
          <w:p>
            <w:pPr>
              <w:pStyle w:val="Compact"/>
            </w:pPr>
            <w:r>
              <w:t xml:space="preserve">Lot-level traceability capability</w:t>
            </w:r>
          </w:p>
        </w:tc>
        <w:tc>
          <w:tcPr/>
          <w:p>
            <w:pPr>
              <w:pStyle w:val="Compact"/>
            </w:pPr>
            <w:r>
              <w:t xml:space="preserve">Enables fast recalls, quality learning, and EU traceability expectations.</w:t>
            </w:r>
            <w:r>
              <w:t xml:space="preserve"> </w:t>
            </w:r>
            <w:hyperlink r:id="rId30">
              <w:r>
                <w:rPr>
                  <w:rStyle w:val="Hyperlink"/>
                </w:rPr>
                <w:t xml:space="preserve">[33]</w:t>
              </w:r>
            </w:hyperlink>
          </w:p>
        </w:tc>
        <w:tc>
          <w:tcPr/>
          <w:p>
            <w:pPr>
              <w:pStyle w:val="Compact"/>
            </w:pPr>
            <w:r>
              <w:t xml:space="preserve">Can supplier provide lot IDs, farm/estate identifiers, process dates, and chain-of-custody docs?</w:t>
            </w:r>
          </w:p>
        </w:tc>
        <w:tc>
          <w:tcPr/>
          <w:p>
            <w:pPr>
              <w:pStyle w:val="Compact"/>
            </w:pPr>
            <w:r>
              <w:t xml:space="preserve">High</w:t>
            </w:r>
          </w:p>
        </w:tc>
      </w:tr>
      <w:tr>
        <w:tc>
          <w:tcPr/>
          <w:p>
            <w:pPr>
              <w:pStyle w:val="Compact"/>
            </w:pPr>
            <w:r>
              <w:t xml:space="preserve">Quality system maturity</w:t>
            </w:r>
          </w:p>
        </w:tc>
        <w:tc>
          <w:tcPr/>
          <w:p>
            <w:pPr>
              <w:pStyle w:val="Compact"/>
            </w:pPr>
            <w:r>
              <w:t xml:space="preserve">Consistency is the main driver of repeat purchase &amp; B2B retention; align with grading/cupping standards.</w:t>
            </w:r>
            <w:r>
              <w:t xml:space="preserve"> </w:t>
            </w:r>
            <w:hyperlink r:id="rId29">
              <w:r>
                <w:rPr>
                  <w:rStyle w:val="Hyperlink"/>
                </w:rPr>
                <w:t xml:space="preserve">[10]</w:t>
              </w:r>
            </w:hyperlink>
          </w:p>
        </w:tc>
        <w:tc>
          <w:tcPr/>
          <w:p>
            <w:pPr>
              <w:pStyle w:val="Compact"/>
            </w:pPr>
            <w:r>
              <w:t xml:space="preserve">Defect counts, sample acceptance rate, cupping score distributions, corrective action responsiveness</w:t>
            </w:r>
          </w:p>
        </w:tc>
        <w:tc>
          <w:tcPr/>
          <w:p>
            <w:pPr>
              <w:pStyle w:val="Compact"/>
            </w:pPr>
            <w:r>
              <w:t xml:space="preserve">High</w:t>
            </w:r>
          </w:p>
        </w:tc>
      </w:tr>
      <w:tr>
        <w:tc>
          <w:tcPr/>
          <w:p>
            <w:pPr>
              <w:pStyle w:val="Compact"/>
            </w:pPr>
            <w:r>
              <w:t xml:space="preserve">Compliance readiness for US/EU import</w:t>
            </w:r>
          </w:p>
        </w:tc>
        <w:tc>
          <w:tcPr/>
          <w:p>
            <w:pPr>
              <w:pStyle w:val="Compact"/>
            </w:pPr>
            <w:r>
              <w:t xml:space="preserve">Avoid shipment holds, relabeling, regulatory risk.</w:t>
            </w:r>
            <w:r>
              <w:t xml:space="preserve"> </w:t>
            </w:r>
            <w:hyperlink r:id="rId26">
              <w:r>
                <w:rPr>
                  <w:rStyle w:val="Hyperlink"/>
                </w:rPr>
                <w:t xml:space="preserve">[34]</w:t>
              </w:r>
            </w:hyperlink>
          </w:p>
        </w:tc>
        <w:tc>
          <w:tcPr/>
          <w:p>
            <w:pPr>
              <w:pStyle w:val="Compact"/>
            </w:pPr>
            <w:r>
              <w:t xml:space="preserve">Document completeness, history of compliant exports, ability to supply certificates and records</w:t>
            </w:r>
          </w:p>
        </w:tc>
        <w:tc>
          <w:tcPr/>
          <w:p>
            <w:pPr>
              <w:pStyle w:val="Compact"/>
            </w:pPr>
            <w:r>
              <w:t xml:space="preserve">High</w:t>
            </w:r>
          </w:p>
        </w:tc>
      </w:tr>
      <w:tr>
        <w:tc>
          <w:tcPr/>
          <w:p>
            <w:pPr>
              <w:pStyle w:val="Compact"/>
            </w:pPr>
            <w:r>
              <w:t xml:space="preserve">EUDR/deforestation due diligence readiness</w:t>
            </w:r>
          </w:p>
        </w:tc>
        <w:tc>
          <w:tcPr/>
          <w:p>
            <w:pPr>
              <w:pStyle w:val="Compact"/>
            </w:pPr>
            <w:r>
              <w:t xml:space="preserve">Material EU market risk with explicit timelines.</w:t>
            </w:r>
            <w:r>
              <w:t xml:space="preserve"> </w:t>
            </w:r>
            <w:hyperlink r:id="rId21">
              <w:r>
                <w:rPr>
                  <w:rStyle w:val="Hyperlink"/>
                </w:rPr>
                <w:t xml:space="preserve">[35]</w:t>
              </w:r>
            </w:hyperlink>
          </w:p>
        </w:tc>
        <w:tc>
          <w:tcPr/>
          <w:p>
            <w:pPr>
              <w:pStyle w:val="Compact"/>
            </w:pPr>
            <w:r>
              <w:t xml:space="preserve">Farm plot data availability, supplier mapping readiness, internal controls</w:t>
            </w:r>
          </w:p>
        </w:tc>
        <w:tc>
          <w:tcPr/>
          <w:p>
            <w:pPr>
              <w:pStyle w:val="Compact"/>
            </w:pPr>
            <w:r>
              <w:t xml:space="preserve">Medium–High</w:t>
            </w:r>
          </w:p>
        </w:tc>
      </w:tr>
      <w:tr>
        <w:tc>
          <w:tcPr/>
          <w:p>
            <w:pPr>
              <w:pStyle w:val="Compact"/>
            </w:pPr>
            <w:r>
              <w:t xml:space="preserve">Certifications (Organic/Fairtrade/RA/INDICOFS)</w:t>
            </w:r>
          </w:p>
        </w:tc>
        <w:tc>
          <w:tcPr/>
          <w:p>
            <w:pPr>
              <w:pStyle w:val="Compact"/>
            </w:pPr>
            <w:r>
              <w:t xml:space="preserve">Useful for specific segments; requires audit discipline.</w:t>
            </w:r>
            <w:r>
              <w:t xml:space="preserve"> </w:t>
            </w:r>
            <w:hyperlink r:id="rId42">
              <w:r>
                <w:rPr>
                  <w:rStyle w:val="Hyperlink"/>
                </w:rPr>
                <w:t xml:space="preserve">[36]</w:t>
              </w:r>
            </w:hyperlink>
          </w:p>
        </w:tc>
        <w:tc>
          <w:tcPr/>
          <w:p>
            <w:pPr>
              <w:pStyle w:val="Compact"/>
            </w:pPr>
            <w:r>
              <w:t xml:space="preserve">Valid certificates, audit frequency, scope coverage</w:t>
            </w:r>
          </w:p>
        </w:tc>
        <w:tc>
          <w:tcPr/>
          <w:p>
            <w:pPr>
              <w:pStyle w:val="Compact"/>
            </w:pPr>
            <w:r>
              <w:t xml:space="preserve">Medium</w:t>
            </w:r>
          </w:p>
        </w:tc>
      </w:tr>
      <w:tr>
        <w:tc>
          <w:tcPr/>
          <w:p>
            <w:pPr>
              <w:pStyle w:val="Compact"/>
            </w:pPr>
            <w:r>
              <w:t xml:space="preserve">Contracting terms &amp; reliability</w:t>
            </w:r>
          </w:p>
        </w:tc>
        <w:tc>
          <w:tcPr/>
          <w:p>
            <w:pPr>
              <w:pStyle w:val="Compact"/>
            </w:pPr>
            <w:r>
              <w:t xml:space="preserve">Lead times and price stability affect unit economics.</w:t>
            </w:r>
          </w:p>
        </w:tc>
        <w:tc>
          <w:tcPr/>
          <w:p>
            <w:pPr>
              <w:pStyle w:val="Compact"/>
            </w:pPr>
            <w:r>
              <w:t xml:space="preserve">On-time performance, MOQ flexibility, payment terms</w:t>
            </w:r>
          </w:p>
        </w:tc>
        <w:tc>
          <w:tcPr/>
          <w:p>
            <w:pPr>
              <w:pStyle w:val="Compact"/>
            </w:pPr>
            <w:r>
              <w:t xml:space="preserve">Medium</w:t>
            </w:r>
          </w:p>
        </w:tc>
      </w:tr>
      <w:tr>
        <w:tc>
          <w:tcPr/>
          <w:p>
            <w:pPr>
              <w:pStyle w:val="Compact"/>
            </w:pPr>
            <w:r>
              <w:t xml:space="preserve">ESG and labor safeguards</w:t>
            </w:r>
          </w:p>
        </w:tc>
        <w:tc>
          <w:tcPr/>
          <w:p>
            <w:pPr>
              <w:pStyle w:val="Compact"/>
            </w:pPr>
            <w:r>
              <w:t xml:space="preserve">Brand risk and long-term partnership stability; aligned with sustainability frameworks.</w:t>
            </w:r>
            <w:r>
              <w:t xml:space="preserve"> </w:t>
            </w:r>
            <w:hyperlink r:id="rId38">
              <w:r>
                <w:rPr>
                  <w:rStyle w:val="Hyperlink"/>
                </w:rPr>
                <w:t xml:space="preserve">[28]</w:t>
              </w:r>
            </w:hyperlink>
          </w:p>
        </w:tc>
        <w:tc>
          <w:tcPr/>
          <w:p>
            <w:pPr>
              <w:pStyle w:val="Compact"/>
            </w:pPr>
            <w:r>
              <w:t xml:space="preserve">Supplier policies, third-party audits, incident history</w:t>
            </w:r>
          </w:p>
        </w:tc>
        <w:tc>
          <w:tcPr/>
          <w:p>
            <w:pPr>
              <w:pStyle w:val="Compact"/>
            </w:pPr>
            <w:r>
              <w:t xml:space="preserve">Medium</w:t>
            </w:r>
          </w:p>
        </w:tc>
      </w:tr>
    </w:tbl>
    <w:bookmarkEnd w:id="47"/>
    <w:bookmarkStart w:id="51" w:name="sample-supplier-list-starting-point"/>
    <w:p>
      <w:pPr>
        <w:pStyle w:val="Heading3"/>
      </w:pPr>
      <w:r>
        <w:t xml:space="preserve">Sample supplier list (starting point)</w:t>
      </w:r>
    </w:p>
    <w:p>
      <w:pPr>
        <w:pStyle w:val="FirstParagraph"/>
      </w:pPr>
      <w:r>
        <w:t xml:space="preserve">Below is a</w:t>
      </w:r>
      <w:r>
        <w:t xml:space="preserve"> </w:t>
      </w:r>
      <w:r>
        <w:rPr>
          <w:b/>
          <w:bCs/>
        </w:rPr>
        <w:t xml:space="preserve">sample</w:t>
      </w:r>
      <w:r>
        <w:t xml:space="preserve"> </w:t>
      </w:r>
      <w:r>
        <w:t xml:space="preserve">list derived from a Coffee Board exporters directory (not a recommendation). In practice, you would re-validate registrations and capabilities via current Coffee Board systems and direct due diligence.</w:t>
      </w:r>
      <w:r>
        <w:t xml:space="preserve"> </w:t>
      </w:r>
      <w:hyperlink r:id="rId48">
        <w:r>
          <w:rPr>
            <w:rStyle w:val="Hyperlink"/>
          </w:rPr>
          <w:t xml:space="preserve">[37]</w:t>
        </w:r>
      </w:hyperlink>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Supplier (example)</w:t>
            </w:r>
          </w:p>
        </w:tc>
        <w:tc>
          <w:tcPr/>
          <w:p>
            <w:pPr>
              <w:pStyle w:val="Compact"/>
            </w:pPr>
            <w:r>
              <w:t xml:space="preserve">Type</w:t>
            </w:r>
          </w:p>
        </w:tc>
        <w:tc>
          <w:tcPr/>
          <w:p>
            <w:pPr>
              <w:pStyle w:val="Compact"/>
            </w:pPr>
            <w:r>
              <w:t xml:space="preserve">Notes</w:t>
            </w:r>
          </w:p>
        </w:tc>
      </w:tr>
      <w:tr>
        <w:tc>
          <w:tcPr/>
          <w:p>
            <w:pPr>
              <w:pStyle w:val="Compact"/>
            </w:pPr>
            <w:r>
              <w:t xml:space="preserve">NKG Jayanti Coffee Pvt. Ltd.</w:t>
            </w:r>
            <w:hyperlink r:id="rId22">
              <w:r>
                <w:rPr>
                  <w:rStyle w:val="Hyperlink"/>
                </w:rPr>
                <w:t xml:space="preserve">[38]</w:t>
              </w:r>
            </w:hyperlink>
          </w:p>
        </w:tc>
        <w:tc>
          <w:tcPr/>
          <w:p>
            <w:pPr>
              <w:pStyle w:val="Compact"/>
            </w:pPr>
            <w:r>
              <w:t xml:space="preserve">Exporter</w:t>
            </w:r>
          </w:p>
        </w:tc>
        <w:tc>
          <w:tcPr/>
          <w:p>
            <w:pPr>
              <w:pStyle w:val="Compact"/>
            </w:pPr>
            <w:r>
              <w:t xml:space="preserve">Listed as a green coffee exporter in Coffee Board directory.</w:t>
            </w:r>
            <w:r>
              <w:t xml:space="preserve"> </w:t>
            </w:r>
            <w:hyperlink r:id="rId49">
              <w:r>
                <w:rPr>
                  <w:rStyle w:val="Hyperlink"/>
                </w:rPr>
                <w:t xml:space="preserve">[39]</w:t>
              </w:r>
            </w:hyperlink>
          </w:p>
        </w:tc>
      </w:tr>
      <w:tr>
        <w:tc>
          <w:tcPr/>
          <w:p>
            <w:pPr>
              <w:pStyle w:val="Compact"/>
            </w:pPr>
            <w:r>
              <w:t xml:space="preserve">Allanasons Limited</w:t>
            </w:r>
            <w:hyperlink r:id="rId50">
              <w:r>
                <w:rPr>
                  <w:rStyle w:val="Hyperlink"/>
                </w:rPr>
                <w:t xml:space="preserve">[40]</w:t>
              </w:r>
            </w:hyperlink>
          </w:p>
        </w:tc>
        <w:tc>
          <w:tcPr/>
          <w:p>
            <w:pPr>
              <w:pStyle w:val="Compact"/>
            </w:pPr>
            <w:r>
              <w:t xml:space="preserve">Exporter</w:t>
            </w:r>
          </w:p>
        </w:tc>
        <w:tc>
          <w:tcPr/>
          <w:p>
            <w:pPr>
              <w:pStyle w:val="Compact"/>
            </w:pPr>
            <w:r>
              <w:t xml:space="preserve">Listed in Coffee Board directory; verify current specialty capabilities and traceability tooling.</w:t>
            </w:r>
            <w:r>
              <w:t xml:space="preserve"> </w:t>
            </w:r>
            <w:hyperlink r:id="rId49">
              <w:r>
                <w:rPr>
                  <w:rStyle w:val="Hyperlink"/>
                </w:rPr>
                <w:t xml:space="preserve">[41]</w:t>
              </w:r>
            </w:hyperlink>
          </w:p>
        </w:tc>
      </w:tr>
      <w:tr>
        <w:tc>
          <w:tcPr/>
          <w:p>
            <w:pPr>
              <w:pStyle w:val="Compact"/>
            </w:pPr>
            <w:r>
              <w:t xml:space="preserve">ITC Limited</w:t>
            </w:r>
            <w:hyperlink r:id="rId49">
              <w:r>
                <w:rPr>
                  <w:rStyle w:val="Hyperlink"/>
                </w:rPr>
                <w:t xml:space="preserve">[42]</w:t>
              </w:r>
            </w:hyperlink>
          </w:p>
        </w:tc>
        <w:tc>
          <w:tcPr/>
          <w:p>
            <w:pPr>
              <w:pStyle w:val="Compact"/>
            </w:pPr>
            <w:r>
              <w:t xml:space="preserve">Exporter / agri business</w:t>
            </w:r>
          </w:p>
        </w:tc>
        <w:tc>
          <w:tcPr/>
          <w:p>
            <w:pPr>
              <w:pStyle w:val="Compact"/>
            </w:pPr>
            <w:r>
              <w:t xml:space="preserve">Listed as exporter; likely more commodity-oriented—useful for baseline supply but validate fit.</w:t>
            </w:r>
            <w:r>
              <w:t xml:space="preserve"> </w:t>
            </w:r>
            <w:hyperlink r:id="rId49">
              <w:r>
                <w:rPr>
                  <w:rStyle w:val="Hyperlink"/>
                </w:rPr>
                <w:t xml:space="preserve">[39]</w:t>
              </w:r>
            </w:hyperlink>
          </w:p>
        </w:tc>
      </w:tr>
      <w:tr>
        <w:tc>
          <w:tcPr/>
          <w:p>
            <w:pPr>
              <w:pStyle w:val="Compact"/>
            </w:pPr>
            <w:r>
              <w:t xml:space="preserve">Amalgamated Bean Coffee Trading Co. Ltd.</w:t>
            </w:r>
            <w:hyperlink r:id="rId49">
              <w:r>
                <w:rPr>
                  <w:rStyle w:val="Hyperlink"/>
                </w:rPr>
                <w:t xml:space="preserve">[43]</w:t>
              </w:r>
            </w:hyperlink>
          </w:p>
        </w:tc>
        <w:tc>
          <w:tcPr/>
          <w:p>
            <w:pPr>
              <w:pStyle w:val="Compact"/>
            </w:pPr>
            <w:r>
              <w:t xml:space="preserve">Exporter</w:t>
            </w:r>
          </w:p>
        </w:tc>
        <w:tc>
          <w:tcPr/>
          <w:p>
            <w:pPr>
              <w:pStyle w:val="Compact"/>
            </w:pPr>
            <w:r>
              <w:t xml:space="preserve">Listed; verify specialty grades access and QC support.</w:t>
            </w:r>
            <w:r>
              <w:t xml:space="preserve"> </w:t>
            </w:r>
            <w:hyperlink r:id="rId49">
              <w:r>
                <w:rPr>
                  <w:rStyle w:val="Hyperlink"/>
                </w:rPr>
                <w:t xml:space="preserve">[41]</w:t>
              </w:r>
            </w:hyperlink>
          </w:p>
        </w:tc>
      </w:tr>
      <w:tr>
        <w:tc>
          <w:tcPr/>
          <w:p>
            <w:pPr>
              <w:pStyle w:val="Compact"/>
            </w:pPr>
            <w:r>
              <w:t xml:space="preserve">Ned Commodities India Pvt. Ltd.</w:t>
            </w:r>
            <w:hyperlink r:id="rId26">
              <w:r>
                <w:rPr>
                  <w:rStyle w:val="Hyperlink"/>
                </w:rPr>
                <w:t xml:space="preserve">[44]</w:t>
              </w:r>
            </w:hyperlink>
          </w:p>
        </w:tc>
        <w:tc>
          <w:tcPr/>
          <w:p>
            <w:pPr>
              <w:pStyle w:val="Compact"/>
            </w:pPr>
            <w:r>
              <w:t xml:space="preserve">Exporter</w:t>
            </w:r>
          </w:p>
        </w:tc>
        <w:tc>
          <w:tcPr/>
          <w:p>
            <w:pPr>
              <w:pStyle w:val="Compact"/>
            </w:pPr>
            <w:r>
              <w:t xml:space="preserve">Listed with Kodagu location; validate traceability and smallholder aggregation practices.</w:t>
            </w:r>
            <w:r>
              <w:t xml:space="preserve"> </w:t>
            </w:r>
            <w:hyperlink r:id="rId49">
              <w:r>
                <w:rPr>
                  <w:rStyle w:val="Hyperlink"/>
                </w:rPr>
                <w:t xml:space="preserve">[39]</w:t>
              </w:r>
            </w:hyperlink>
          </w:p>
        </w:tc>
      </w:tr>
      <w:tr>
        <w:tc>
          <w:tcPr/>
          <w:p>
            <w:pPr>
              <w:pStyle w:val="Compact"/>
            </w:pPr>
            <w:r>
              <w:t xml:space="preserve">Olam Agro India Ltd.</w:t>
            </w:r>
            <w:hyperlink r:id="rId48">
              <w:r>
                <w:rPr>
                  <w:rStyle w:val="Hyperlink"/>
                </w:rPr>
                <w:t xml:space="preserve">[45]</w:t>
              </w:r>
            </w:hyperlink>
          </w:p>
        </w:tc>
        <w:tc>
          <w:tcPr/>
          <w:p>
            <w:pPr>
              <w:pStyle w:val="Compact"/>
            </w:pPr>
            <w:r>
              <w:t xml:space="preserve">Exporter / aggregator</w:t>
            </w:r>
          </w:p>
        </w:tc>
        <w:tc>
          <w:tcPr/>
          <w:p>
            <w:pPr>
              <w:pStyle w:val="Compact"/>
            </w:pPr>
            <w:r>
              <w:t xml:space="preserve">Listed; potential scale partner; validate single-origin / micro-lot pathways.</w:t>
            </w:r>
            <w:r>
              <w:t xml:space="preserve"> </w:t>
            </w:r>
            <w:hyperlink r:id="rId49">
              <w:r>
                <w:rPr>
                  <w:rStyle w:val="Hyperlink"/>
                </w:rPr>
                <w:t xml:space="preserve">[39]</w:t>
              </w:r>
            </w:hyperlink>
          </w:p>
        </w:tc>
      </w:tr>
      <w:tr>
        <w:tc>
          <w:tcPr/>
          <w:p>
            <w:pPr>
              <w:pStyle w:val="Compact"/>
            </w:pPr>
            <w:r>
              <w:t xml:space="preserve">ECOM Gill Coffee Trading Pvt. Ltd.</w:t>
            </w:r>
            <w:hyperlink r:id="rId22">
              <w:r>
                <w:rPr>
                  <w:rStyle w:val="Hyperlink"/>
                </w:rPr>
                <w:t xml:space="preserve">[46]</w:t>
              </w:r>
            </w:hyperlink>
          </w:p>
        </w:tc>
        <w:tc>
          <w:tcPr/>
          <w:p>
            <w:pPr>
              <w:pStyle w:val="Compact"/>
            </w:pPr>
            <w:r>
              <w:t xml:space="preserve">Trader/exporter</w:t>
            </w:r>
          </w:p>
        </w:tc>
        <w:tc>
          <w:tcPr/>
          <w:p>
            <w:pPr>
              <w:pStyle w:val="Compact"/>
            </w:pPr>
            <w:r>
              <w:t xml:space="preserve">Listed; validate transparency and chain-of-custody documentation.</w:t>
            </w:r>
            <w:r>
              <w:t xml:space="preserve"> </w:t>
            </w:r>
            <w:hyperlink r:id="rId49">
              <w:r>
                <w:rPr>
                  <w:rStyle w:val="Hyperlink"/>
                </w:rPr>
                <w:t xml:space="preserve">[39]</w:t>
              </w:r>
            </w:hyperlink>
          </w:p>
        </w:tc>
      </w:tr>
      <w:tr>
        <w:tc>
          <w:tcPr/>
          <w:p>
            <w:pPr>
              <w:pStyle w:val="Compact"/>
            </w:pPr>
            <w:r>
              <w:t xml:space="preserve">Tata Coffee Ltd.</w:t>
            </w:r>
            <w:hyperlink r:id="rId22">
              <w:r>
                <w:rPr>
                  <w:rStyle w:val="Hyperlink"/>
                </w:rPr>
                <w:t xml:space="preserve">[47]</w:t>
              </w:r>
            </w:hyperlink>
          </w:p>
        </w:tc>
        <w:tc>
          <w:tcPr/>
          <w:p>
            <w:pPr>
              <w:pStyle w:val="Compact"/>
            </w:pPr>
            <w:r>
              <w:t xml:space="preserve">Exporter / producer</w:t>
            </w:r>
          </w:p>
        </w:tc>
        <w:tc>
          <w:tcPr/>
          <w:p>
            <w:pPr>
              <w:pStyle w:val="Compact"/>
            </w:pPr>
            <w:r>
              <w:t xml:space="preserve">Listed; corporate structure may have changed since directory publication—reconfirm current contracting entity.</w:t>
            </w:r>
            <w:r>
              <w:t xml:space="preserve"> </w:t>
            </w:r>
            <w:hyperlink r:id="rId49">
              <w:r>
                <w:rPr>
                  <w:rStyle w:val="Hyperlink"/>
                </w:rPr>
                <w:t xml:space="preserve">[39]</w:t>
              </w:r>
            </w:hyperlink>
          </w:p>
        </w:tc>
      </w:tr>
      <w:tr>
        <w:tc>
          <w:tcPr/>
          <w:p>
            <w:pPr>
              <w:pStyle w:val="Compact"/>
            </w:pPr>
            <w:r>
              <w:t xml:space="preserve">entity["company","Aspinwall &amp; Co. Ltd.","exporter mangalore"]</w:t>
            </w:r>
          </w:p>
        </w:tc>
        <w:tc>
          <w:tcPr/>
          <w:p>
            <w:pPr>
              <w:pStyle w:val="Compact"/>
            </w:pPr>
            <w:r>
              <w:t xml:space="preserve">Exporter</w:t>
            </w:r>
          </w:p>
        </w:tc>
        <w:tc>
          <w:tcPr/>
          <w:p>
            <w:pPr>
              <w:pStyle w:val="Compact"/>
            </w:pPr>
            <w:r>
              <w:t xml:space="preserve">Listed; could support port-adjacent logistics; validate specialty and documentation practices.</w:t>
            </w:r>
            <w:r>
              <w:t xml:space="preserve"> </w:t>
            </w:r>
            <w:hyperlink r:id="rId49">
              <w:r>
                <w:rPr>
                  <w:rStyle w:val="Hyperlink"/>
                </w:rPr>
                <w:t xml:space="preserve">[48]</w:t>
              </w:r>
            </w:hyperlink>
          </w:p>
        </w:tc>
      </w:tr>
      <w:tr>
        <w:tc>
          <w:tcPr/>
          <w:p>
            <w:pPr>
              <w:pStyle w:val="Compact"/>
            </w:pPr>
            <w:r>
              <w:t xml:space="preserve">Louis Dreyfus Commodities (I) Pvt. Ltd.</w:t>
            </w:r>
            <w:hyperlink r:id="rId22">
              <w:r>
                <w:rPr>
                  <w:rStyle w:val="Hyperlink"/>
                </w:rPr>
                <w:t xml:space="preserve">[49]</w:t>
              </w:r>
            </w:hyperlink>
          </w:p>
        </w:tc>
        <w:tc>
          <w:tcPr/>
          <w:p>
            <w:pPr>
              <w:pStyle w:val="Compact"/>
            </w:pPr>
            <w:r>
              <w:t xml:space="preserve">Commodity trader</w:t>
            </w:r>
          </w:p>
        </w:tc>
        <w:tc>
          <w:tcPr/>
          <w:p>
            <w:pPr>
              <w:pStyle w:val="Compact"/>
            </w:pPr>
            <w:r>
              <w:t xml:space="preserve">Listed; potential for scaling but not necessarily for boutique differentiation.</w:t>
            </w:r>
            <w:r>
              <w:t xml:space="preserve"> </w:t>
            </w:r>
            <w:hyperlink r:id="rId49">
              <w:r>
                <w:rPr>
                  <w:rStyle w:val="Hyperlink"/>
                </w:rPr>
                <w:t xml:space="preserve">[48]</w:t>
              </w:r>
            </w:hyperlink>
          </w:p>
        </w:tc>
      </w:tr>
    </w:tbl>
    <w:bookmarkEnd w:id="51"/>
    <w:bookmarkStart w:id="53" w:name="supply-chain-and-logistics-design"/>
    <w:p>
      <w:pPr>
        <w:pStyle w:val="Heading3"/>
      </w:pPr>
      <w:r>
        <w:t xml:space="preserve">Supply chain and logistics design</w:t>
      </w:r>
    </w:p>
    <w:p>
      <w:pPr>
        <w:pStyle w:val="FirstParagraph"/>
      </w:pPr>
      <w:r>
        <w:rPr>
          <w:b/>
          <w:bCs/>
        </w:rPr>
        <w:t xml:space="preserve">Operating model recommendation (for freshness + control)</w:t>
      </w:r>
      <w:r>
        <w:br/>
      </w:r>
      <w:r>
        <w:t xml:space="preserve">- Import</w:t>
      </w:r>
      <w:r>
        <w:t xml:space="preserve"> </w:t>
      </w:r>
      <w:r>
        <w:rPr>
          <w:b/>
          <w:bCs/>
        </w:rPr>
        <w:t xml:space="preserve">green coffee</w:t>
      </w:r>
      <w:r>
        <w:t xml:space="preserve"> </w:t>
      </w:r>
      <w:r>
        <w:t xml:space="preserve">to the US/EU and roast locally via a contract roaster or owned micro-roastery. This preserves freshness and allows tighter QA loops.</w:t>
      </w:r>
      <w:r>
        <w:br/>
      </w:r>
      <w:r>
        <w:t xml:space="preserve">- Reserve “roasted at origin” for limited pilots only (shipping time + shelf-life management complexity).</w:t>
      </w:r>
    </w:p>
    <w:p>
      <w:pPr>
        <w:pStyle w:val="BodyText"/>
      </w:pPr>
      <w:r>
        <w:rPr>
          <w:b/>
          <w:bCs/>
        </w:rPr>
        <w:t xml:space="preserve">Quality control backbone</w:t>
      </w:r>
      <w:r>
        <w:t xml:space="preserve"> </w:t>
      </w:r>
      <w:r>
        <w:t xml:space="preserve">- Adopt structured cupping and green grading protocols aligned to specialty standards; the Specialty Coffee Association has published standards and updated cupping frameworks (CVA adoption).</w:t>
      </w:r>
      <w:r>
        <w:t xml:space="preserve"> </w:t>
      </w:r>
      <w:hyperlink r:id="rId29">
        <w:r>
          <w:rPr>
            <w:rStyle w:val="Hyperlink"/>
          </w:rPr>
          <w:t xml:space="preserve">[50]</w:t>
        </w:r>
      </w:hyperlink>
      <w:r>
        <w:br/>
      </w:r>
      <w:r>
        <w:t xml:space="preserve">- Integrate Coffee Board quality specs into intake checks, including moisture standards and grade definitions (notably relevant for monsooned coffees which have different moisture targets).</w:t>
      </w:r>
      <w:r>
        <w:t xml:space="preserve"> </w:t>
      </w:r>
      <w:hyperlink r:id="rId37">
        <w:r>
          <w:rPr>
            <w:rStyle w:val="Hyperlink"/>
          </w:rPr>
          <w:t xml:space="preserve">[51]</w:t>
        </w:r>
      </w:hyperlink>
    </w:p>
    <w:p>
      <w:pPr>
        <w:pStyle w:val="BodyText"/>
      </w:pPr>
      <w:r>
        <w:rPr>
          <w:b/>
          <w:bCs/>
        </w:rPr>
        <w:t xml:space="preserve">Incoterms and contracting</w:t>
      </w:r>
      <w:r>
        <w:br/>
      </w:r>
      <w:r>
        <w:t xml:space="preserve">Use Incoterms as explicit contract terms to avoid “hidden” logistics scope creep; Incoterms are defined by the International Chamber of Commerce and widely referenced by trade authorities.</w:t>
      </w:r>
      <w:r>
        <w:t xml:space="preserve"> </w:t>
      </w:r>
      <w:hyperlink r:id="rId52">
        <w:r>
          <w:rPr>
            <w:rStyle w:val="Hyperlink"/>
          </w:rPr>
          <w:t xml:space="preserve">[52]</w:t>
        </w:r>
      </w:hyperlink>
      <w:r>
        <w:br/>
      </w:r>
      <w:r>
        <w:t xml:space="preserve">Suggested default for early-stage: CIF/CFR to your destination port for simplicity, then shift to FCA/FOB when you have stronger freight competence (assumption; contract choice depends on your team).</w:t>
      </w:r>
    </w:p>
    <w:p>
      <w:pPr>
        <w:pStyle w:val="BodyText"/>
      </w:pPr>
      <w:r>
        <w:rPr>
          <w:b/>
          <w:bCs/>
        </w:rPr>
        <w:t xml:space="preserve">Suggested visual: supply-chain flowchart (Mermaid)</w:t>
      </w:r>
    </w:p>
    <w:p>
      <w:pPr>
        <w:pStyle w:val="SourceCode"/>
      </w:pPr>
      <w:r>
        <w:rPr>
          <w:rStyle w:val="VerbatimChar"/>
        </w:rPr>
        <w:t xml:space="preserve">flowchart LR</w:t>
      </w:r>
      <w:r>
        <w:br/>
      </w:r>
      <w:r>
        <w:rPr>
          <w:rStyle w:val="VerbatimChar"/>
        </w:rPr>
        <w:t xml:space="preserve">  A[Farms / Estates / Collectives] --&gt; B[Primary processing: wet/dry]</w:t>
      </w:r>
      <w:r>
        <w:br/>
      </w:r>
      <w:r>
        <w:rPr>
          <w:rStyle w:val="VerbatimChar"/>
        </w:rPr>
        <w:t xml:space="preserve">  B --&gt; C[Curing / grading / specialty processing]</w:t>
      </w:r>
      <w:r>
        <w:br/>
      </w:r>
      <w:r>
        <w:rPr>
          <w:rStyle w:val="VerbatimChar"/>
        </w:rPr>
        <w:t xml:space="preserve">  C --&gt; D[Exporter documentation + containerization]</w:t>
      </w:r>
      <w:r>
        <w:br/>
      </w:r>
      <w:r>
        <w:rPr>
          <w:rStyle w:val="VerbatimChar"/>
        </w:rPr>
        <w:t xml:space="preserve">  D --&gt; E[Ocean freight]</w:t>
      </w:r>
      <w:r>
        <w:br/>
      </w:r>
      <w:r>
        <w:rPr>
          <w:rStyle w:val="VerbatimChar"/>
        </w:rPr>
        <w:t xml:space="preserve">  E --&gt; F[Import clearance]</w:t>
      </w:r>
      <w:r>
        <w:br/>
      </w:r>
      <w:r>
        <w:rPr>
          <w:rStyle w:val="VerbatimChar"/>
        </w:rPr>
        <w:t xml:space="preserve">  F --&gt; G[Green coffee storage]</w:t>
      </w:r>
      <w:r>
        <w:br/>
      </w:r>
      <w:r>
        <w:rPr>
          <w:rStyle w:val="VerbatimChar"/>
        </w:rPr>
        <w:t xml:space="preserve">  G --&gt; H[Roasting / QA]</w:t>
      </w:r>
      <w:r>
        <w:br/>
      </w:r>
      <w:r>
        <w:rPr>
          <w:rStyle w:val="VerbatimChar"/>
        </w:rPr>
        <w:t xml:space="preserve">  H --&gt; I[Packaging + lot QR]</w:t>
      </w:r>
      <w:r>
        <w:br/>
      </w:r>
      <w:r>
        <w:rPr>
          <w:rStyle w:val="VerbatimChar"/>
        </w:rPr>
        <w:t xml:space="preserve">  I --&gt; J[3PL warehouse]</w:t>
      </w:r>
      <w:r>
        <w:br/>
      </w:r>
      <w:r>
        <w:rPr>
          <w:rStyle w:val="VerbatimChar"/>
        </w:rPr>
        <w:t xml:space="preserve">  J --&gt; K[D2C ship]</w:t>
      </w:r>
      <w:r>
        <w:br/>
      </w:r>
      <w:r>
        <w:rPr>
          <w:rStyle w:val="VerbatimChar"/>
        </w:rPr>
        <w:t xml:space="preserve">  J --&gt; L[B2B deliver]</w:t>
      </w:r>
      <w:r>
        <w:br/>
      </w:r>
      <w:r>
        <w:rPr>
          <w:rStyle w:val="VerbatimChar"/>
        </w:rPr>
        <w:t xml:space="preserve">  H --&gt; M[Data layer: lot ledger + QC + sales]</w:t>
      </w:r>
      <w:r>
        <w:br/>
      </w:r>
      <w:r>
        <w:rPr>
          <w:rStyle w:val="VerbatimChar"/>
        </w:rPr>
        <w:t xml:space="preserve">  M --&gt; N[AI layer: personalization + forecasting]</w:t>
      </w:r>
    </w:p>
    <w:bookmarkEnd w:id="53"/>
    <w:bookmarkStart w:id="62" w:name="X5289d9d30466d4eb24ed983d35655f87f2441d5"/>
    <w:p>
      <w:pPr>
        <w:pStyle w:val="Heading3"/>
      </w:pPr>
      <w:r>
        <w:t xml:space="preserve">US and EU regulatory compliance requirements</w:t>
      </w:r>
    </w:p>
    <w:p>
      <w:pPr>
        <w:pStyle w:val="FirstParagraph"/>
      </w:pPr>
      <w:r>
        <w:t xml:space="preserve">This section is a product requirement: the company must treat compliance artifacts as first-class objects in the platform (documents, timestamps, signatures, lot-to-document bindings), not as an afterthought.</w:t>
      </w:r>
    </w:p>
    <w:p>
      <w:pPr>
        <w:pStyle w:val="BodyText"/>
      </w:pPr>
      <w:r>
        <w:rPr>
          <w:b/>
          <w:bCs/>
        </w:rPr>
        <w:t xml:space="preserve">United States (high-level)</w:t>
      </w:r>
      <w:r>
        <w:t xml:space="preserve"> </w:t>
      </w:r>
      <w:r>
        <w:t xml:space="preserve">-</w:t>
      </w:r>
      <w:r>
        <w:t xml:space="preserve"> </w:t>
      </w:r>
      <w:r>
        <w:rPr>
          <w:b/>
          <w:bCs/>
        </w:rPr>
        <w:t xml:space="preserve">Prior Notice:</w:t>
      </w:r>
      <w:r>
        <w:t xml:space="preserve"> </w:t>
      </w:r>
      <w:r>
        <w:t xml:space="preserve">FDA requires prior notice for imported food shipments; FDA provides a dedicated prior notice program overview.</w:t>
      </w:r>
      <w:r>
        <w:t xml:space="preserve"> </w:t>
      </w:r>
      <w:hyperlink r:id="rId54">
        <w:r>
          <w:rPr>
            <w:rStyle w:val="Hyperlink"/>
          </w:rPr>
          <w:t xml:space="preserve">[53]</w:t>
        </w:r>
      </w:hyperlink>
      <w:r>
        <w:br/>
      </w:r>
      <w:r>
        <w:t xml:space="preserve">-</w:t>
      </w:r>
      <w:r>
        <w:t xml:space="preserve"> </w:t>
      </w:r>
      <w:r>
        <w:rPr>
          <w:b/>
          <w:bCs/>
        </w:rPr>
        <w:t xml:space="preserve">Importer obligations (FSVP):</w:t>
      </w:r>
      <w:r>
        <w:t xml:space="preserve"> </w:t>
      </w:r>
      <w:r>
        <w:t xml:space="preserve">FDA’s FSVP rule establishes importer responsibilities for verifying foreign suppliers, including providing identifiers at entry.</w:t>
      </w:r>
      <w:r>
        <w:t xml:space="preserve"> </w:t>
      </w:r>
      <w:hyperlink r:id="rId50">
        <w:r>
          <w:rPr>
            <w:rStyle w:val="Hyperlink"/>
          </w:rPr>
          <w:t xml:space="preserve">[54]</w:t>
        </w:r>
      </w:hyperlink>
      <w:r>
        <w:br/>
      </w:r>
      <w:r>
        <w:t xml:space="preserve">-</w:t>
      </w:r>
      <w:r>
        <w:t xml:space="preserve"> </w:t>
      </w:r>
      <w:r>
        <w:rPr>
          <w:b/>
          <w:bCs/>
        </w:rPr>
        <w:t xml:space="preserve">Facility registration:</w:t>
      </w:r>
      <w:r>
        <w:t xml:space="preserve"> </w:t>
      </w:r>
      <w:r>
        <w:t xml:space="preserve">Many facilities that manufacture/process/pack/hold food for US consumption must register with FDA and renew every two years; FDA also notes imports generally do not require “prior sanction” if facility registration and prior notice requirements are met.</w:t>
      </w:r>
      <w:r>
        <w:t xml:space="preserve"> </w:t>
      </w:r>
      <w:hyperlink r:id="rId55">
        <w:r>
          <w:rPr>
            <w:rStyle w:val="Hyperlink"/>
          </w:rPr>
          <w:t xml:space="preserve">[55]</w:t>
        </w:r>
      </w:hyperlink>
      <w:r>
        <w:br/>
      </w:r>
      <w:r>
        <w:t xml:space="preserve">-</w:t>
      </w:r>
      <w:r>
        <w:t xml:space="preserve"> </w:t>
      </w:r>
      <w:r>
        <w:rPr>
          <w:b/>
          <w:bCs/>
        </w:rPr>
        <w:t xml:space="preserve">Preventive controls / CGMP:</w:t>
      </w:r>
      <w:r>
        <w:t xml:space="preserve"> </w:t>
      </w:r>
      <w:r>
        <w:t xml:space="preserve">21 CFR Part 117 governs CGMP and hazard analysis/risk-based preventive controls for human food.</w:t>
      </w:r>
      <w:r>
        <w:t xml:space="preserve"> </w:t>
      </w:r>
      <w:hyperlink r:id="rId56">
        <w:r>
          <w:rPr>
            <w:rStyle w:val="Hyperlink"/>
          </w:rPr>
          <w:t xml:space="preserve">[56]</w:t>
        </w:r>
      </w:hyperlink>
    </w:p>
    <w:p>
      <w:pPr>
        <w:pStyle w:val="BodyText"/>
      </w:pPr>
      <w:r>
        <w:rPr>
          <w:b/>
          <w:bCs/>
        </w:rPr>
        <w:t xml:space="preserve">European Union (high-level)</w:t>
      </w:r>
      <w:r>
        <w:t xml:space="preserve"> </w:t>
      </w:r>
      <w:r>
        <w:t xml:space="preserve">-</w:t>
      </w:r>
      <w:r>
        <w:t xml:space="preserve"> </w:t>
      </w:r>
      <w:r>
        <w:rPr>
          <w:b/>
          <w:bCs/>
        </w:rPr>
        <w:t xml:space="preserve">Food traceability:</w:t>
      </w:r>
      <w:r>
        <w:t xml:space="preserve"> </w:t>
      </w:r>
      <w:r>
        <w:t xml:space="preserve">Regulation (EC) 178/2002 includes traceability obligations (Article 18).</w:t>
      </w:r>
      <w:r>
        <w:t xml:space="preserve"> </w:t>
      </w:r>
      <w:hyperlink r:id="rId30">
        <w:r>
          <w:rPr>
            <w:rStyle w:val="Hyperlink"/>
          </w:rPr>
          <w:t xml:space="preserve">[57]</w:t>
        </w:r>
      </w:hyperlink>
      <w:r>
        <w:br/>
      </w:r>
      <w:r>
        <w:t xml:space="preserve">-</w:t>
      </w:r>
      <w:r>
        <w:t xml:space="preserve"> </w:t>
      </w:r>
      <w:r>
        <w:rPr>
          <w:b/>
          <w:bCs/>
        </w:rPr>
        <w:t xml:space="preserve">Hygiene &amp; HACCP:</w:t>
      </w:r>
      <w:r>
        <w:t xml:space="preserve"> </w:t>
      </w:r>
      <w:r>
        <w:t xml:space="preserve">Regulation (EC) 852/2004 requires HACCP-based procedures (Article 5).</w:t>
      </w:r>
      <w:r>
        <w:t xml:space="preserve"> </w:t>
      </w:r>
      <w:hyperlink r:id="rId57">
        <w:r>
          <w:rPr>
            <w:rStyle w:val="Hyperlink"/>
          </w:rPr>
          <w:t xml:space="preserve">[58]</w:t>
        </w:r>
      </w:hyperlink>
      <w:r>
        <w:br/>
      </w:r>
      <w:r>
        <w:t xml:space="preserve">-</w:t>
      </w:r>
      <w:r>
        <w:t xml:space="preserve"> </w:t>
      </w:r>
      <w:r>
        <w:rPr>
          <w:b/>
          <w:bCs/>
        </w:rPr>
        <w:t xml:space="preserve">Official controls:</w:t>
      </w:r>
      <w:r>
        <w:t xml:space="preserve"> </w:t>
      </w:r>
      <w:r>
        <w:t xml:space="preserve">Regulation (EU) 2017/625 governs official controls and import-related enforcement structure.</w:t>
      </w:r>
      <w:r>
        <w:t xml:space="preserve"> </w:t>
      </w:r>
      <w:hyperlink r:id="rId58">
        <w:r>
          <w:rPr>
            <w:rStyle w:val="Hyperlink"/>
          </w:rPr>
          <w:t xml:space="preserve">[59]</w:t>
        </w:r>
      </w:hyperlink>
      <w:r>
        <w:br/>
      </w:r>
      <w:r>
        <w:t xml:space="preserve">-</w:t>
      </w:r>
      <w:r>
        <w:t xml:space="preserve"> </w:t>
      </w:r>
      <w:r>
        <w:rPr>
          <w:b/>
          <w:bCs/>
        </w:rPr>
        <w:t xml:space="preserve">Labeling:</w:t>
      </w:r>
      <w:r>
        <w:t xml:space="preserve"> </w:t>
      </w:r>
      <w:r>
        <w:t xml:space="preserve">Regulation (EU) 1169/2011 is the core framework for food information to consumers.</w:t>
      </w:r>
      <w:r>
        <w:t xml:space="preserve"> </w:t>
      </w:r>
      <w:hyperlink r:id="rId59">
        <w:r>
          <w:rPr>
            <w:rStyle w:val="Hyperlink"/>
          </w:rPr>
          <w:t xml:space="preserve">[60]</w:t>
        </w:r>
      </w:hyperlink>
      <w:r>
        <w:br/>
      </w:r>
      <w:r>
        <w:t xml:space="preserve">-</w:t>
      </w:r>
      <w:r>
        <w:t xml:space="preserve"> </w:t>
      </w:r>
      <w:r>
        <w:rPr>
          <w:b/>
          <w:bCs/>
        </w:rPr>
        <w:t xml:space="preserve">Contaminants and roasting-related risks:</w:t>
      </w:r>
      <w:r>
        <w:t xml:space="preserve"> </w:t>
      </w:r>
      <w:r>
        <w:t xml:space="preserve">Regulation (EU) 2023/915 sets maximum levels for certain contaminants; acrylamide mitigation measures are established in Regulation (EU) 2017/2158, and coffee is explicitly discussed in exporter-facing guidance.</w:t>
      </w:r>
      <w:r>
        <w:t xml:space="preserve"> </w:t>
      </w:r>
      <w:hyperlink r:id="rId60">
        <w:r>
          <w:rPr>
            <w:rStyle w:val="Hyperlink"/>
          </w:rPr>
          <w:t xml:space="preserve">[61]</w:t>
        </w:r>
      </w:hyperlink>
      <w:r>
        <w:br/>
      </w:r>
      <w:r>
        <w:t xml:space="preserve">-</w:t>
      </w:r>
      <w:r>
        <w:t xml:space="preserve"> </w:t>
      </w:r>
      <w:r>
        <w:rPr>
          <w:b/>
          <w:bCs/>
        </w:rPr>
        <w:t xml:space="preserve">Pesticide residues:</w:t>
      </w:r>
      <w:r>
        <w:t xml:space="preserve"> </w:t>
      </w:r>
      <w:r>
        <w:t xml:space="preserve">Regulation (EC) 396/2005 establishes maximum residue levels for pesticides in/on food.</w:t>
      </w:r>
      <w:r>
        <w:t xml:space="preserve"> </w:t>
      </w:r>
      <w:hyperlink r:id="rId61">
        <w:r>
          <w:rPr>
            <w:rStyle w:val="Hyperlink"/>
          </w:rPr>
          <w:t xml:space="preserve">[62]</w:t>
        </w:r>
      </w:hyperlink>
      <w:r>
        <w:br/>
      </w:r>
      <w:r>
        <w:t xml:space="preserve">-</w:t>
      </w:r>
      <w:r>
        <w:t xml:space="preserve"> </w:t>
      </w:r>
      <w:r>
        <w:rPr>
          <w:b/>
          <w:bCs/>
        </w:rPr>
        <w:t xml:space="preserve">Organic:</w:t>
      </w:r>
      <w:r>
        <w:t xml:space="preserve"> </w:t>
      </w:r>
      <w:r>
        <w:t xml:space="preserve">Regulation (EU) 2018/848 governs organic production and labeling.</w:t>
      </w:r>
      <w:r>
        <w:t xml:space="preserve"> </w:t>
      </w:r>
      <w:hyperlink r:id="rId43">
        <w:r>
          <w:rPr>
            <w:rStyle w:val="Hyperlink"/>
          </w:rPr>
          <w:t xml:space="preserve">[30]</w:t>
        </w:r>
      </w:hyperlink>
      <w:r>
        <w:br/>
      </w:r>
      <w:r>
        <w:t xml:space="preserve">-</w:t>
      </w:r>
      <w:r>
        <w:t xml:space="preserve"> </w:t>
      </w:r>
      <w:r>
        <w:rPr>
          <w:b/>
          <w:bCs/>
        </w:rPr>
        <w:t xml:space="preserve">Deforestation due diligence:</w:t>
      </w:r>
      <w:r>
        <w:t xml:space="preserve"> </w:t>
      </w:r>
      <w:r>
        <w:t xml:space="preserve">EU sources report the postponement and application timelines relevant to coffee supply chains.</w:t>
      </w:r>
      <w:r>
        <w:t xml:space="preserve"> </w:t>
      </w:r>
      <w:hyperlink r:id="rId21">
        <w:r>
          <w:rPr>
            <w:rStyle w:val="Hyperlink"/>
          </w:rPr>
          <w:t xml:space="preserve">[27]</w:t>
        </w:r>
      </w:hyperlink>
    </w:p>
    <w:bookmarkEnd w:id="62"/>
    <w:bookmarkEnd w:id="63"/>
    <w:bookmarkStart w:id="68" w:name="Xf82b29791a1d0cc55b9e9e52eda6794e55abd29"/>
    <w:p>
      <w:pPr>
        <w:pStyle w:val="Heading2"/>
      </w:pPr>
      <w:r>
        <w:t xml:space="preserve">Pricing, unit economics, and revenue models</w:t>
      </w:r>
    </w:p>
    <w:bookmarkStart w:id="64" w:name="revenue-models"/>
    <w:p>
      <w:pPr>
        <w:pStyle w:val="Heading3"/>
      </w:pPr>
      <w:r>
        <w:t xml:space="preserve">Revenue models</w:t>
      </w:r>
    </w:p>
    <w:p>
      <w:pPr>
        <w:pStyle w:val="Compact"/>
        <w:numPr>
          <w:ilvl w:val="0"/>
          <w:numId w:val="1001"/>
        </w:numPr>
      </w:pPr>
      <w:r>
        <w:rPr>
          <w:b/>
          <w:bCs/>
        </w:rPr>
        <w:t xml:space="preserve">D2C one-time purchases</w:t>
      </w:r>
      <w:r>
        <w:t xml:space="preserve"> </w:t>
      </w:r>
      <w:r>
        <w:t xml:space="preserve">(brand discovery and high-margin channel)</w:t>
      </w:r>
    </w:p>
    <w:p>
      <w:pPr>
        <w:pStyle w:val="Compact"/>
        <w:numPr>
          <w:ilvl w:val="0"/>
          <w:numId w:val="1001"/>
        </w:numPr>
      </w:pPr>
      <w:r>
        <w:rPr>
          <w:b/>
          <w:bCs/>
        </w:rPr>
        <w:t xml:space="preserve">D2C subscription</w:t>
      </w:r>
      <w:r>
        <w:t xml:space="preserve"> </w:t>
      </w:r>
      <w:r>
        <w:t xml:space="preserve">(forecastable demand; lower CAC payback risk)</w:t>
      </w:r>
    </w:p>
    <w:p>
      <w:pPr>
        <w:pStyle w:val="Compact"/>
        <w:numPr>
          <w:ilvl w:val="0"/>
          <w:numId w:val="1001"/>
        </w:numPr>
      </w:pPr>
      <w:r>
        <w:rPr>
          <w:b/>
          <w:bCs/>
        </w:rPr>
        <w:t xml:space="preserve">Wholesale / foodservice (B2B)</w:t>
      </w:r>
      <w:r>
        <w:t xml:space="preserve"> </w:t>
      </w:r>
      <w:r>
        <w:t xml:space="preserve">(repeatable volume; strengthens forecasting data)</w:t>
      </w:r>
    </w:p>
    <w:p>
      <w:pPr>
        <w:pStyle w:val="Compact"/>
        <w:numPr>
          <w:ilvl w:val="0"/>
          <w:numId w:val="1001"/>
        </w:numPr>
      </w:pPr>
      <w:r>
        <w:rPr>
          <w:b/>
          <w:bCs/>
        </w:rPr>
        <w:t xml:space="preserve">Private label / co-branded “India provenance” programs</w:t>
      </w:r>
      <w:r>
        <w:t xml:space="preserve"> </w:t>
      </w:r>
      <w:r>
        <w:t xml:space="preserve">(selective; defend brand)</w:t>
      </w:r>
    </w:p>
    <w:p>
      <w:pPr>
        <w:pStyle w:val="Compact"/>
        <w:numPr>
          <w:ilvl w:val="0"/>
          <w:numId w:val="1001"/>
        </w:numPr>
      </w:pPr>
      <w:r>
        <w:rPr>
          <w:b/>
          <w:bCs/>
        </w:rPr>
        <w:t xml:space="preserve">Data/AI services</w:t>
      </w:r>
      <w:r>
        <w:t xml:space="preserve"> </w:t>
      </w:r>
      <w:r>
        <w:t xml:space="preserve">(B2B SaaS + traceability API + compliance document packs): monetize the “lot ledger” and analytics rather than only the beans.</w:t>
      </w:r>
    </w:p>
    <w:bookmarkEnd w:id="64"/>
    <w:bookmarkStart w:id="65" w:name="pricing-strategy-conceptual"/>
    <w:p>
      <w:pPr>
        <w:pStyle w:val="Heading3"/>
      </w:pPr>
      <w:r>
        <w:t xml:space="preserve">Pricing strategy (conceptual)</w:t>
      </w:r>
    </w:p>
    <w:p>
      <w:pPr>
        <w:pStyle w:val="Compact"/>
        <w:numPr>
          <w:ilvl w:val="0"/>
          <w:numId w:val="1002"/>
        </w:numPr>
      </w:pPr>
      <w:r>
        <w:t xml:space="preserve">Anchor on a “good-better-best” ladder:</w:t>
      </w:r>
    </w:p>
    <w:p>
      <w:pPr>
        <w:pStyle w:val="Compact"/>
        <w:numPr>
          <w:ilvl w:val="0"/>
          <w:numId w:val="1002"/>
        </w:numPr>
      </w:pPr>
      <w:r>
        <w:rPr>
          <w:b/>
          <w:bCs/>
        </w:rPr>
        <w:t xml:space="preserve">Good:</w:t>
      </w:r>
      <w:r>
        <w:t xml:space="preserve"> </w:t>
      </w:r>
      <w:r>
        <w:t xml:space="preserve">robusta specialty grade for espresso/cold brew;</w:t>
      </w:r>
    </w:p>
    <w:p>
      <w:pPr>
        <w:pStyle w:val="Compact"/>
        <w:numPr>
          <w:ilvl w:val="0"/>
          <w:numId w:val="1002"/>
        </w:numPr>
      </w:pPr>
      <w:r>
        <w:rPr>
          <w:b/>
          <w:bCs/>
        </w:rPr>
        <w:t xml:space="preserve">Better:</w:t>
      </w:r>
      <w:r>
        <w:t xml:space="preserve"> </w:t>
      </w:r>
      <w:r>
        <w:t xml:space="preserve">core washed Arabicas (S.795/Cauvery mix-driven origins);</w:t>
      </w:r>
    </w:p>
    <w:p>
      <w:pPr>
        <w:pStyle w:val="Compact"/>
        <w:numPr>
          <w:ilvl w:val="0"/>
          <w:numId w:val="1002"/>
        </w:numPr>
      </w:pPr>
      <w:r>
        <w:rPr>
          <w:b/>
          <w:bCs/>
        </w:rPr>
        <w:t xml:space="preserve">Best:</w:t>
      </w:r>
      <w:r>
        <w:t xml:space="preserve"> </w:t>
      </w:r>
      <w:r>
        <w:t xml:space="preserve">micro-lots/high-grown/award-oriented Arabicas and monsooned specialty.</w:t>
      </w:r>
    </w:p>
    <w:p>
      <w:pPr>
        <w:pStyle w:val="FirstParagraph"/>
      </w:pPr>
      <w:r>
        <w:t xml:space="preserve">Coffee Board’s specialty coffee framing supports premium willingness-to-pay when origin/process is clear and handling/appearance are treated as part of the product.</w:t>
      </w:r>
      <w:r>
        <w:t xml:space="preserve"> </w:t>
      </w:r>
      <w:hyperlink r:id="rId23">
        <w:r>
          <w:rPr>
            <w:rStyle w:val="Hyperlink"/>
          </w:rPr>
          <w:t xml:space="preserve">[17]</w:t>
        </w:r>
      </w:hyperlink>
    </w:p>
    <w:bookmarkEnd w:id="65"/>
    <w:bookmarkStart w:id="66" w:name="Xb67ce4da9e2e27354d34132ad90df324d219f95"/>
    <w:p>
      <w:pPr>
        <w:pStyle w:val="Heading3"/>
      </w:pPr>
      <w:r>
        <w:t xml:space="preserve">Unit economics (illustrative; assumptions explicit)</w:t>
      </w:r>
    </w:p>
    <w:p>
      <w:pPr>
        <w:pStyle w:val="FirstParagraph"/>
      </w:pPr>
      <w:r>
        <w:t xml:space="preserve">Below is an example contribution model for a 12 oz (340g) D2C bag. All numeric values are assumptions for planning, not facts. Use them to validate feasibility, then replace with your quotes.</w:t>
      </w:r>
    </w:p>
    <w:p>
      <w:pPr>
        <w:pStyle w:val="BodyText"/>
      </w:pPr>
      <w:r>
        <w:rPr>
          <w:b/>
          <w:bCs/>
        </w:rPr>
        <w:t xml:space="preserve">Assumptions (planning placeholders):</w:t>
      </w:r>
      <w:r>
        <w:t xml:space="preserve"> </w:t>
      </w:r>
      <w:r>
        <w:t xml:space="preserve">- Retail price per 12 oz bag:</w:t>
      </w:r>
      <w:r>
        <w:t xml:space="preserve"> </w:t>
      </w:r>
      <w:r>
        <w:rPr>
          <w:b/>
          <w:bCs/>
        </w:rPr>
        <w:t xml:space="preserve">$18.00</w:t>
      </w:r>
      <w:r>
        <w:t xml:space="preserve"> </w:t>
      </w:r>
      <w:r>
        <w:t xml:space="preserve">- Green coffee required per 12 oz roasted bag (yield loss):</w:t>
      </w:r>
      <w:r>
        <w:t xml:space="preserve"> </w:t>
      </w:r>
      <w:r>
        <w:rPr>
          <w:b/>
          <w:bCs/>
        </w:rPr>
        <w:t xml:space="preserve">0.90 lb green</w:t>
      </w:r>
      <w:r>
        <w:t xml:space="preserve"> </w:t>
      </w:r>
      <w:r>
        <w:t xml:space="preserve">(assumption)</w:t>
      </w:r>
      <w:r>
        <w:t xml:space="preserve"> </w:t>
      </w:r>
      <w:r>
        <w:t xml:space="preserve">- Green coffee landed cost:</w:t>
      </w:r>
      <w:r>
        <w:t xml:space="preserve"> </w:t>
      </w:r>
      <w:r>
        <w:rPr>
          <w:b/>
          <w:bCs/>
        </w:rPr>
        <w:t xml:space="preserve">$4.00/lb</w:t>
      </w:r>
      <w:r>
        <w:t xml:space="preserve"> </w:t>
      </w:r>
      <w:r>
        <w:t xml:space="preserve">(assumption)</w:t>
      </w:r>
      <w:r>
        <w:t xml:space="preserve"> </w:t>
      </w:r>
      <w:r>
        <w:t xml:space="preserve">- Roasting + packaging + pick/pack:</w:t>
      </w:r>
      <w:r>
        <w:t xml:space="preserve"> </w:t>
      </w:r>
      <w:r>
        <w:rPr>
          <w:b/>
          <w:bCs/>
        </w:rPr>
        <w:t xml:space="preserve">$2.50/bag</w:t>
      </w:r>
      <w:r>
        <w:t xml:space="preserve"> </w:t>
      </w:r>
      <w:r>
        <w:t xml:space="preserve">(assumption)</w:t>
      </w:r>
      <w:r>
        <w:t xml:space="preserve"> </w:t>
      </w:r>
      <w:r>
        <w:t xml:space="preserve">- Payment processing:</w:t>
      </w:r>
      <w:r>
        <w:t xml:space="preserve"> </w:t>
      </w:r>
      <w:r>
        <w:rPr>
          <w:b/>
          <w:bCs/>
        </w:rPr>
        <w:t xml:space="preserve">3.2% + $0.30</w:t>
      </w:r>
      <w:r>
        <w:t xml:space="preserve"> </w:t>
      </w:r>
      <w:r>
        <w:t xml:space="preserve">(assumption)</w:t>
      </w:r>
      <w:r>
        <w:t xml:space="preserve"> </w:t>
      </w:r>
      <w:r>
        <w:t xml:space="preserve">- Customer shipping: either paid by customer or subsidized (model separately)</w:t>
      </w:r>
    </w:p>
    <w:p>
      <w:pPr>
        <w:pStyle w:val="BodyText"/>
      </w:pPr>
      <w:r>
        <w:rPr>
          <w:b/>
          <w:bCs/>
        </w:rPr>
        <w:t xml:space="preserve">Illustrative per-bag economics (excluding marketing &amp; shipping)</w:t>
      </w:r>
      <w:r>
        <w:t xml:space="preserve"> </w:t>
      </w:r>
      <w:r>
        <w:t xml:space="preserve">- Revenue: $18.00</w:t>
      </w:r>
      <w:r>
        <w:br/>
      </w:r>
      <w:r>
        <w:t xml:space="preserve">- COGS: green $3.60 + roast/pack/fulfill $2.50 = $6.10</w:t>
      </w:r>
      <w:r>
        <w:br/>
      </w:r>
      <w:r>
        <w:t xml:space="preserve">- Payment fees: ~$0.88</w:t>
      </w:r>
      <w:r>
        <w:br/>
      </w:r>
      <w:r>
        <w:t xml:space="preserve">-</w:t>
      </w:r>
      <w:r>
        <w:t xml:space="preserve"> </w:t>
      </w:r>
      <w:r>
        <w:rPr>
          <w:b/>
          <w:bCs/>
        </w:rPr>
        <w:t xml:space="preserve">Gross profit (pre-shipping, pre-CAC): ~$11.02 (~61%)</w:t>
      </w:r>
    </w:p>
    <w:p>
      <w:pPr>
        <w:pStyle w:val="BodyText"/>
      </w:pPr>
      <w:r>
        <w:rPr>
          <w:b/>
          <w:bCs/>
        </w:rPr>
        <w:t xml:space="preserve">Suggested visual: simple unit-economics chart (Mermaid)</w:t>
      </w:r>
    </w:p>
    <w:p>
      <w:pPr>
        <w:pStyle w:val="SourceCode"/>
      </w:pPr>
      <w:r>
        <w:rPr>
          <w:rStyle w:val="VerbatimChar"/>
        </w:rPr>
        <w:t xml:space="preserve">xychart-beta</w:t>
      </w:r>
      <w:r>
        <w:br/>
      </w:r>
      <w:r>
        <w:rPr>
          <w:rStyle w:val="VerbatimChar"/>
        </w:rPr>
        <w:t xml:space="preserve">  title "Illustrative D2C unit economics per 12 oz bag (USD)"</w:t>
      </w:r>
      <w:r>
        <w:br/>
      </w:r>
      <w:r>
        <w:rPr>
          <w:rStyle w:val="VerbatimChar"/>
        </w:rPr>
        <w:t xml:space="preserve">  x-axis ["Price","COGS","Payment fees","Gross profit"]</w:t>
      </w:r>
      <w:r>
        <w:br/>
      </w:r>
      <w:r>
        <w:rPr>
          <w:rStyle w:val="VerbatimChar"/>
        </w:rPr>
        <w:t xml:space="preserve">  y-axis "USD" 0 --&gt; 20</w:t>
      </w:r>
      <w:r>
        <w:br/>
      </w:r>
      <w:r>
        <w:rPr>
          <w:rStyle w:val="VerbatimChar"/>
        </w:rPr>
        <w:t xml:space="preserve">  bar [18.0, 6.1, 0.9, 11.0]</w:t>
      </w:r>
    </w:p>
    <w:bookmarkEnd w:id="66"/>
    <w:bookmarkStart w:id="67" w:name="Xc8ddf89a0bd4c2e8b83054e2e4b87f2c9d4f041"/>
    <w:p>
      <w:pPr>
        <w:pStyle w:val="Heading3"/>
      </w:pPr>
      <w:r>
        <w:t xml:space="preserve">Financial projections (12 months; base case with explicit assumptions)</w:t>
      </w:r>
    </w:p>
    <w:p>
      <w:pPr>
        <w:pStyle w:val="FirstParagraph"/>
      </w:pPr>
      <w:r>
        <w:rPr>
          <w:b/>
          <w:bCs/>
        </w:rPr>
        <w:t xml:space="preserve">Assumptions</w:t>
      </w:r>
      <w:r>
        <w:t xml:space="preserve"> </w:t>
      </w:r>
      <w:r>
        <w:t xml:space="preserve">- Sales start in Month 4 (after sourcing, compliance setup, and initial inventory).</w:t>
      </w:r>
      <w:r>
        <w:br/>
      </w:r>
      <w:r>
        <w:t xml:space="preserve">- Average D2C net revenue per bag:</w:t>
      </w:r>
      <w:r>
        <w:t xml:space="preserve"> </w:t>
      </w:r>
      <w:r>
        <w:rPr>
          <w:b/>
          <w:bCs/>
        </w:rPr>
        <w:t xml:space="preserve">$17</w:t>
      </w:r>
      <w:r>
        <w:t xml:space="preserve"> </w:t>
      </w:r>
      <w:r>
        <w:t xml:space="preserve">(mix of promos/subscription; assumption).</w:t>
      </w:r>
      <w:r>
        <w:br/>
      </w:r>
      <w:r>
        <w:t xml:space="preserve">- Average D2C gross margin:</w:t>
      </w:r>
      <w:r>
        <w:t xml:space="preserve"> </w:t>
      </w:r>
      <w:r>
        <w:rPr>
          <w:b/>
          <w:bCs/>
        </w:rPr>
        <w:t xml:space="preserve">58%</w:t>
      </w:r>
      <w:r>
        <w:t xml:space="preserve"> </w:t>
      </w:r>
      <w:r>
        <w:t xml:space="preserve">(assumption; reflects scale inefficiencies early).</w:t>
      </w:r>
      <w:r>
        <w:br/>
      </w:r>
      <w:r>
        <w:t xml:space="preserve">- Wholesale starts Month 6 with pilot accounts.</w:t>
      </w:r>
      <w:r>
        <w:br/>
      </w:r>
      <w:r>
        <w:t xml:space="preserve">- AI services start Month 8 (minimum viable B2B analytics + portal).</w:t>
      </w:r>
      <w:r>
        <w:br/>
      </w:r>
      <w:r>
        <w:t xml:space="preserve">- Founder salary excluded in Year 1 (assumption).</w:t>
      </w:r>
      <w:r>
        <w:br/>
      </w:r>
      <w:r>
        <w:t xml:space="preserve">- Primary spend is ops + inventory + marketing + core tech.</w:t>
      </w:r>
    </w:p>
    <w:p>
      <w:pPr>
        <w:pStyle w:val="BodyText"/>
      </w:pPr>
      <w:r>
        <w:rPr>
          <w:b/>
          <w:bCs/>
        </w:rPr>
        <w:t xml:space="preserve">Base-case annualized view (illustrative)</w:t>
      </w:r>
      <w:r>
        <w:br/>
      </w:r>
      <w:r>
        <w:t xml:space="preserve">- D2C revenue (M4–M12): ~$0.47M (assumption)</w:t>
      </w:r>
      <w:r>
        <w:br/>
      </w:r>
      <w:r>
        <w:t xml:space="preserve">- B2B wholesale revenue (M6–M12): ~$0.22M (assumption)</w:t>
      </w:r>
      <w:r>
        <w:br/>
      </w:r>
      <w:r>
        <w:t xml:space="preserve">- AI services revenue (M8–M12): ~$0.02–0.05M (assumption)</w:t>
      </w:r>
      <w:r>
        <w:br/>
      </w:r>
      <w:r>
        <w:t xml:space="preserve">-</w:t>
      </w:r>
      <w:r>
        <w:t xml:space="preserve"> </w:t>
      </w:r>
      <w:r>
        <w:rPr>
          <w:b/>
          <w:bCs/>
        </w:rPr>
        <w:t xml:space="preserve">Total Year-1 revenue:</w:t>
      </w:r>
      <w:r>
        <w:t xml:space="preserve"> </w:t>
      </w:r>
      <w:r>
        <w:t xml:space="preserve">~$0.70M (assumption)</w:t>
      </w:r>
      <w:r>
        <w:br/>
      </w:r>
      <w:r>
        <w:t xml:space="preserve">-</w:t>
      </w:r>
      <w:r>
        <w:t xml:space="preserve"> </w:t>
      </w:r>
      <w:r>
        <w:rPr>
          <w:b/>
          <w:bCs/>
        </w:rPr>
        <w:t xml:space="preserve">Gross margin:</w:t>
      </w:r>
      <w:r>
        <w:t xml:space="preserve"> </w:t>
      </w:r>
      <w:r>
        <w:t xml:space="preserve">~45–55% blended (assumption; wholesale pulls margin down, but stabilizes volume)</w:t>
      </w:r>
    </w:p>
    <w:p>
      <w:pPr>
        <w:pStyle w:val="BodyText"/>
      </w:pPr>
      <w:r>
        <w:rPr>
          <w:b/>
          <w:bCs/>
        </w:rPr>
        <w:t xml:space="preserve">Budget guidance (ranges; replace with quotes)</w:t>
      </w:r>
      <w:r>
        <w:t xml:space="preserve"> </w:t>
      </w:r>
      <w:r>
        <w:t xml:space="preserve">- Lean build (8–10 FTE-equivalents blended with contractors):</w:t>
      </w:r>
      <w:r>
        <w:t xml:space="preserve"> </w:t>
      </w:r>
      <w:r>
        <w:rPr>
          <w:b/>
          <w:bCs/>
        </w:rPr>
        <w:t xml:space="preserve">$1.0M–$1.8M</w:t>
      </w:r>
      <w:r>
        <w:t xml:space="preserve"> </w:t>
      </w:r>
      <w:r>
        <w:t xml:space="preserve">annual cash spend (assumption)</w:t>
      </w:r>
      <w:r>
        <w:br/>
      </w:r>
      <w:r>
        <w:t xml:space="preserve">- Growth build (adds EU ops, stronger marketing, more inventory buffer):</w:t>
      </w:r>
      <w:r>
        <w:t xml:space="preserve"> </w:t>
      </w:r>
      <w:r>
        <w:rPr>
          <w:b/>
          <w:bCs/>
        </w:rPr>
        <w:t xml:space="preserve">$2.0M–$3.5M</w:t>
      </w:r>
      <w:r>
        <w:t xml:space="preserve"> </w:t>
      </w:r>
      <w:r>
        <w:t xml:space="preserve">(assumption)</w:t>
      </w:r>
    </w:p>
    <w:bookmarkEnd w:id="67"/>
    <w:bookmarkEnd w:id="68"/>
    <w:bookmarkStart w:id="77" w:name="X59267d25d9838b1276098f8f01a31e6ebf4cdb3"/>
    <w:p>
      <w:pPr>
        <w:pStyle w:val="Heading2"/>
      </w:pPr>
      <w:r>
        <w:t xml:space="preserve">Technical architecture for AI components and data governance</w:t>
      </w:r>
    </w:p>
    <w:bookmarkStart w:id="70" w:name="architecture-goals"/>
    <w:p>
      <w:pPr>
        <w:pStyle w:val="Heading3"/>
      </w:pPr>
      <w:r>
        <w:t xml:space="preserve">Architecture goals</w:t>
      </w:r>
    </w:p>
    <w:p>
      <w:pPr>
        <w:pStyle w:val="Compact"/>
        <w:numPr>
          <w:ilvl w:val="0"/>
          <w:numId w:val="1003"/>
        </w:numPr>
      </w:pPr>
      <w:r>
        <w:t xml:space="preserve">Make “lot truth” reliable: create a system where</w:t>
      </w:r>
      <w:r>
        <w:t xml:space="preserve"> </w:t>
      </w:r>
      <w:r>
        <w:rPr>
          <w:b/>
          <w:bCs/>
        </w:rPr>
        <w:t xml:space="preserve">every bag is traceable to a lot</w:t>
      </w:r>
      <w:r>
        <w:t xml:space="preserve">, and every lot has structured metadata.</w:t>
      </w:r>
    </w:p>
    <w:p>
      <w:pPr>
        <w:pStyle w:val="Compact"/>
        <w:numPr>
          <w:ilvl w:val="0"/>
          <w:numId w:val="1003"/>
        </w:numPr>
      </w:pPr>
      <w:r>
        <w:t xml:space="preserve">Build AI loops that improve decisions:</w:t>
      </w:r>
    </w:p>
    <w:p>
      <w:pPr>
        <w:pStyle w:val="Compact"/>
        <w:numPr>
          <w:ilvl w:val="0"/>
          <w:numId w:val="1003"/>
        </w:numPr>
      </w:pPr>
      <w:r>
        <w:t xml:space="preserve">personalize selection and reduce churn,</w:t>
      </w:r>
    </w:p>
    <w:p>
      <w:pPr>
        <w:pStyle w:val="Compact"/>
        <w:numPr>
          <w:ilvl w:val="0"/>
          <w:numId w:val="1003"/>
        </w:numPr>
      </w:pPr>
      <w:r>
        <w:t xml:space="preserve">forecast demand and reduce working capital waste,</w:t>
      </w:r>
    </w:p>
    <w:p>
      <w:pPr>
        <w:pStyle w:val="Compact"/>
        <w:numPr>
          <w:ilvl w:val="0"/>
          <w:numId w:val="1003"/>
        </w:numPr>
      </w:pPr>
      <w:r>
        <w:t xml:space="preserve">detect quality anomalies earlier.</w:t>
      </w:r>
    </w:p>
    <w:p>
      <w:pPr>
        <w:pStyle w:val="FirstParagraph"/>
      </w:pPr>
      <w:r>
        <w:t xml:space="preserve">Academic literature on blockchain/traceability in coffee supply chains consistently frames traceability systems as enabling transparency and trust, but notes practical tradeoffs and contextual effectiveness—reinforcing that the architecture must be pragmatic, integrable, and auditable rather than “blockchain for blockchain’s sake.”</w:t>
      </w:r>
      <w:r>
        <w:t xml:space="preserve"> </w:t>
      </w:r>
      <w:hyperlink r:id="rId69">
        <w:r>
          <w:rPr>
            <w:rStyle w:val="Hyperlink"/>
          </w:rPr>
          <w:t xml:space="preserve">[63]</w:t>
        </w:r>
      </w:hyperlink>
    </w:p>
    <w:bookmarkEnd w:id="70"/>
    <w:bookmarkStart w:id="71" w:name="suggested-architecture-high-level"/>
    <w:p>
      <w:pPr>
        <w:pStyle w:val="Heading3"/>
      </w:pPr>
      <w:r>
        <w:t xml:space="preserve">Suggested architecture (high level)</w:t>
      </w:r>
    </w:p>
    <w:p>
      <w:pPr>
        <w:pStyle w:val="Compact"/>
        <w:numPr>
          <w:ilvl w:val="0"/>
          <w:numId w:val="1004"/>
        </w:numPr>
      </w:pPr>
      <w:r>
        <w:rPr>
          <w:b/>
          <w:bCs/>
        </w:rPr>
        <w:t xml:space="preserve">Commerce layer:</w:t>
      </w:r>
      <w:r>
        <w:t xml:space="preserve"> </w:t>
      </w:r>
      <w:r>
        <w:t xml:space="preserve">storefront + subscription + B2B ordering portal</w:t>
      </w:r>
    </w:p>
    <w:p>
      <w:pPr>
        <w:pStyle w:val="Compact"/>
        <w:numPr>
          <w:ilvl w:val="0"/>
          <w:numId w:val="1004"/>
        </w:numPr>
      </w:pPr>
      <w:r>
        <w:rPr>
          <w:b/>
          <w:bCs/>
        </w:rPr>
        <w:t xml:space="preserve">Data layer:</w:t>
      </w:r>
      <w:r>
        <w:t xml:space="preserve"> </w:t>
      </w:r>
      <w:r>
        <w:t xml:space="preserve">event tracking + order/inventory database + lot ledger</w:t>
      </w:r>
    </w:p>
    <w:p>
      <w:pPr>
        <w:pStyle w:val="Compact"/>
        <w:numPr>
          <w:ilvl w:val="0"/>
          <w:numId w:val="1004"/>
        </w:numPr>
      </w:pPr>
      <w:r>
        <w:rPr>
          <w:b/>
          <w:bCs/>
        </w:rPr>
        <w:t xml:space="preserve">AI layer:</w:t>
      </w:r>
      <w:r>
        <w:t xml:space="preserve"> </w:t>
      </w:r>
      <w:r>
        <w:t xml:space="preserve">recommendation model + forecasting model + anomaly detection + LLM-based support assistant</w:t>
      </w:r>
    </w:p>
    <w:p>
      <w:pPr>
        <w:pStyle w:val="Compact"/>
        <w:numPr>
          <w:ilvl w:val="0"/>
          <w:numId w:val="1004"/>
        </w:numPr>
      </w:pPr>
      <w:r>
        <w:rPr>
          <w:b/>
          <w:bCs/>
        </w:rPr>
        <w:t xml:space="preserve">Governance:</w:t>
      </w:r>
      <w:r>
        <w:t xml:space="preserve"> </w:t>
      </w:r>
      <w:r>
        <w:t xml:space="preserve">privacy controls, audit logs, human review processes, and model monitoring</w:t>
      </w:r>
    </w:p>
    <w:p>
      <w:pPr>
        <w:pStyle w:val="FirstParagraph"/>
      </w:pPr>
      <w:r>
        <w:rPr>
          <w:b/>
          <w:bCs/>
        </w:rPr>
        <w:t xml:space="preserve">Suggested visual: product architecture diagram (Mermaid)</w:t>
      </w:r>
    </w:p>
    <w:p>
      <w:pPr>
        <w:pStyle w:val="SourceCode"/>
      </w:pPr>
      <w:r>
        <w:rPr>
          <w:rStyle w:val="VerbatimChar"/>
        </w:rPr>
        <w:t xml:space="preserve">flowchart TB</w:t>
      </w:r>
      <w:r>
        <w:br/>
      </w:r>
      <w:r>
        <w:rPr>
          <w:rStyle w:val="VerbatimChar"/>
        </w:rPr>
        <w:t xml:space="preserve">  subgraph Channels</w:t>
      </w:r>
      <w:r>
        <w:br/>
      </w:r>
      <w:r>
        <w:rPr>
          <w:rStyle w:val="VerbatimChar"/>
        </w:rPr>
        <w:t xml:space="preserve">    A[D2C web + subscription]</w:t>
      </w:r>
      <w:r>
        <w:br/>
      </w:r>
      <w:r>
        <w:rPr>
          <w:rStyle w:val="VerbatimChar"/>
        </w:rPr>
        <w:t xml:space="preserve">    B[B2B portal]</w:t>
      </w:r>
      <w:r>
        <w:br/>
      </w:r>
      <w:r>
        <w:rPr>
          <w:rStyle w:val="VerbatimChar"/>
        </w:rPr>
        <w:t xml:space="preserve">    C[QR traceability pages]</w:t>
      </w:r>
      <w:r>
        <w:br/>
      </w:r>
      <w:r>
        <w:rPr>
          <w:rStyle w:val="VerbatimChar"/>
        </w:rPr>
        <w:t xml:space="preserve">  end</w:t>
      </w:r>
      <w:r>
        <w:br/>
      </w:r>
      <w:r>
        <w:br/>
      </w:r>
      <w:r>
        <w:rPr>
          <w:rStyle w:val="VerbatimChar"/>
        </w:rPr>
        <w:t xml:space="preserve">  subgraph CoreSystems</w:t>
      </w:r>
      <w:r>
        <w:br/>
      </w:r>
      <w:r>
        <w:rPr>
          <w:rStyle w:val="VerbatimChar"/>
        </w:rPr>
        <w:t xml:space="preserve">    D[Catalog + pricing]</w:t>
      </w:r>
      <w:r>
        <w:br/>
      </w:r>
      <w:r>
        <w:rPr>
          <w:rStyle w:val="VerbatimChar"/>
        </w:rPr>
        <w:t xml:space="preserve">    E[Orders + payments]</w:t>
      </w:r>
      <w:r>
        <w:br/>
      </w:r>
      <w:r>
        <w:rPr>
          <w:rStyle w:val="VerbatimChar"/>
        </w:rPr>
        <w:t xml:space="preserve">    F[Inventory + lots]</w:t>
      </w:r>
      <w:r>
        <w:br/>
      </w:r>
      <w:r>
        <w:rPr>
          <w:rStyle w:val="VerbatimChar"/>
        </w:rPr>
        <w:t xml:space="preserve">    G[Document store]</w:t>
      </w:r>
      <w:r>
        <w:br/>
      </w:r>
      <w:r>
        <w:rPr>
          <w:rStyle w:val="VerbatimChar"/>
        </w:rPr>
        <w:t xml:space="preserve">  end</w:t>
      </w:r>
      <w:r>
        <w:br/>
      </w:r>
      <w:r>
        <w:br/>
      </w:r>
      <w:r>
        <w:rPr>
          <w:rStyle w:val="VerbatimChar"/>
        </w:rPr>
        <w:t xml:space="preserve">  subgraph DataAI</w:t>
      </w:r>
      <w:r>
        <w:br/>
      </w:r>
      <w:r>
        <w:rPr>
          <w:rStyle w:val="VerbatimChar"/>
        </w:rPr>
        <w:t xml:space="preserve">    H[Event pipeline]</w:t>
      </w:r>
      <w:r>
        <w:br/>
      </w:r>
      <w:r>
        <w:rPr>
          <w:rStyle w:val="VerbatimChar"/>
        </w:rPr>
        <w:t xml:space="preserve">    I[Warehouse / lakehouse]</w:t>
      </w:r>
      <w:r>
        <w:br/>
      </w:r>
      <w:r>
        <w:rPr>
          <w:rStyle w:val="VerbatimChar"/>
        </w:rPr>
        <w:t xml:space="preserve">    J[Feature store]</w:t>
      </w:r>
      <w:r>
        <w:br/>
      </w:r>
      <w:r>
        <w:rPr>
          <w:rStyle w:val="VerbatimChar"/>
        </w:rPr>
        <w:t xml:space="preserve">    K[Models: recommender, forecast, anomaly]</w:t>
      </w:r>
      <w:r>
        <w:br/>
      </w:r>
      <w:r>
        <w:rPr>
          <w:rStyle w:val="VerbatimChar"/>
        </w:rPr>
        <w:t xml:space="preserve">    L[Monitoring + evaluation]</w:t>
      </w:r>
      <w:r>
        <w:br/>
      </w:r>
      <w:r>
        <w:rPr>
          <w:rStyle w:val="VerbatimChar"/>
        </w:rPr>
        <w:t xml:space="preserve">  end</w:t>
      </w:r>
      <w:r>
        <w:br/>
      </w:r>
      <w:r>
        <w:br/>
      </w:r>
      <w:r>
        <w:rPr>
          <w:rStyle w:val="VerbatimChar"/>
        </w:rPr>
        <w:t xml:space="preserve">  subgraph Ops</w:t>
      </w:r>
      <w:r>
        <w:br/>
      </w:r>
      <w:r>
        <w:rPr>
          <w:rStyle w:val="VerbatimChar"/>
        </w:rPr>
        <w:t xml:space="preserve">    M[QA workflow: cupping + defects]</w:t>
      </w:r>
      <w:r>
        <w:br/>
      </w:r>
      <w:r>
        <w:rPr>
          <w:rStyle w:val="VerbatimChar"/>
        </w:rPr>
        <w:t xml:space="preserve">    N[Supplier scorecards]</w:t>
      </w:r>
      <w:r>
        <w:br/>
      </w:r>
      <w:r>
        <w:rPr>
          <w:rStyle w:val="VerbatimChar"/>
        </w:rPr>
        <w:t xml:space="preserve">  end</w:t>
      </w:r>
      <w:r>
        <w:br/>
      </w:r>
      <w:r>
        <w:br/>
      </w:r>
      <w:r>
        <w:rPr>
          <w:rStyle w:val="VerbatimChar"/>
        </w:rPr>
        <w:t xml:space="preserve">  A --&gt; D --&gt; E</w:t>
      </w:r>
      <w:r>
        <w:br/>
      </w:r>
      <w:r>
        <w:rPr>
          <w:rStyle w:val="VerbatimChar"/>
        </w:rPr>
        <w:t xml:space="preserve">  B --&gt; D</w:t>
      </w:r>
      <w:r>
        <w:br/>
      </w:r>
      <w:r>
        <w:rPr>
          <w:rStyle w:val="VerbatimChar"/>
        </w:rPr>
        <w:t xml:space="preserve">  E --&gt; F</w:t>
      </w:r>
      <w:r>
        <w:br/>
      </w:r>
      <w:r>
        <w:rPr>
          <w:rStyle w:val="VerbatimChar"/>
        </w:rPr>
        <w:t xml:space="preserve">  M --&gt; F</w:t>
      </w:r>
      <w:r>
        <w:br/>
      </w:r>
      <w:r>
        <w:rPr>
          <w:rStyle w:val="VerbatimChar"/>
        </w:rPr>
        <w:t xml:space="preserve">  F --&gt; C</w:t>
      </w:r>
      <w:r>
        <w:br/>
      </w:r>
      <w:r>
        <w:rPr>
          <w:rStyle w:val="VerbatimChar"/>
        </w:rPr>
        <w:t xml:space="preserve">  G --&gt; C</w:t>
      </w:r>
      <w:r>
        <w:br/>
      </w:r>
      <w:r>
        <w:br/>
      </w:r>
      <w:r>
        <w:rPr>
          <w:rStyle w:val="VerbatimChar"/>
        </w:rPr>
        <w:t xml:space="preserve">  E --&gt; H --&gt; I --&gt; J --&gt; K --&gt; L</w:t>
      </w:r>
      <w:r>
        <w:br/>
      </w:r>
      <w:r>
        <w:rPr>
          <w:rStyle w:val="VerbatimChar"/>
        </w:rPr>
        <w:t xml:space="preserve">  M --&gt; H</w:t>
      </w:r>
      <w:r>
        <w:br/>
      </w:r>
      <w:r>
        <w:rPr>
          <w:rStyle w:val="VerbatimChar"/>
        </w:rPr>
        <w:t xml:space="preserve">  N --&gt; H</w:t>
      </w:r>
      <w:r>
        <w:br/>
      </w:r>
      <w:r>
        <w:rPr>
          <w:rStyle w:val="VerbatimChar"/>
        </w:rPr>
        <w:t xml:space="preserve">  K --&gt; A</w:t>
      </w:r>
      <w:r>
        <w:br/>
      </w:r>
      <w:r>
        <w:rPr>
          <w:rStyle w:val="VerbatimChar"/>
        </w:rPr>
        <w:t xml:space="preserve">  K --&gt; B</w:t>
      </w:r>
    </w:p>
    <w:bookmarkEnd w:id="71"/>
    <w:bookmarkStart w:id="72" w:name="data-sources-minimum-set"/>
    <w:p>
      <w:pPr>
        <w:pStyle w:val="Heading3"/>
      </w:pPr>
      <w:r>
        <w:t xml:space="preserve">Data sources (minimum set)</w:t>
      </w:r>
    </w:p>
    <w:p>
      <w:pPr>
        <w:pStyle w:val="Compact"/>
        <w:numPr>
          <w:ilvl w:val="0"/>
          <w:numId w:val="1005"/>
        </w:numPr>
      </w:pPr>
      <w:r>
        <w:t xml:space="preserve">Lot metadata: region, variety, process, grade, dates, exporter docs.</w:t>
      </w:r>
    </w:p>
    <w:p>
      <w:pPr>
        <w:pStyle w:val="Compact"/>
        <w:numPr>
          <w:ilvl w:val="0"/>
          <w:numId w:val="1005"/>
        </w:numPr>
      </w:pPr>
      <w:r>
        <w:t xml:space="preserve">QA data: moisture, defects, cupping outcomes, corrective actions. (Coffee Board provides processing/quality specification framing and moisture standards; SCA provides specialty grading frameworks.)</w:t>
      </w:r>
      <w:r>
        <w:t xml:space="preserve"> </w:t>
      </w:r>
      <w:hyperlink r:id="rId37">
        <w:r>
          <w:rPr>
            <w:rStyle w:val="Hyperlink"/>
          </w:rPr>
          <w:t xml:space="preserve">[64]</w:t>
        </w:r>
      </w:hyperlink>
    </w:p>
    <w:p>
      <w:pPr>
        <w:pStyle w:val="Compact"/>
        <w:numPr>
          <w:ilvl w:val="0"/>
          <w:numId w:val="1005"/>
        </w:numPr>
      </w:pPr>
      <w:r>
        <w:t xml:space="preserve">Commerce telemetry: clicks, purchases, subscription adjustments, churn reasons.</w:t>
      </w:r>
    </w:p>
    <w:p>
      <w:pPr>
        <w:pStyle w:val="Compact"/>
        <w:numPr>
          <w:ilvl w:val="0"/>
          <w:numId w:val="1005"/>
        </w:numPr>
      </w:pPr>
      <w:r>
        <w:t xml:space="preserve">Ops telemetry: inventory levels, lead times, shipping performance.</w:t>
      </w:r>
    </w:p>
    <w:bookmarkEnd w:id="72"/>
    <w:bookmarkStart w:id="73" w:name="model-choices-pragmatic"/>
    <w:p>
      <w:pPr>
        <w:pStyle w:val="Heading3"/>
      </w:pPr>
      <w:r>
        <w:t xml:space="preserve">Model choices (pragmatic)</w:t>
      </w:r>
    </w:p>
    <w:p>
      <w:pPr>
        <w:pStyle w:val="Compact"/>
        <w:numPr>
          <w:ilvl w:val="0"/>
          <w:numId w:val="1006"/>
        </w:numPr>
      </w:pPr>
      <w:r>
        <w:rPr>
          <w:b/>
          <w:bCs/>
        </w:rPr>
        <w:t xml:space="preserve">Recommendations:</w:t>
      </w:r>
      <w:r>
        <w:t xml:space="preserve"> </w:t>
      </w:r>
      <w:r>
        <w:t xml:space="preserve">start with content-based + collaborative filtering hybrid; incorporate lot metadata (region, variety, roast level) and preference signals.</w:t>
      </w:r>
    </w:p>
    <w:p>
      <w:pPr>
        <w:pStyle w:val="Compact"/>
        <w:numPr>
          <w:ilvl w:val="0"/>
          <w:numId w:val="1006"/>
        </w:numPr>
      </w:pPr>
      <w:r>
        <w:rPr>
          <w:b/>
          <w:bCs/>
        </w:rPr>
        <w:t xml:space="preserve">Forecasting:</w:t>
      </w:r>
      <w:r>
        <w:t xml:space="preserve"> </w:t>
      </w:r>
      <w:r>
        <w:t xml:space="preserve">classical + ML ensembles for SKU-level demand (seasonality + promotions).</w:t>
      </w:r>
    </w:p>
    <w:p>
      <w:pPr>
        <w:pStyle w:val="Compact"/>
        <w:numPr>
          <w:ilvl w:val="0"/>
          <w:numId w:val="1006"/>
        </w:numPr>
      </w:pPr>
      <w:r>
        <w:rPr>
          <w:b/>
          <w:bCs/>
        </w:rPr>
        <w:t xml:space="preserve">Quality anomaly detection:</w:t>
      </w:r>
      <w:r>
        <w:t xml:space="preserve"> </w:t>
      </w:r>
      <w:r>
        <w:t xml:space="preserve">detect drift in cupping scores, defect rates, moisture, and customer complaints by lot/supplier.</w:t>
      </w:r>
    </w:p>
    <w:p>
      <w:pPr>
        <w:pStyle w:val="Compact"/>
        <w:numPr>
          <w:ilvl w:val="0"/>
          <w:numId w:val="1006"/>
        </w:numPr>
      </w:pPr>
      <w:r>
        <w:rPr>
          <w:b/>
          <w:bCs/>
        </w:rPr>
        <w:t xml:space="preserve">LLM assistant:</w:t>
      </w:r>
      <w:r>
        <w:t xml:space="preserve"> </w:t>
      </w:r>
      <w:r>
        <w:t xml:space="preserve">constrained retrieval over your own SOPs, brew guides, and lot pages; avoid “open-world” hallucinations by grounding answers in internal documents.</w:t>
      </w:r>
    </w:p>
    <w:bookmarkEnd w:id="73"/>
    <w:bookmarkStart w:id="76" w:name="privacy-and-ai-risk-controls"/>
    <w:p>
      <w:pPr>
        <w:pStyle w:val="Heading3"/>
      </w:pPr>
      <w:r>
        <w:t xml:space="preserve">Privacy and AI risk controls</w:t>
      </w:r>
    </w:p>
    <w:p>
      <w:pPr>
        <w:pStyle w:val="Compact"/>
        <w:numPr>
          <w:ilvl w:val="0"/>
          <w:numId w:val="1007"/>
        </w:numPr>
      </w:pPr>
      <w:r>
        <w:t xml:space="preserve">EU privacy regime: GDPR sets obligations for personal data processing; build data minimization, lawful basis tracking, retention policies, and rights workflows into the platform.</w:t>
      </w:r>
      <w:r>
        <w:t xml:space="preserve"> </w:t>
      </w:r>
      <w:hyperlink r:id="rId74">
        <w:r>
          <w:rPr>
            <w:rStyle w:val="Hyperlink"/>
          </w:rPr>
          <w:t xml:space="preserve">[65]</w:t>
        </w:r>
      </w:hyperlink>
    </w:p>
    <w:p>
      <w:pPr>
        <w:pStyle w:val="Compact"/>
        <w:numPr>
          <w:ilvl w:val="0"/>
          <w:numId w:val="1007"/>
        </w:numPr>
      </w:pPr>
      <w:r>
        <w:t xml:space="preserve">US privacy: if operating in California, CCPA creates notice and consumer rights expectations; treat this as a baseline design constraint for consumer data.</w:t>
      </w:r>
      <w:r>
        <w:t xml:space="preserve"> </w:t>
      </w:r>
      <w:hyperlink r:id="rId75">
        <w:r>
          <w:rPr>
            <w:rStyle w:val="Hyperlink"/>
          </w:rPr>
          <w:t xml:space="preserve">[66]</w:t>
        </w:r>
      </w:hyperlink>
    </w:p>
    <w:p>
      <w:pPr>
        <w:pStyle w:val="Compact"/>
        <w:numPr>
          <w:ilvl w:val="0"/>
          <w:numId w:val="1007"/>
        </w:numPr>
      </w:pPr>
      <w:r>
        <w:t xml:space="preserve">AI governance: adopt NIST AI RMF as a practical framework for risk management across the AI lifecycle (govern, map, measure, manage).</w:t>
      </w:r>
      <w:r>
        <w:t xml:space="preserve"> </w:t>
      </w:r>
      <w:hyperlink r:id="rId24">
        <w:r>
          <w:rPr>
            <w:rStyle w:val="Hyperlink"/>
          </w:rPr>
          <w:t xml:space="preserve">[5]</w:t>
        </w:r>
      </w:hyperlink>
    </w:p>
    <w:bookmarkEnd w:id="76"/>
    <w:bookmarkEnd w:id="77"/>
    <w:bookmarkStart w:id="85" w:name="Xba68d47a9dd0f76457fc19ffc21b10cb327f356"/>
    <w:p>
      <w:pPr>
        <w:pStyle w:val="Heading2"/>
      </w:pPr>
      <w:r>
        <w:t xml:space="preserve">MVP scope, roadmap, go-to-market, staffing, and risk management</w:t>
      </w:r>
    </w:p>
    <w:bookmarkStart w:id="78" w:name="mvp-scope-definition"/>
    <w:p>
      <w:pPr>
        <w:pStyle w:val="Heading3"/>
      </w:pPr>
      <w:r>
        <w:t xml:space="preserve">MVP scope definition</w:t>
      </w:r>
    </w:p>
    <w:p>
      <w:pPr>
        <w:pStyle w:val="FirstParagraph"/>
      </w:pPr>
      <w:r>
        <w:rPr>
          <w:b/>
          <w:bCs/>
        </w:rPr>
        <w:t xml:space="preserve">In scope (first six months)</w:t>
      </w:r>
      <w:r>
        <w:t xml:space="preserve"> </w:t>
      </w:r>
      <w:r>
        <w:t xml:space="preserve">- 3–5 coffee SKUs with consistent QA and documented provenance.</w:t>
      </w:r>
      <w:r>
        <w:t xml:space="preserve"> </w:t>
      </w:r>
      <w:r>
        <w:t xml:space="preserve">- Lot ledger + QR pages (public “consumer view” + private “audit view”).</w:t>
      </w:r>
      <w:r>
        <w:t xml:space="preserve"> </w:t>
      </w:r>
      <w:r>
        <w:t xml:space="preserve">- Basic personalization recommender + subscription management.</w:t>
      </w:r>
      <w:r>
        <w:t xml:space="preserve"> </w:t>
      </w:r>
      <w:r>
        <w:t xml:space="preserve">- QA workflow + structured cupping/defect logging.</w:t>
      </w:r>
      <w:r>
        <w:t xml:space="preserve"> </w:t>
      </w:r>
      <w:r>
        <w:t xml:space="preserve">- Minimal B2B ordering workflow for pilot accounts.</w:t>
      </w:r>
    </w:p>
    <w:p>
      <w:pPr>
        <w:pStyle w:val="BodyText"/>
      </w:pPr>
      <w:r>
        <w:rPr>
          <w:b/>
          <w:bCs/>
        </w:rPr>
        <w:t xml:space="preserve">Out of scope (first six months)</w:t>
      </w:r>
      <w:r>
        <w:t xml:space="preserve"> </w:t>
      </w:r>
      <w:r>
        <w:t xml:space="preserve">- Full traceability API monetization and deep ERP integrations.</w:t>
      </w:r>
      <w:r>
        <w:t xml:space="preserve"> </w:t>
      </w:r>
      <w:r>
        <w:t xml:space="preserve">- Multi-country localized EU storefronts (start with one EU entry approach).</w:t>
      </w:r>
      <w:r>
        <w:t xml:space="preserve"> </w:t>
      </w:r>
      <w:r>
        <w:t xml:space="preserve">- Fully automated LLM customer service without human oversight.</w:t>
      </w:r>
    </w:p>
    <w:bookmarkEnd w:id="78"/>
    <w:bookmarkStart w:id="79" w:name="milestones-and-kpis"/>
    <w:p>
      <w:pPr>
        <w:pStyle w:val="Heading3"/>
      </w:pPr>
      <w:r>
        <w:t xml:space="preserve">Milestones and KPIs</w:t>
      </w:r>
    </w:p>
    <w:p>
      <w:pPr>
        <w:pStyle w:val="FirstParagraph"/>
      </w:pPr>
      <w:r>
        <w:rPr>
          <w:b/>
          <w:bCs/>
        </w:rPr>
        <w:t xml:space="preserve">Three-month milestone (Foundation)</w:t>
      </w:r>
      <w:r>
        <w:t xml:space="preserve"> </w:t>
      </w:r>
      <w:r>
        <w:t xml:space="preserve">- Signed supply agreements for at least two regions and one specialty preparation.</w:t>
      </w:r>
      <w:r>
        <w:t xml:space="preserve"> </w:t>
      </w:r>
      <w:hyperlink r:id="rId22">
        <w:r>
          <w:rPr>
            <w:rStyle w:val="Hyperlink"/>
          </w:rPr>
          <w:t xml:space="preserve">[3]</w:t>
        </w:r>
      </w:hyperlink>
      <w:r>
        <w:br/>
      </w:r>
      <w:r>
        <w:t xml:space="preserve">- Compliance readiness checklists complete (US prior notice + FSVP pathway; EU traceability/HACCP/labeling).</w:t>
      </w:r>
      <w:r>
        <w:t xml:space="preserve"> </w:t>
      </w:r>
      <w:hyperlink r:id="rId26">
        <w:r>
          <w:rPr>
            <w:rStyle w:val="Hyperlink"/>
          </w:rPr>
          <w:t xml:space="preserve">[67]</w:t>
        </w:r>
      </w:hyperlink>
      <w:r>
        <w:br/>
      </w:r>
      <w:r>
        <w:t xml:space="preserve">- Lot ledger schema live; QR page prototype in staging.</w:t>
      </w:r>
    </w:p>
    <w:p>
      <w:pPr>
        <w:pStyle w:val="BodyText"/>
      </w:pPr>
      <w:r>
        <w:t xml:space="preserve">KPIs: supplier onboarding cycle time; % lots with complete metadata; sample acceptance rate.</w:t>
      </w:r>
    </w:p>
    <w:p>
      <w:pPr>
        <w:pStyle w:val="BodyText"/>
      </w:pPr>
      <w:r>
        <w:rPr>
          <w:b/>
          <w:bCs/>
        </w:rPr>
        <w:t xml:space="preserve">Six-month milestone (MVP launch)</w:t>
      </w:r>
      <w:r>
        <w:t xml:space="preserve"> </w:t>
      </w:r>
      <w:r>
        <w:t xml:space="preserve">- D2C storefront + subscription live; initial fulfillment functioning.</w:t>
      </w:r>
      <w:r>
        <w:t xml:space="preserve"> </w:t>
      </w:r>
      <w:r>
        <w:t xml:space="preserve">- 1–3 B2B pilots ordering repeatably.</w:t>
      </w:r>
      <w:r>
        <w:t xml:space="preserve"> </w:t>
      </w:r>
      <w:r>
        <w:t xml:space="preserve">- AI MVP v1: recommender improves conversion (A/B test) and forecasting produces reorder suggestions.</w:t>
      </w:r>
    </w:p>
    <w:p>
      <w:pPr>
        <w:pStyle w:val="BodyText"/>
      </w:pPr>
      <w:r>
        <w:t xml:space="preserve">KPIs: D2C conversion rate; subscription retention; on-time fulfillment; defect/return rate; forecasting error (MAPE).</w:t>
      </w:r>
    </w:p>
    <w:p>
      <w:pPr>
        <w:pStyle w:val="BodyText"/>
      </w:pPr>
      <w:r>
        <w:rPr>
          <w:b/>
          <w:bCs/>
        </w:rPr>
        <w:t xml:space="preserve">Twelve-month milestone (Scale + platform differentiation)</w:t>
      </w:r>
      <w:r>
        <w:t xml:space="preserve"> </w:t>
      </w:r>
      <w:r>
        <w:t xml:space="preserve">- Expand to 8–12 SKUs with seasonal drops.</w:t>
      </w:r>
      <w:r>
        <w:t xml:space="preserve"> </w:t>
      </w:r>
      <w:r>
        <w:t xml:space="preserve">- B2B: 15–30 recurring accounts; launch compliance doc packs.</w:t>
      </w:r>
      <w:r>
        <w:t xml:space="preserve"> </w:t>
      </w:r>
      <w:r>
        <w:t xml:space="preserve">- AI v2: quality anomaly detection; supplier scorecards; traceability coverage &gt;95%.</w:t>
      </w:r>
      <w:r>
        <w:t xml:space="preserve"> </w:t>
      </w:r>
      <w:r>
        <w:t xml:space="preserve">- EU readiness: deforestation due diligence “data readiness” well ahead of application deadlines.</w:t>
      </w:r>
      <w:r>
        <w:t xml:space="preserve"> </w:t>
      </w:r>
      <w:hyperlink r:id="rId21">
        <w:r>
          <w:rPr>
            <w:rStyle w:val="Hyperlink"/>
          </w:rPr>
          <w:t xml:space="preserve">[35]</w:t>
        </w:r>
      </w:hyperlink>
    </w:p>
    <w:p>
      <w:pPr>
        <w:pStyle w:val="BodyText"/>
      </w:pPr>
      <w:r>
        <w:t xml:space="preserve">KPIs: gross margin %, CAC payback, churn, fill rate, inventory turns, % lots meeting internal QA thresholds, time-to-resolution for quality incidents.</w:t>
      </w:r>
    </w:p>
    <w:bookmarkEnd w:id="79"/>
    <w:bookmarkStart w:id="80" w:name="twelve-month-timeline-table"/>
    <w:p>
      <w:pPr>
        <w:pStyle w:val="Heading3"/>
      </w:pPr>
      <w:r>
        <w:t xml:space="preserve">Twelve-month timeline table</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Month range</w:t>
            </w:r>
          </w:p>
        </w:tc>
        <w:tc>
          <w:tcPr/>
          <w:p>
            <w:pPr>
              <w:pStyle w:val="Compact"/>
            </w:pPr>
            <w:r>
              <w:t xml:space="preserve">Product &amp; AI deliverables</w:t>
            </w:r>
          </w:p>
        </w:tc>
        <w:tc>
          <w:tcPr/>
          <w:p>
            <w:pPr>
              <w:pStyle w:val="Compact"/>
            </w:pPr>
            <w:r>
              <w:t xml:space="preserve">Supply chain &amp; compliance deliverables</w:t>
            </w:r>
          </w:p>
        </w:tc>
        <w:tc>
          <w:tcPr/>
          <w:p>
            <w:pPr>
              <w:pStyle w:val="Compact"/>
            </w:pPr>
            <w:r>
              <w:t xml:space="preserve">Success metrics</w:t>
            </w:r>
          </w:p>
        </w:tc>
      </w:tr>
      <w:tr>
        <w:tc>
          <w:tcPr/>
          <w:p>
            <w:pPr>
              <w:pStyle w:val="Compact"/>
            </w:pPr>
            <w:r>
              <w:t xml:space="preserve">Months 1–3</w:t>
            </w:r>
          </w:p>
        </w:tc>
        <w:tc>
          <w:tcPr/>
          <w:p>
            <w:pPr>
              <w:pStyle w:val="Compact"/>
            </w:pPr>
            <w:r>
              <w:t xml:space="preserve">Define SKU specs; lot ledger v0; QR prototype; recommender v0</w:t>
            </w:r>
          </w:p>
        </w:tc>
        <w:tc>
          <w:tcPr/>
          <w:p>
            <w:pPr>
              <w:pStyle w:val="Compact"/>
            </w:pPr>
            <w:r>
              <w:t xml:space="preserve">Supplier contracting; initial samples + cupping; compliance checklists for US/EU; choose Incoterms policies</w:t>
            </w:r>
            <w:r>
              <w:t xml:space="preserve"> </w:t>
            </w:r>
            <w:hyperlink r:id="rId52">
              <w:r>
                <w:rPr>
                  <w:rStyle w:val="Hyperlink"/>
                </w:rPr>
                <w:t xml:space="preserve">[52]</w:t>
              </w:r>
            </w:hyperlink>
          </w:p>
        </w:tc>
        <w:tc>
          <w:tcPr/>
          <w:p>
            <w:pPr>
              <w:pStyle w:val="Compact"/>
            </w:pPr>
            <w:r>
              <w:t xml:space="preserve">≥80% lots with complete metadata; sample pass rate targets met</w:t>
            </w:r>
          </w:p>
        </w:tc>
      </w:tr>
      <w:tr>
        <w:tc>
          <w:tcPr/>
          <w:p>
            <w:pPr>
              <w:pStyle w:val="Compact"/>
            </w:pPr>
            <w:r>
              <w:t xml:space="preserve">Months 4–6</w:t>
            </w:r>
          </w:p>
        </w:tc>
        <w:tc>
          <w:tcPr/>
          <w:p>
            <w:pPr>
              <w:pStyle w:val="Compact"/>
            </w:pPr>
            <w:r>
              <w:t xml:space="preserve">Launch D2C + subscription; QA workflow live; recommender v1</w:t>
            </w:r>
          </w:p>
        </w:tc>
        <w:tc>
          <w:tcPr/>
          <w:p>
            <w:pPr>
              <w:pStyle w:val="Compact"/>
            </w:pPr>
            <w:r>
              <w:t xml:space="preserve">Import &amp; warehousing live; roasting partner SOPs; labeling templates aligned to EU 1169/2011</w:t>
            </w:r>
            <w:r>
              <w:t xml:space="preserve"> </w:t>
            </w:r>
            <w:hyperlink r:id="rId59">
              <w:r>
                <w:rPr>
                  <w:rStyle w:val="Hyperlink"/>
                </w:rPr>
                <w:t xml:space="preserve">[60]</w:t>
              </w:r>
            </w:hyperlink>
          </w:p>
        </w:tc>
        <w:tc>
          <w:tcPr/>
          <w:p>
            <w:pPr>
              <w:pStyle w:val="Compact"/>
            </w:pPr>
            <w:r>
              <w:t xml:space="preserve">First revenue; on-time ship ≥95% (target); churn baseline established</w:t>
            </w:r>
          </w:p>
        </w:tc>
      </w:tr>
      <w:tr>
        <w:tc>
          <w:tcPr/>
          <w:p>
            <w:pPr>
              <w:pStyle w:val="Compact"/>
            </w:pPr>
            <w:r>
              <w:t xml:space="preserve">Months 7–9</w:t>
            </w:r>
          </w:p>
        </w:tc>
        <w:tc>
          <w:tcPr/>
          <w:p>
            <w:pPr>
              <w:pStyle w:val="Compact"/>
            </w:pPr>
            <w:r>
              <w:t xml:space="preserve">B2B portal v1; forecasting v1; incident tracking</w:t>
            </w:r>
          </w:p>
        </w:tc>
        <w:tc>
          <w:tcPr/>
          <w:p>
            <w:pPr>
              <w:pStyle w:val="Compact"/>
            </w:pPr>
            <w:r>
              <w:t xml:space="preserve">Expand regions/lots; begin INDICOFS-aligned supplier data capture</w:t>
            </w:r>
            <w:r>
              <w:t xml:space="preserve"> </w:t>
            </w:r>
            <w:hyperlink r:id="rId38">
              <w:r>
                <w:rPr>
                  <w:rStyle w:val="Hyperlink"/>
                </w:rPr>
                <w:t xml:space="preserve">[28]</w:t>
              </w:r>
            </w:hyperlink>
          </w:p>
        </w:tc>
        <w:tc>
          <w:tcPr/>
          <w:p>
            <w:pPr>
              <w:pStyle w:val="Compact"/>
            </w:pPr>
            <w:r>
              <w:t xml:space="preserve">Stockout rate reduction; forecast MAPE improvement</w:t>
            </w:r>
          </w:p>
        </w:tc>
      </w:tr>
      <w:tr>
        <w:tc>
          <w:tcPr/>
          <w:p>
            <w:pPr>
              <w:pStyle w:val="Compact"/>
            </w:pPr>
            <w:r>
              <w:t xml:space="preserve">Months 10–12</w:t>
            </w:r>
          </w:p>
        </w:tc>
        <w:tc>
          <w:tcPr/>
          <w:p>
            <w:pPr>
              <w:pStyle w:val="Compact"/>
            </w:pPr>
            <w:r>
              <w:t xml:space="preserve">Traceability analytics; supplier scorecards; anomaly detection v1</w:t>
            </w:r>
          </w:p>
        </w:tc>
        <w:tc>
          <w:tcPr/>
          <w:p>
            <w:pPr>
              <w:pStyle w:val="Compact"/>
            </w:pPr>
            <w:r>
              <w:t xml:space="preserve">Compliance doc packs; EU deforestation readiness plan; expanded QA testing for contaminants/acrylamide guidance</w:t>
            </w:r>
            <w:r>
              <w:t xml:space="preserve"> </w:t>
            </w:r>
            <w:hyperlink r:id="rId60">
              <w:r>
                <w:rPr>
                  <w:rStyle w:val="Hyperlink"/>
                </w:rPr>
                <w:t xml:space="preserve">[61]</w:t>
              </w:r>
            </w:hyperlink>
          </w:p>
        </w:tc>
        <w:tc>
          <w:tcPr/>
          <w:p>
            <w:pPr>
              <w:pStyle w:val="Compact"/>
            </w:pPr>
            <w:r>
              <w:t xml:space="preserve">≥95% traceability completeness; improved gross margin and retention</w:t>
            </w:r>
          </w:p>
        </w:tc>
      </w:tr>
    </w:tbl>
    <w:bookmarkEnd w:id="80"/>
    <w:bookmarkStart w:id="82" w:name="go-to-market-strategy"/>
    <w:p>
      <w:pPr>
        <w:pStyle w:val="Heading3"/>
      </w:pPr>
      <w:r>
        <w:t xml:space="preserve">Go-to-market strategy</w:t>
      </w:r>
    </w:p>
    <w:p>
      <w:pPr>
        <w:pStyle w:val="FirstParagraph"/>
      </w:pPr>
      <w:r>
        <w:rPr>
          <w:b/>
          <w:bCs/>
        </w:rPr>
        <w:t xml:space="preserve">Brand positioning</w:t>
      </w:r>
      <w:r>
        <w:t xml:space="preserve"> </w:t>
      </w:r>
      <w:r>
        <w:t xml:space="preserve">- “Verified Indian coffee” (origin + process + data transparency).</w:t>
      </w:r>
      <w:r>
        <w:t xml:space="preserve"> </w:t>
      </w:r>
      <w:r>
        <w:t xml:space="preserve">- Lead with specialty narratives the Coffee Board already frames as distinct (monsooned process, regional Arabicas, specialty robusta).</w:t>
      </w:r>
      <w:r>
        <w:t xml:space="preserve"> </w:t>
      </w:r>
      <w:hyperlink r:id="rId23">
        <w:r>
          <w:rPr>
            <w:rStyle w:val="Hyperlink"/>
          </w:rPr>
          <w:t xml:space="preserve">[17]</w:t>
        </w:r>
      </w:hyperlink>
    </w:p>
    <w:p>
      <w:pPr>
        <w:pStyle w:val="BodyText"/>
      </w:pPr>
      <w:r>
        <w:rPr>
          <w:b/>
          <w:bCs/>
        </w:rPr>
        <w:t xml:space="preserve">Channels</w:t>
      </w:r>
      <w:r>
        <w:t xml:space="preserve"> </w:t>
      </w:r>
      <w:r>
        <w:t xml:space="preserve">- D2C: content + SEO (brewing guides tied to Indian coffees), subscription-first landing flows, limited drops.</w:t>
      </w:r>
      <w:r>
        <w:t xml:space="preserve"> </w:t>
      </w:r>
      <w:r>
        <w:t xml:space="preserve">- B2B: target specialty cafés that value origin story and documentation; emphasize consistent lot metadata and fast issue resolution.</w:t>
      </w:r>
      <w:r>
        <w:t xml:space="preserve"> </w:t>
      </w:r>
      <w:r>
        <w:t xml:space="preserve">- Partnerships: collaborate with cupping labs and coffee education communities; align quality practices with recognized standards.</w:t>
      </w:r>
      <w:r>
        <w:t xml:space="preserve"> </w:t>
      </w:r>
      <w:hyperlink r:id="rId81">
        <w:r>
          <w:rPr>
            <w:rStyle w:val="Hyperlink"/>
          </w:rPr>
          <w:t xml:space="preserve">[68]</w:t>
        </w:r>
      </w:hyperlink>
    </w:p>
    <w:bookmarkEnd w:id="82"/>
    <w:bookmarkStart w:id="83" w:name="staffing-and-org-needs"/>
    <w:p>
      <w:pPr>
        <w:pStyle w:val="Heading3"/>
      </w:pPr>
      <w:r>
        <w:t xml:space="preserve">Staffing and org needs</w:t>
      </w:r>
    </w:p>
    <w:p>
      <w:pPr>
        <w:pStyle w:val="FirstParagraph"/>
      </w:pPr>
      <w:r>
        <w:t xml:space="preserve">A lean org must cover coffee operations and AI/data simultaneously. Suggested Year-1 roles (hire order is part of the roadmap, not all Day 1):</w:t>
      </w:r>
      <w:r>
        <w:t xml:space="preserve"> </w:t>
      </w:r>
      <w:r>
        <w:t xml:space="preserve">- Founder/CEO (product + brand)</w:t>
      </w:r>
      <w:r>
        <w:t xml:space="preserve"> </w:t>
      </w:r>
      <w:r>
        <w:t xml:space="preserve">- Head of coffee ops (sourcing, inventory, supplier management)</w:t>
      </w:r>
      <w:r>
        <w:t xml:space="preserve"> </w:t>
      </w:r>
      <w:r>
        <w:t xml:space="preserve">- QA lead (cupping program, defect metrics, SOPs)</w:t>
      </w:r>
      <w:r>
        <w:t xml:space="preserve"> </w:t>
      </w:r>
      <w:r>
        <w:t xml:space="preserve">- Full-stack engineer (commerce + traceability surfaces)</w:t>
      </w:r>
      <w:r>
        <w:t xml:space="preserve"> </w:t>
      </w:r>
      <w:r>
        <w:t xml:space="preserve">- Data/ML engineer (pipelines, recommender, forecasting, monitoring)</w:t>
      </w:r>
      <w:r>
        <w:t xml:space="preserve"> </w:t>
      </w:r>
      <w:r>
        <w:t xml:space="preserve">- Growth/marketing lead (D2C acquisition + content)</w:t>
      </w:r>
      <w:r>
        <w:t xml:space="preserve"> </w:t>
      </w:r>
      <w:r>
        <w:t xml:space="preserve">- B2B sales/account manager (pilot conversions + retention)</w:t>
      </w:r>
      <w:r>
        <w:t xml:space="preserve"> </w:t>
      </w:r>
      <w:r>
        <w:t xml:space="preserve">- Fractional finance + legal/compliance support (import, labeling, data privacy)</w:t>
      </w:r>
    </w:p>
    <w:bookmarkEnd w:id="83"/>
    <w:bookmarkStart w:id="84" w:name="risk-register-and-mitigations"/>
    <w:p>
      <w:pPr>
        <w:pStyle w:val="Heading3"/>
      </w:pPr>
      <w:r>
        <w:t xml:space="preserve">Risk register and mitigations</w:t>
      </w:r>
    </w:p>
    <w:p>
      <w:pPr>
        <w:pStyle w:val="FirstParagraph"/>
      </w:pPr>
      <w:r>
        <w:rPr>
          <w:b/>
          <w:bCs/>
        </w:rPr>
        <w:t xml:space="preserve">Supply risk (availability, lead times, regional shocks)</w:t>
      </w:r>
      <w:r>
        <w:br/>
      </w:r>
      <w:r>
        <w:t xml:space="preserve">- Mitigation: diversify regions and species (Arabica + Robusta); maintain safety stock; contract flexibility; incorporate Coffee Board production stats into planning.</w:t>
      </w:r>
      <w:r>
        <w:t xml:space="preserve"> </w:t>
      </w:r>
      <w:hyperlink r:id="rId25">
        <w:r>
          <w:rPr>
            <w:rStyle w:val="Hyperlink"/>
          </w:rPr>
          <w:t xml:space="preserve">[6]</w:t>
        </w:r>
      </w:hyperlink>
    </w:p>
    <w:p>
      <w:pPr>
        <w:pStyle w:val="BodyText"/>
      </w:pPr>
      <w:r>
        <w:rPr>
          <w:b/>
          <w:bCs/>
        </w:rPr>
        <w:t xml:space="preserve">Quality risk (defects, inconsistency, mold/contaminants)</w:t>
      </w:r>
      <w:r>
        <w:br/>
      </w:r>
      <w:r>
        <w:t xml:space="preserve">- Mitigation: standardized QA and cupping protocols; moisture controls (especially for monsooned coffees); explicit corrective action loops; compliance with contaminant frameworks in EU markets.</w:t>
      </w:r>
      <w:r>
        <w:t xml:space="preserve"> </w:t>
      </w:r>
      <w:hyperlink r:id="rId23">
        <w:r>
          <w:rPr>
            <w:rStyle w:val="Hyperlink"/>
          </w:rPr>
          <w:t xml:space="preserve">[69]</w:t>
        </w:r>
      </w:hyperlink>
    </w:p>
    <w:p>
      <w:pPr>
        <w:pStyle w:val="BodyText"/>
      </w:pPr>
      <w:r>
        <w:rPr>
          <w:b/>
          <w:bCs/>
        </w:rPr>
        <w:t xml:space="preserve">Regulatory risk (US import holds; EU labeling/traceability; EUDR deadlines)</w:t>
      </w:r>
      <w:r>
        <w:br/>
      </w:r>
      <w:r>
        <w:t xml:space="preserve">- Mitigation: treat documentation as product requirements; automate record completeness; align to FDA prior notice/FSVP and EU traceability/HACCP/labeling; build EUDR-readiness despite postponement.</w:t>
      </w:r>
      <w:r>
        <w:t xml:space="preserve"> </w:t>
      </w:r>
      <w:hyperlink r:id="rId26">
        <w:r>
          <w:rPr>
            <w:rStyle w:val="Hyperlink"/>
          </w:rPr>
          <w:t xml:space="preserve">[70]</w:t>
        </w:r>
      </w:hyperlink>
    </w:p>
    <w:p>
      <w:pPr>
        <w:pStyle w:val="BodyText"/>
      </w:pPr>
      <w:r>
        <w:rPr>
          <w:b/>
          <w:bCs/>
        </w:rPr>
        <w:t xml:space="preserve">AI risk (bias, hallucinations, privacy breaches, model drift)</w:t>
      </w:r>
      <w:r>
        <w:br/>
      </w:r>
      <w:r>
        <w:t xml:space="preserve">- Mitigation: NIST AI RMF-aligned governance; privacy-by-design for GDPR; constrained LLM retrieval; monitoring and human oversight loops.</w:t>
      </w:r>
      <w:r>
        <w:t xml:space="preserve"> </w:t>
      </w:r>
      <w:hyperlink r:id="rId24">
        <w:r>
          <w:rPr>
            <w:rStyle w:val="Hyperlink"/>
          </w:rPr>
          <w:t xml:space="preserve">[71]</w:t>
        </w:r>
      </w:hyperlink>
    </w:p>
    <w:p>
      <w:pPr>
        <w:pStyle w:val="BodyText"/>
      </w:pPr>
      <w:r>
        <w:rPr>
          <w:b/>
          <w:bCs/>
        </w:rPr>
        <w:t xml:space="preserve">Economic risk (coffee price volatility, FX, margin compression)</w:t>
      </w:r>
      <w:r>
        <w:br/>
      </w:r>
      <w:r>
        <w:t xml:space="preserve">- Mitigation: product ladder; subscription smoothing; diversify into B2B services; maintain price revision playbook. Coffee Board market reporting reflects ongoing volatility in coffee pricing indicators and futures, reinforcing the need for margin resilience.</w:t>
      </w:r>
      <w:r>
        <w:t xml:space="preserve"> </w:t>
      </w:r>
      <w:hyperlink r:id="rId28">
        <w:r>
          <w:rPr>
            <w:rStyle w:val="Hyperlink"/>
          </w:rPr>
          <w:t xml:space="preserve">[72]</w:t>
        </w:r>
      </w:hyperlink>
    </w:p>
    <w:bookmarkEnd w:id="84"/>
    <w:bookmarkEnd w:id="85"/>
    <w:bookmarkEnd w:id="86"/>
    <w:bookmarkEnd w:id="87"/>
    <w:p>
      <w:r>
        <w:pict>
          <v:rect style="width:0;height:1.5pt" o:hralign="center" o:hrstd="t" o:hr="t"/>
        </w:pict>
      </w:r>
    </w:p>
    <w:bookmarkStart w:id="88" w:name="citations"/>
    <w:p>
      <w:pPr>
        <w:pStyle w:val="FirstParagraph"/>
      </w:pPr>
      <w:hyperlink r:id="rId21">
        <w:r>
          <w:rPr>
            <w:rStyle w:val="Hyperlink"/>
          </w:rPr>
          <w:t xml:space="preserve">[1]</w:t>
        </w:r>
      </w:hyperlink>
      <w:r>
        <w:t xml:space="preserve"> </w:t>
      </w:r>
      <w:hyperlink r:id="rId21">
        <w:r>
          <w:rPr>
            <w:rStyle w:val="Hyperlink"/>
          </w:rPr>
          <w:t xml:space="preserve">[12]</w:t>
        </w:r>
      </w:hyperlink>
      <w:r>
        <w:t xml:space="preserve"> </w:t>
      </w:r>
      <w:hyperlink r:id="rId21">
        <w:r>
          <w:rPr>
            <w:rStyle w:val="Hyperlink"/>
          </w:rPr>
          <w:t xml:space="preserve">[20]</w:t>
        </w:r>
      </w:hyperlink>
      <w:r>
        <w:t xml:space="preserve"> </w:t>
      </w:r>
      <w:hyperlink r:id="rId21">
        <w:r>
          <w:rPr>
            <w:rStyle w:val="Hyperlink"/>
          </w:rPr>
          <w:t xml:space="preserve">[27]</w:t>
        </w:r>
      </w:hyperlink>
      <w:r>
        <w:t xml:space="preserve"> </w:t>
      </w:r>
      <w:hyperlink r:id="rId21">
        <w:r>
          <w:rPr>
            <w:rStyle w:val="Hyperlink"/>
          </w:rPr>
          <w:t xml:space="preserve">[35]</w:t>
        </w:r>
      </w:hyperlink>
      <w:r>
        <w:t xml:space="preserve"> </w:t>
      </w:r>
      <w:r>
        <w:t xml:space="preserve">https://trade.ec.europa.eu/access-to-markets/en/news/delay-until-december-2026-and-other-developments-implementation-eudr-regulation</w:t>
      </w:r>
    </w:p>
    <w:p>
      <w:pPr>
        <w:pStyle w:val="BodyText"/>
      </w:pPr>
      <w:hyperlink r:id="rId21">
        <w:r>
          <w:rPr>
            <w:rStyle w:val="Hyperlink"/>
          </w:rPr>
          <w:t xml:space="preserve">https://trade.ec.europa.eu/access-to-markets/en/news/delay-until-december-2026-and-other-developments-implementation-eudr-regulation</w:t>
        </w:r>
      </w:hyperlink>
    </w:p>
    <w:p>
      <w:pPr>
        <w:pStyle w:val="BodyText"/>
      </w:pPr>
      <w:hyperlink r:id="rId22">
        <w:r>
          <w:rPr>
            <w:rStyle w:val="Hyperlink"/>
          </w:rPr>
          <w:t xml:space="preserve">[2]</w:t>
        </w:r>
      </w:hyperlink>
      <w:r>
        <w:t xml:space="preserve"> </w:t>
      </w:r>
      <w:hyperlink r:id="rId22">
        <w:r>
          <w:rPr>
            <w:rStyle w:val="Hyperlink"/>
          </w:rPr>
          <w:t xml:space="preserve">[3]</w:t>
        </w:r>
      </w:hyperlink>
      <w:r>
        <w:t xml:space="preserve"> </w:t>
      </w:r>
      <w:hyperlink r:id="rId22">
        <w:r>
          <w:rPr>
            <w:rStyle w:val="Hyperlink"/>
          </w:rPr>
          <w:t xml:space="preserve">[9]</w:t>
        </w:r>
      </w:hyperlink>
      <w:r>
        <w:t xml:space="preserve"> </w:t>
      </w:r>
      <w:hyperlink r:id="rId22">
        <w:r>
          <w:rPr>
            <w:rStyle w:val="Hyperlink"/>
          </w:rPr>
          <w:t xml:space="preserve">[13]</w:t>
        </w:r>
      </w:hyperlink>
      <w:r>
        <w:t xml:space="preserve"> </w:t>
      </w:r>
      <w:hyperlink r:id="rId22">
        <w:r>
          <w:rPr>
            <w:rStyle w:val="Hyperlink"/>
          </w:rPr>
          <w:t xml:space="preserve">[14]</w:t>
        </w:r>
      </w:hyperlink>
      <w:r>
        <w:t xml:space="preserve"> </w:t>
      </w:r>
      <w:hyperlink r:id="rId22">
        <w:r>
          <w:rPr>
            <w:rStyle w:val="Hyperlink"/>
          </w:rPr>
          <w:t xml:space="preserve">[18]</w:t>
        </w:r>
      </w:hyperlink>
      <w:r>
        <w:t xml:space="preserve"> </w:t>
      </w:r>
      <w:hyperlink r:id="rId22">
        <w:r>
          <w:rPr>
            <w:rStyle w:val="Hyperlink"/>
          </w:rPr>
          <w:t xml:space="preserve">[24]</w:t>
        </w:r>
      </w:hyperlink>
      <w:r>
        <w:t xml:space="preserve"> </w:t>
      </w:r>
      <w:hyperlink r:id="rId22">
        <w:r>
          <w:rPr>
            <w:rStyle w:val="Hyperlink"/>
          </w:rPr>
          <w:t xml:space="preserve">[38]</w:t>
        </w:r>
      </w:hyperlink>
      <w:r>
        <w:t xml:space="preserve"> </w:t>
      </w:r>
      <w:hyperlink r:id="rId22">
        <w:r>
          <w:rPr>
            <w:rStyle w:val="Hyperlink"/>
          </w:rPr>
          <w:t xml:space="preserve">[46]</w:t>
        </w:r>
      </w:hyperlink>
      <w:r>
        <w:t xml:space="preserve"> </w:t>
      </w:r>
      <w:hyperlink r:id="rId22">
        <w:r>
          <w:rPr>
            <w:rStyle w:val="Hyperlink"/>
          </w:rPr>
          <w:t xml:space="preserve">[47]</w:t>
        </w:r>
      </w:hyperlink>
      <w:r>
        <w:t xml:space="preserve"> </w:t>
      </w:r>
      <w:hyperlink r:id="rId22">
        <w:r>
          <w:rPr>
            <w:rStyle w:val="Hyperlink"/>
          </w:rPr>
          <w:t xml:space="preserve">[49]</w:t>
        </w:r>
      </w:hyperlink>
      <w:r>
        <w:t xml:space="preserve"> </w:t>
      </w:r>
      <w:r>
        <w:t xml:space="preserve">https://coffeeboard.gov.in/coffee-regions-india.html</w:t>
      </w:r>
    </w:p>
    <w:p>
      <w:pPr>
        <w:pStyle w:val="BodyText"/>
      </w:pPr>
      <w:hyperlink r:id="rId22">
        <w:r>
          <w:rPr>
            <w:rStyle w:val="Hyperlink"/>
          </w:rPr>
          <w:t xml:space="preserve">https://coffeeboard.gov.in/coffee-regions-india.html</w:t>
        </w:r>
      </w:hyperlink>
    </w:p>
    <w:p>
      <w:pPr>
        <w:pStyle w:val="BodyText"/>
      </w:pPr>
      <w:hyperlink r:id="rId23">
        <w:r>
          <w:rPr>
            <w:rStyle w:val="Hyperlink"/>
          </w:rPr>
          <w:t xml:space="preserve">[4]</w:t>
        </w:r>
      </w:hyperlink>
      <w:r>
        <w:t xml:space="preserve"> </w:t>
      </w:r>
      <w:hyperlink r:id="rId23">
        <w:r>
          <w:rPr>
            <w:rStyle w:val="Hyperlink"/>
          </w:rPr>
          <w:t xml:space="preserve">[15]</w:t>
        </w:r>
      </w:hyperlink>
      <w:r>
        <w:t xml:space="preserve"> </w:t>
      </w:r>
      <w:hyperlink r:id="rId23">
        <w:r>
          <w:rPr>
            <w:rStyle w:val="Hyperlink"/>
          </w:rPr>
          <w:t xml:space="preserve">[16]</w:t>
        </w:r>
      </w:hyperlink>
      <w:r>
        <w:t xml:space="preserve"> </w:t>
      </w:r>
      <w:hyperlink r:id="rId23">
        <w:r>
          <w:rPr>
            <w:rStyle w:val="Hyperlink"/>
          </w:rPr>
          <w:t xml:space="preserve">[17]</w:t>
        </w:r>
      </w:hyperlink>
      <w:r>
        <w:t xml:space="preserve"> </w:t>
      </w:r>
      <w:hyperlink r:id="rId23">
        <w:r>
          <w:rPr>
            <w:rStyle w:val="Hyperlink"/>
          </w:rPr>
          <w:t xml:space="preserve">[69]</w:t>
        </w:r>
      </w:hyperlink>
      <w:r>
        <w:t xml:space="preserve"> </w:t>
      </w:r>
      <w:r>
        <w:t xml:space="preserve">https://coffeeboard.gov.in/Specialitycoffee.aspx</w:t>
      </w:r>
    </w:p>
    <w:p>
      <w:pPr>
        <w:pStyle w:val="BodyText"/>
      </w:pPr>
      <w:hyperlink r:id="rId23">
        <w:r>
          <w:rPr>
            <w:rStyle w:val="Hyperlink"/>
          </w:rPr>
          <w:t xml:space="preserve">https://coffeeboard.gov.in/Specialitycoffee.aspx</w:t>
        </w:r>
      </w:hyperlink>
    </w:p>
    <w:p>
      <w:pPr>
        <w:pStyle w:val="BodyText"/>
      </w:pPr>
      <w:hyperlink r:id="rId24">
        <w:r>
          <w:rPr>
            <w:rStyle w:val="Hyperlink"/>
          </w:rPr>
          <w:t xml:space="preserve">[5]</w:t>
        </w:r>
      </w:hyperlink>
      <w:r>
        <w:t xml:space="preserve"> </w:t>
      </w:r>
      <w:hyperlink r:id="rId24">
        <w:r>
          <w:rPr>
            <w:rStyle w:val="Hyperlink"/>
          </w:rPr>
          <w:t xml:space="preserve">[71]</w:t>
        </w:r>
      </w:hyperlink>
      <w:r>
        <w:t xml:space="preserve"> </w:t>
      </w:r>
      <w:r>
        <w:t xml:space="preserve">https://nvlpubs.nist.gov/nistpubs/ai/nist.ai.100-1.pdf</w:t>
      </w:r>
    </w:p>
    <w:p>
      <w:pPr>
        <w:pStyle w:val="BodyText"/>
      </w:pPr>
      <w:hyperlink r:id="rId24">
        <w:r>
          <w:rPr>
            <w:rStyle w:val="Hyperlink"/>
          </w:rPr>
          <w:t xml:space="preserve">https://nvlpubs.nist.gov/nistpubs/ai/nist.ai.100-1.pdf</w:t>
        </w:r>
      </w:hyperlink>
    </w:p>
    <w:p>
      <w:pPr>
        <w:pStyle w:val="BodyText"/>
      </w:pPr>
      <w:hyperlink r:id="rId25">
        <w:r>
          <w:rPr>
            <w:rStyle w:val="Hyperlink"/>
          </w:rPr>
          <w:t xml:space="preserve">[6]</w:t>
        </w:r>
      </w:hyperlink>
      <w:r>
        <w:t xml:space="preserve"> </w:t>
      </w:r>
      <w:r>
        <w:t xml:space="preserve">https://coffeeboard.gov.in/coffee-statistics.html</w:t>
      </w:r>
    </w:p>
    <w:p>
      <w:pPr>
        <w:pStyle w:val="BodyText"/>
      </w:pPr>
      <w:hyperlink r:id="rId25">
        <w:r>
          <w:rPr>
            <w:rStyle w:val="Hyperlink"/>
          </w:rPr>
          <w:t xml:space="preserve">https://coffeeboard.gov.in/coffee-statistics.html</w:t>
        </w:r>
      </w:hyperlink>
    </w:p>
    <w:p>
      <w:pPr>
        <w:pStyle w:val="BodyText"/>
      </w:pPr>
      <w:hyperlink r:id="rId26">
        <w:r>
          <w:rPr>
            <w:rStyle w:val="Hyperlink"/>
          </w:rPr>
          <w:t xml:space="preserve">[7]</w:t>
        </w:r>
      </w:hyperlink>
      <w:r>
        <w:t xml:space="preserve"> </w:t>
      </w:r>
      <w:hyperlink r:id="rId26">
        <w:r>
          <w:rPr>
            <w:rStyle w:val="Hyperlink"/>
          </w:rPr>
          <w:t xml:space="preserve">[34]</w:t>
        </w:r>
      </w:hyperlink>
      <w:r>
        <w:t xml:space="preserve"> </w:t>
      </w:r>
      <w:hyperlink r:id="rId26">
        <w:r>
          <w:rPr>
            <w:rStyle w:val="Hyperlink"/>
          </w:rPr>
          <w:t xml:space="preserve">[44]</w:t>
        </w:r>
      </w:hyperlink>
      <w:r>
        <w:t xml:space="preserve"> </w:t>
      </w:r>
      <w:hyperlink r:id="rId26">
        <w:r>
          <w:rPr>
            <w:rStyle w:val="Hyperlink"/>
          </w:rPr>
          <w:t xml:space="preserve">[67]</w:t>
        </w:r>
      </w:hyperlink>
      <w:r>
        <w:t xml:space="preserve"> </w:t>
      </w:r>
      <w:hyperlink r:id="rId26">
        <w:r>
          <w:rPr>
            <w:rStyle w:val="Hyperlink"/>
          </w:rPr>
          <w:t xml:space="preserve">[70]</w:t>
        </w:r>
      </w:hyperlink>
      <w:r>
        <w:t xml:space="preserve"> </w:t>
      </w:r>
      <w:r>
        <w:t xml:space="preserve">https://www.fda.gov/food/food-imports-exports/importing-food-products-united-states</w:t>
      </w:r>
    </w:p>
    <w:p>
      <w:pPr>
        <w:pStyle w:val="BodyText"/>
      </w:pPr>
      <w:hyperlink r:id="rId26">
        <w:r>
          <w:rPr>
            <w:rStyle w:val="Hyperlink"/>
          </w:rPr>
          <w:t xml:space="preserve">https://www.fda.gov/food/food-imports-exports/importing-food-products-united-states</w:t>
        </w:r>
      </w:hyperlink>
    </w:p>
    <w:p>
      <w:pPr>
        <w:pStyle w:val="BodyText"/>
      </w:pPr>
      <w:hyperlink r:id="rId28">
        <w:r>
          <w:rPr>
            <w:rStyle w:val="Hyperlink"/>
          </w:rPr>
          <w:t xml:space="preserve">[8]</w:t>
        </w:r>
      </w:hyperlink>
      <w:r>
        <w:t xml:space="preserve"> </w:t>
      </w:r>
      <w:hyperlink r:id="rId28">
        <w:r>
          <w:rPr>
            <w:rStyle w:val="Hyperlink"/>
          </w:rPr>
          <w:t xml:space="preserve">[72]</w:t>
        </w:r>
      </w:hyperlink>
      <w:r>
        <w:t xml:space="preserve"> </w:t>
      </w:r>
      <w:r>
        <w:t xml:space="preserve">https://coffeeboard.gov.in/</w:t>
      </w:r>
    </w:p>
    <w:p>
      <w:pPr>
        <w:pStyle w:val="BodyText"/>
      </w:pPr>
      <w:hyperlink r:id="rId28">
        <w:r>
          <w:rPr>
            <w:rStyle w:val="Hyperlink"/>
          </w:rPr>
          <w:t xml:space="preserve">https://coffeeboard.gov.in/</w:t>
        </w:r>
      </w:hyperlink>
    </w:p>
    <w:p>
      <w:pPr>
        <w:pStyle w:val="BodyText"/>
      </w:pPr>
      <w:hyperlink r:id="rId29">
        <w:r>
          <w:rPr>
            <w:rStyle w:val="Hyperlink"/>
          </w:rPr>
          <w:t xml:space="preserve">[10]</w:t>
        </w:r>
      </w:hyperlink>
      <w:r>
        <w:t xml:space="preserve"> </w:t>
      </w:r>
      <w:hyperlink r:id="rId29">
        <w:r>
          <w:rPr>
            <w:rStyle w:val="Hyperlink"/>
          </w:rPr>
          <w:t xml:space="preserve">[50]</w:t>
        </w:r>
      </w:hyperlink>
      <w:r>
        <w:t xml:space="preserve"> </w:t>
      </w:r>
      <w:r>
        <w:t xml:space="preserve">https://static1.squarespace.com/static/584f6bbef5e23149e5522201/t/5d936fa1e29d4d5342049d74/1569943487417/Coffee%2BStandards-compressed.pdf</w:t>
      </w:r>
    </w:p>
    <w:p>
      <w:pPr>
        <w:pStyle w:val="BodyText"/>
      </w:pPr>
      <w:hyperlink r:id="rId29">
        <w:r>
          <w:rPr>
            <w:rStyle w:val="Hyperlink"/>
          </w:rPr>
          <w:t xml:space="preserve">https://static1.squarespace.com/static/584f6bbef5e23149e5522201/t/5d936fa1e29d4d5342049d74/1569943487417/Coffee%2BStandards-compressed.pdf</w:t>
        </w:r>
      </w:hyperlink>
    </w:p>
    <w:p>
      <w:pPr>
        <w:pStyle w:val="BodyText"/>
      </w:pPr>
      <w:hyperlink r:id="rId30">
        <w:r>
          <w:rPr>
            <w:rStyle w:val="Hyperlink"/>
          </w:rPr>
          <w:t xml:space="preserve">[11]</w:t>
        </w:r>
      </w:hyperlink>
      <w:r>
        <w:t xml:space="preserve"> </w:t>
      </w:r>
      <w:hyperlink r:id="rId30">
        <w:r>
          <w:rPr>
            <w:rStyle w:val="Hyperlink"/>
          </w:rPr>
          <w:t xml:space="preserve">[21]</w:t>
        </w:r>
      </w:hyperlink>
      <w:r>
        <w:t xml:space="preserve"> </w:t>
      </w:r>
      <w:hyperlink r:id="rId30">
        <w:r>
          <w:rPr>
            <w:rStyle w:val="Hyperlink"/>
          </w:rPr>
          <w:t xml:space="preserve">[26]</w:t>
        </w:r>
      </w:hyperlink>
      <w:r>
        <w:t xml:space="preserve"> </w:t>
      </w:r>
      <w:hyperlink r:id="rId30">
        <w:r>
          <w:rPr>
            <w:rStyle w:val="Hyperlink"/>
          </w:rPr>
          <w:t xml:space="preserve">[33]</w:t>
        </w:r>
      </w:hyperlink>
      <w:r>
        <w:t xml:space="preserve"> </w:t>
      </w:r>
      <w:hyperlink r:id="rId30">
        <w:r>
          <w:rPr>
            <w:rStyle w:val="Hyperlink"/>
          </w:rPr>
          <w:t xml:space="preserve">[57]</w:t>
        </w:r>
      </w:hyperlink>
      <w:r>
        <w:t xml:space="preserve"> </w:t>
      </w:r>
      <w:r>
        <w:t xml:space="preserve">https://www.legislation.gov.uk/eur/2002/178/article/18</w:t>
      </w:r>
    </w:p>
    <w:p>
      <w:pPr>
        <w:pStyle w:val="BodyText"/>
      </w:pPr>
      <w:hyperlink r:id="rId30">
        <w:r>
          <w:rPr>
            <w:rStyle w:val="Hyperlink"/>
          </w:rPr>
          <w:t xml:space="preserve">https://www.legislation.gov.uk/eur/2002/178/article/18</w:t>
        </w:r>
      </w:hyperlink>
    </w:p>
    <w:p>
      <w:pPr>
        <w:pStyle w:val="BodyText"/>
      </w:pPr>
      <w:hyperlink r:id="rId34">
        <w:r>
          <w:rPr>
            <w:rStyle w:val="Hyperlink"/>
          </w:rPr>
          <w:t xml:space="preserve">[19]</w:t>
        </w:r>
      </w:hyperlink>
      <w:r>
        <w:t xml:space="preserve"> </w:t>
      </w:r>
      <w:r>
        <w:t xml:space="preserve">https://coffeeboard.gov.in/research.aspx</w:t>
      </w:r>
    </w:p>
    <w:p>
      <w:pPr>
        <w:pStyle w:val="BodyText"/>
      </w:pPr>
      <w:hyperlink r:id="rId34">
        <w:r>
          <w:rPr>
            <w:rStyle w:val="Hyperlink"/>
          </w:rPr>
          <w:t xml:space="preserve">https://coffeeboard.gov.in/research.aspx</w:t>
        </w:r>
      </w:hyperlink>
    </w:p>
    <w:p>
      <w:pPr>
        <w:pStyle w:val="BodyText"/>
      </w:pPr>
      <w:hyperlink r:id="rId37">
        <w:r>
          <w:rPr>
            <w:rStyle w:val="Hyperlink"/>
          </w:rPr>
          <w:t xml:space="preserve">[22]</w:t>
        </w:r>
      </w:hyperlink>
      <w:r>
        <w:t xml:space="preserve"> </w:t>
      </w:r>
      <w:hyperlink r:id="rId37">
        <w:r>
          <w:rPr>
            <w:rStyle w:val="Hyperlink"/>
          </w:rPr>
          <w:t xml:space="preserve">[25]</w:t>
        </w:r>
      </w:hyperlink>
      <w:r>
        <w:t xml:space="preserve"> </w:t>
      </w:r>
      <w:hyperlink r:id="rId37">
        <w:r>
          <w:rPr>
            <w:rStyle w:val="Hyperlink"/>
          </w:rPr>
          <w:t xml:space="preserve">[51]</w:t>
        </w:r>
      </w:hyperlink>
      <w:r>
        <w:t xml:space="preserve"> </w:t>
      </w:r>
      <w:hyperlink r:id="rId37">
        <w:r>
          <w:rPr>
            <w:rStyle w:val="Hyperlink"/>
          </w:rPr>
          <w:t xml:space="preserve">[64]</w:t>
        </w:r>
      </w:hyperlink>
      <w:r>
        <w:t xml:space="preserve"> </w:t>
      </w:r>
      <w:r>
        <w:t xml:space="preserve">https://coffeeboard.gov.in/Indian%20Coffee/coffee%20karma.pdf</w:t>
      </w:r>
    </w:p>
    <w:p>
      <w:pPr>
        <w:pStyle w:val="BodyText"/>
      </w:pPr>
      <w:hyperlink r:id="rId37">
        <w:r>
          <w:rPr>
            <w:rStyle w:val="Hyperlink"/>
          </w:rPr>
          <w:t xml:space="preserve">https://coffeeboard.gov.in/Indian%20Coffee/coffee%20karma.pdf</w:t>
        </w:r>
      </w:hyperlink>
    </w:p>
    <w:p>
      <w:pPr>
        <w:pStyle w:val="BodyText"/>
      </w:pPr>
      <w:hyperlink r:id="rId38">
        <w:r>
          <w:rPr>
            <w:rStyle w:val="Hyperlink"/>
          </w:rPr>
          <w:t xml:space="preserve">[23]</w:t>
        </w:r>
      </w:hyperlink>
      <w:r>
        <w:t xml:space="preserve"> </w:t>
      </w:r>
      <w:hyperlink r:id="rId38">
        <w:r>
          <w:rPr>
            <w:rStyle w:val="Hyperlink"/>
          </w:rPr>
          <w:t xml:space="preserve">[28]</w:t>
        </w:r>
      </w:hyperlink>
      <w:r>
        <w:t xml:space="preserve"> </w:t>
      </w:r>
      <w:r>
        <w:t xml:space="preserve">https://coffeeboard.gov.in/Indian%20Coffee/Indian%20Coffee%20Sustainability%20Standard%20%20Certification%20Scheme.pdf</w:t>
      </w:r>
    </w:p>
    <w:p>
      <w:pPr>
        <w:pStyle w:val="BodyText"/>
      </w:pPr>
      <w:hyperlink r:id="rId38">
        <w:r>
          <w:rPr>
            <w:rStyle w:val="Hyperlink"/>
          </w:rPr>
          <w:t xml:space="preserve">https://coffeeboard.gov.in/Indian%20Coffee/Indian%20Coffee%20Sustainability%20Standard%20%20Certification%20Scheme.pdf</w:t>
        </w:r>
      </w:hyperlink>
    </w:p>
    <w:p>
      <w:pPr>
        <w:pStyle w:val="BodyText"/>
      </w:pPr>
      <w:hyperlink r:id="rId42">
        <w:r>
          <w:rPr>
            <w:rStyle w:val="Hyperlink"/>
          </w:rPr>
          <w:t xml:space="preserve">[29]</w:t>
        </w:r>
      </w:hyperlink>
      <w:r>
        <w:t xml:space="preserve"> </w:t>
      </w:r>
      <w:hyperlink r:id="rId42">
        <w:r>
          <w:rPr>
            <w:rStyle w:val="Hyperlink"/>
          </w:rPr>
          <w:t xml:space="preserve">[36]</w:t>
        </w:r>
      </w:hyperlink>
      <w:r>
        <w:t xml:space="preserve"> </w:t>
      </w:r>
      <w:r>
        <w:t xml:space="preserve">https://www.ecfr.gov/current/title-7/subtitle-B/chapter-I/subchapter-M/part-205?toc=1</w:t>
      </w:r>
    </w:p>
    <w:p>
      <w:pPr>
        <w:pStyle w:val="BodyText"/>
      </w:pPr>
      <w:hyperlink r:id="rId42">
        <w:r>
          <w:rPr>
            <w:rStyle w:val="Hyperlink"/>
          </w:rPr>
          <w:t xml:space="preserve">https://www.ecfr.gov/current/title-7/subtitle-B/chapter-I/subchapter-M/part-205?toc=1</w:t>
        </w:r>
      </w:hyperlink>
    </w:p>
    <w:p>
      <w:pPr>
        <w:pStyle w:val="BodyText"/>
      </w:pPr>
      <w:hyperlink r:id="rId43">
        <w:r>
          <w:rPr>
            <w:rStyle w:val="Hyperlink"/>
          </w:rPr>
          <w:t xml:space="preserve">[30]</w:t>
        </w:r>
      </w:hyperlink>
      <w:r>
        <w:t xml:space="preserve"> </w:t>
      </w:r>
      <w:r>
        <w:t xml:space="preserve">https://eur-lex.europa.eu/eli/reg/2018/848/oj/eng</w:t>
      </w:r>
    </w:p>
    <w:p>
      <w:pPr>
        <w:pStyle w:val="BodyText"/>
      </w:pPr>
      <w:hyperlink r:id="rId43">
        <w:r>
          <w:rPr>
            <w:rStyle w:val="Hyperlink"/>
          </w:rPr>
          <w:t xml:space="preserve">https://eur-lex.europa.eu/eli/reg/2018/848/oj/eng</w:t>
        </w:r>
      </w:hyperlink>
    </w:p>
    <w:p>
      <w:pPr>
        <w:pStyle w:val="BodyText"/>
      </w:pPr>
      <w:hyperlink r:id="rId44">
        <w:r>
          <w:rPr>
            <w:rStyle w:val="Hyperlink"/>
          </w:rPr>
          <w:t xml:space="preserve">[31]</w:t>
        </w:r>
      </w:hyperlink>
      <w:r>
        <w:t xml:space="preserve"> </w:t>
      </w:r>
      <w:r>
        <w:t xml:space="preserve">https://www.fairtrade.net/content/dam/fairtrade/global/minimum-price-table/Master_To%20do%20PDFs_Fairtrade_Minimum_Price_and_Premium_Table_EN_PUBLIC.pdf</w:t>
      </w:r>
    </w:p>
    <w:p>
      <w:pPr>
        <w:pStyle w:val="BodyText"/>
      </w:pPr>
      <w:hyperlink r:id="rId44">
        <w:r>
          <w:rPr>
            <w:rStyle w:val="Hyperlink"/>
          </w:rPr>
          <w:t xml:space="preserve">https://www.fairtrade.net/content/dam/fairtrade/global/minimum-price-table/Master_To%20do%20PDFs_Fairtrade_Minimum_Price_and_Premium_Table_EN_PUBLIC.pdf</w:t>
        </w:r>
      </w:hyperlink>
    </w:p>
    <w:p>
      <w:pPr>
        <w:pStyle w:val="BodyText"/>
      </w:pPr>
      <w:hyperlink r:id="rId45">
        <w:r>
          <w:rPr>
            <w:rStyle w:val="Hyperlink"/>
          </w:rPr>
          <w:t xml:space="preserve">[32]</w:t>
        </w:r>
      </w:hyperlink>
      <w:r>
        <w:t xml:space="preserve"> </w:t>
      </w:r>
      <w:r>
        <w:t xml:space="preserve">https://knowledge.rainforest-alliance.org/docs/overview-of-the-rainforest-alliance-certification</w:t>
      </w:r>
    </w:p>
    <w:p>
      <w:pPr>
        <w:pStyle w:val="BodyText"/>
      </w:pPr>
      <w:hyperlink r:id="rId45">
        <w:r>
          <w:rPr>
            <w:rStyle w:val="Hyperlink"/>
          </w:rPr>
          <w:t xml:space="preserve">https://knowledge.rainforest-alliance.org/docs/overview-of-the-rainforest-alliance-certification</w:t>
        </w:r>
      </w:hyperlink>
    </w:p>
    <w:p>
      <w:pPr>
        <w:pStyle w:val="BodyText"/>
      </w:pPr>
      <w:hyperlink r:id="rId48">
        <w:r>
          <w:rPr>
            <w:rStyle w:val="Hyperlink"/>
          </w:rPr>
          <w:t xml:space="preserve">[37]</w:t>
        </w:r>
      </w:hyperlink>
      <w:r>
        <w:t xml:space="preserve"> </w:t>
      </w:r>
      <w:hyperlink r:id="rId48">
        <w:r>
          <w:rPr>
            <w:rStyle w:val="Hyperlink"/>
          </w:rPr>
          <w:t xml:space="preserve">[45]</w:t>
        </w:r>
      </w:hyperlink>
      <w:r>
        <w:t xml:space="preserve"> </w:t>
      </w:r>
      <w:r>
        <w:t xml:space="preserve">https://coffeeboard.gov.in/Exporter.aspx</w:t>
      </w:r>
    </w:p>
    <w:p>
      <w:pPr>
        <w:pStyle w:val="BodyText"/>
      </w:pPr>
      <w:hyperlink r:id="rId48">
        <w:r>
          <w:rPr>
            <w:rStyle w:val="Hyperlink"/>
          </w:rPr>
          <w:t xml:space="preserve">https://coffeeboard.gov.in/Exporter.aspx</w:t>
        </w:r>
      </w:hyperlink>
    </w:p>
    <w:p>
      <w:pPr>
        <w:pStyle w:val="BodyText"/>
      </w:pPr>
      <w:hyperlink r:id="rId49">
        <w:r>
          <w:rPr>
            <w:rStyle w:val="Hyperlink"/>
          </w:rPr>
          <w:t xml:space="preserve">[39]</w:t>
        </w:r>
      </w:hyperlink>
      <w:r>
        <w:t xml:space="preserve"> </w:t>
      </w:r>
      <w:hyperlink r:id="rId49">
        <w:r>
          <w:rPr>
            <w:rStyle w:val="Hyperlink"/>
          </w:rPr>
          <w:t xml:space="preserve">[41]</w:t>
        </w:r>
      </w:hyperlink>
      <w:r>
        <w:t xml:space="preserve"> </w:t>
      </w:r>
      <w:hyperlink r:id="rId49">
        <w:r>
          <w:rPr>
            <w:rStyle w:val="Hyperlink"/>
          </w:rPr>
          <w:t xml:space="preserve">[42]</w:t>
        </w:r>
      </w:hyperlink>
      <w:r>
        <w:t xml:space="preserve"> </w:t>
      </w:r>
      <w:hyperlink r:id="rId49">
        <w:r>
          <w:rPr>
            <w:rStyle w:val="Hyperlink"/>
          </w:rPr>
          <w:t xml:space="preserve">[43]</w:t>
        </w:r>
      </w:hyperlink>
      <w:r>
        <w:t xml:space="preserve"> </w:t>
      </w:r>
      <w:hyperlink r:id="rId49">
        <w:r>
          <w:rPr>
            <w:rStyle w:val="Hyperlink"/>
          </w:rPr>
          <w:t xml:space="preserve">[48]</w:t>
        </w:r>
      </w:hyperlink>
      <w:r>
        <w:t xml:space="preserve"> </w:t>
      </w:r>
      <w:r>
        <w:t xml:space="preserve">https://coffeeboard.gov.in/Indian%20Coffee/Indian%20Coffee%20Exporters%5B1%5D_2.pdf</w:t>
      </w:r>
    </w:p>
    <w:p>
      <w:pPr>
        <w:pStyle w:val="BodyText"/>
      </w:pPr>
      <w:hyperlink r:id="rId49">
        <w:r>
          <w:rPr>
            <w:rStyle w:val="Hyperlink"/>
          </w:rPr>
          <w:t xml:space="preserve">https://coffeeboard.gov.in/Indian%20Coffee/Indian%20Coffee%20Exporters%5B1%5D_2.pdf</w:t>
        </w:r>
      </w:hyperlink>
    </w:p>
    <w:p>
      <w:pPr>
        <w:pStyle w:val="BodyText"/>
      </w:pPr>
      <w:hyperlink r:id="rId50">
        <w:r>
          <w:rPr>
            <w:rStyle w:val="Hyperlink"/>
          </w:rPr>
          <w:t xml:space="preserve">[40]</w:t>
        </w:r>
      </w:hyperlink>
      <w:r>
        <w:t xml:space="preserve"> </w:t>
      </w:r>
      <w:hyperlink r:id="rId50">
        <w:r>
          <w:rPr>
            <w:rStyle w:val="Hyperlink"/>
          </w:rPr>
          <w:t xml:space="preserve">[54]</w:t>
        </w:r>
      </w:hyperlink>
      <w:r>
        <w:t xml:space="preserve"> </w:t>
      </w:r>
      <w:r>
        <w:t xml:space="preserve">https://www.fda.gov/food/food-safety-modernization-act-fsma/fsma-final-rule-foreign-supplier-verification-programs-fsvp-importers-food-humans-and-animals</w:t>
      </w:r>
    </w:p>
    <w:p>
      <w:pPr>
        <w:pStyle w:val="BodyText"/>
      </w:pPr>
      <w:hyperlink r:id="rId50">
        <w:r>
          <w:rPr>
            <w:rStyle w:val="Hyperlink"/>
          </w:rPr>
          <w:t xml:space="preserve">https://www.fda.gov/food/food-safety-modernization-act-fsma/fsma-final-rule-foreign-supplier-verification-programs-fsvp-importers-food-humans-and-animals</w:t>
        </w:r>
      </w:hyperlink>
    </w:p>
    <w:p>
      <w:pPr>
        <w:pStyle w:val="BodyText"/>
      </w:pPr>
      <w:hyperlink r:id="rId52">
        <w:r>
          <w:rPr>
            <w:rStyle w:val="Hyperlink"/>
          </w:rPr>
          <w:t xml:space="preserve">[52]</w:t>
        </w:r>
      </w:hyperlink>
      <w:r>
        <w:t xml:space="preserve"> </w:t>
      </w:r>
      <w:r>
        <w:t xml:space="preserve">https://iccwbo.org/business-solutions/incoterms-rules/incoterms-2020/</w:t>
      </w:r>
    </w:p>
    <w:p>
      <w:pPr>
        <w:pStyle w:val="BodyText"/>
      </w:pPr>
      <w:hyperlink r:id="rId52">
        <w:r>
          <w:rPr>
            <w:rStyle w:val="Hyperlink"/>
          </w:rPr>
          <w:t xml:space="preserve">https://iccwbo.org/business-solutions/incoterms-rules/incoterms-2020/</w:t>
        </w:r>
      </w:hyperlink>
    </w:p>
    <w:p>
      <w:pPr>
        <w:pStyle w:val="BodyText"/>
      </w:pPr>
      <w:hyperlink r:id="rId54">
        <w:r>
          <w:rPr>
            <w:rStyle w:val="Hyperlink"/>
          </w:rPr>
          <w:t xml:space="preserve">[53]</w:t>
        </w:r>
      </w:hyperlink>
      <w:r>
        <w:t xml:space="preserve"> </w:t>
      </w:r>
      <w:r>
        <w:t xml:space="preserve">https://www.fda.gov/industry/fda-import-process/prior-notice-imported-foods</w:t>
      </w:r>
    </w:p>
    <w:p>
      <w:pPr>
        <w:pStyle w:val="BodyText"/>
      </w:pPr>
      <w:hyperlink r:id="rId54">
        <w:r>
          <w:rPr>
            <w:rStyle w:val="Hyperlink"/>
          </w:rPr>
          <w:t xml:space="preserve">https://www.fda.gov/industry/fda-import-process/prior-notice-imported-foods</w:t>
        </w:r>
      </w:hyperlink>
    </w:p>
    <w:p>
      <w:pPr>
        <w:pStyle w:val="BodyText"/>
      </w:pPr>
      <w:hyperlink r:id="rId55">
        <w:r>
          <w:rPr>
            <w:rStyle w:val="Hyperlink"/>
          </w:rPr>
          <w:t xml:space="preserve">[55]</w:t>
        </w:r>
      </w:hyperlink>
      <w:r>
        <w:t xml:space="preserve"> </w:t>
      </w:r>
      <w:r>
        <w:t xml:space="preserve">https://www.fda.gov/food/guidance-regulation-food-and-dietary-supplements/registration-food-facilities-and-other-submissions</w:t>
      </w:r>
    </w:p>
    <w:p>
      <w:pPr>
        <w:pStyle w:val="BodyText"/>
      </w:pPr>
      <w:hyperlink r:id="rId55">
        <w:r>
          <w:rPr>
            <w:rStyle w:val="Hyperlink"/>
          </w:rPr>
          <w:t xml:space="preserve">https://www.fda.gov/food/guidance-regulation-food-and-dietary-supplements/registration-food-facilities-and-other-submissions</w:t>
        </w:r>
      </w:hyperlink>
    </w:p>
    <w:p>
      <w:pPr>
        <w:pStyle w:val="BodyText"/>
      </w:pPr>
      <w:hyperlink r:id="rId56">
        <w:r>
          <w:rPr>
            <w:rStyle w:val="Hyperlink"/>
          </w:rPr>
          <w:t xml:space="preserve">[56]</w:t>
        </w:r>
      </w:hyperlink>
      <w:r>
        <w:t xml:space="preserve"> </w:t>
      </w:r>
      <w:r>
        <w:t xml:space="preserve">https://www.ecfr.gov/current/title-21/chapter-I/subchapter-B/part-117</w:t>
      </w:r>
    </w:p>
    <w:p>
      <w:pPr>
        <w:pStyle w:val="BodyText"/>
      </w:pPr>
      <w:hyperlink r:id="rId56">
        <w:r>
          <w:rPr>
            <w:rStyle w:val="Hyperlink"/>
          </w:rPr>
          <w:t xml:space="preserve">https://www.ecfr.gov/current/title-21/chapter-I/subchapter-B/part-117</w:t>
        </w:r>
      </w:hyperlink>
    </w:p>
    <w:p>
      <w:pPr>
        <w:pStyle w:val="BodyText"/>
      </w:pPr>
      <w:hyperlink r:id="rId57">
        <w:r>
          <w:rPr>
            <w:rStyle w:val="Hyperlink"/>
          </w:rPr>
          <w:t xml:space="preserve">[58]</w:t>
        </w:r>
      </w:hyperlink>
      <w:r>
        <w:t xml:space="preserve"> </w:t>
      </w:r>
      <w:r>
        <w:t xml:space="preserve">https://www.legislation.gov.uk/eur/2004/852/article/5</w:t>
      </w:r>
    </w:p>
    <w:p>
      <w:pPr>
        <w:pStyle w:val="BodyText"/>
      </w:pPr>
      <w:hyperlink r:id="rId57">
        <w:r>
          <w:rPr>
            <w:rStyle w:val="Hyperlink"/>
          </w:rPr>
          <w:t xml:space="preserve">https://www.legislation.gov.uk/eur/2004/852/article/5</w:t>
        </w:r>
      </w:hyperlink>
    </w:p>
    <w:p>
      <w:pPr>
        <w:pStyle w:val="BodyText"/>
      </w:pPr>
      <w:hyperlink r:id="rId58">
        <w:r>
          <w:rPr>
            <w:rStyle w:val="Hyperlink"/>
          </w:rPr>
          <w:t xml:space="preserve">[59]</w:t>
        </w:r>
      </w:hyperlink>
      <w:r>
        <w:t xml:space="preserve"> </w:t>
      </w:r>
      <w:r>
        <w:t xml:space="preserve">https://eur-lex.europa.eu/eli/reg/2017/625/oj/eng</w:t>
      </w:r>
    </w:p>
    <w:p>
      <w:pPr>
        <w:pStyle w:val="BodyText"/>
      </w:pPr>
      <w:hyperlink r:id="rId58">
        <w:r>
          <w:rPr>
            <w:rStyle w:val="Hyperlink"/>
          </w:rPr>
          <w:t xml:space="preserve">https://eur-lex.europa.eu/eli/reg/2017/625/oj/eng</w:t>
        </w:r>
      </w:hyperlink>
    </w:p>
    <w:p>
      <w:pPr>
        <w:pStyle w:val="BodyText"/>
      </w:pPr>
      <w:hyperlink r:id="rId59">
        <w:r>
          <w:rPr>
            <w:rStyle w:val="Hyperlink"/>
          </w:rPr>
          <w:t xml:space="preserve">[60]</w:t>
        </w:r>
      </w:hyperlink>
      <w:r>
        <w:t xml:space="preserve"> </w:t>
      </w:r>
      <w:r>
        <w:t xml:space="preserve">https://eur-lex.europa.eu/legal-content/EN/ALL/?uri=celex%3A32011R1169</w:t>
      </w:r>
    </w:p>
    <w:p>
      <w:pPr>
        <w:pStyle w:val="BodyText"/>
      </w:pPr>
      <w:hyperlink r:id="rId59">
        <w:r>
          <w:rPr>
            <w:rStyle w:val="Hyperlink"/>
          </w:rPr>
          <w:t xml:space="preserve">https://eur-lex.europa.eu/legal-content/EN/ALL/?uri=celex%3A32011R1169</w:t>
        </w:r>
      </w:hyperlink>
    </w:p>
    <w:p>
      <w:pPr>
        <w:pStyle w:val="BodyText"/>
      </w:pPr>
      <w:hyperlink r:id="rId60">
        <w:r>
          <w:rPr>
            <w:rStyle w:val="Hyperlink"/>
          </w:rPr>
          <w:t xml:space="preserve">[61]</w:t>
        </w:r>
      </w:hyperlink>
      <w:r>
        <w:t xml:space="preserve"> </w:t>
      </w:r>
      <w:r>
        <w:t xml:space="preserve">https://eur-lex.europa.eu/legal-content/EN/TXT/PDF/?uri=CELEX%3A32023R0915</w:t>
      </w:r>
    </w:p>
    <w:p>
      <w:pPr>
        <w:pStyle w:val="BodyText"/>
      </w:pPr>
      <w:hyperlink r:id="rId60">
        <w:r>
          <w:rPr>
            <w:rStyle w:val="Hyperlink"/>
          </w:rPr>
          <w:t xml:space="preserve">https://eur-lex.europa.eu/legal-content/EN/TXT/PDF/?uri=CELEX%3A32023R0915</w:t>
        </w:r>
      </w:hyperlink>
    </w:p>
    <w:p>
      <w:pPr>
        <w:pStyle w:val="BodyText"/>
      </w:pPr>
      <w:hyperlink r:id="rId61">
        <w:r>
          <w:rPr>
            <w:rStyle w:val="Hyperlink"/>
          </w:rPr>
          <w:t xml:space="preserve">[62]</w:t>
        </w:r>
      </w:hyperlink>
      <w:r>
        <w:t xml:space="preserve"> </w:t>
      </w:r>
      <w:r>
        <w:t xml:space="preserve">https://eur-lex.europa.eu/eli/reg/2005/396/oj/eng</w:t>
      </w:r>
    </w:p>
    <w:p>
      <w:pPr>
        <w:pStyle w:val="BodyText"/>
      </w:pPr>
      <w:hyperlink r:id="rId61">
        <w:r>
          <w:rPr>
            <w:rStyle w:val="Hyperlink"/>
          </w:rPr>
          <w:t xml:space="preserve">https://eur-lex.europa.eu/eli/reg/2005/396/oj/eng</w:t>
        </w:r>
      </w:hyperlink>
    </w:p>
    <w:p>
      <w:pPr>
        <w:pStyle w:val="BodyText"/>
      </w:pPr>
      <w:hyperlink r:id="rId69">
        <w:r>
          <w:rPr>
            <w:rStyle w:val="Hyperlink"/>
          </w:rPr>
          <w:t xml:space="preserve">[63]</w:t>
        </w:r>
      </w:hyperlink>
      <w:r>
        <w:t xml:space="preserve"> </w:t>
      </w:r>
      <w:r>
        <w:t xml:space="preserve">https://www.sciencedirect.com/science/article/pii/S2667096825000412</w:t>
      </w:r>
    </w:p>
    <w:p>
      <w:pPr>
        <w:pStyle w:val="BodyText"/>
      </w:pPr>
      <w:hyperlink r:id="rId69">
        <w:r>
          <w:rPr>
            <w:rStyle w:val="Hyperlink"/>
          </w:rPr>
          <w:t xml:space="preserve">https://www.sciencedirect.com/science/article/pii/S2667096825000412</w:t>
        </w:r>
      </w:hyperlink>
    </w:p>
    <w:p>
      <w:pPr>
        <w:pStyle w:val="BodyText"/>
      </w:pPr>
      <w:hyperlink r:id="rId74">
        <w:r>
          <w:rPr>
            <w:rStyle w:val="Hyperlink"/>
          </w:rPr>
          <w:t xml:space="preserve">[65]</w:t>
        </w:r>
      </w:hyperlink>
      <w:r>
        <w:t xml:space="preserve"> </w:t>
      </w:r>
      <w:r>
        <w:t xml:space="preserve">https://eur-lex.europa.eu/eli/reg/2016/679/oj/eng</w:t>
      </w:r>
    </w:p>
    <w:p>
      <w:pPr>
        <w:pStyle w:val="BodyText"/>
      </w:pPr>
      <w:hyperlink r:id="rId74">
        <w:r>
          <w:rPr>
            <w:rStyle w:val="Hyperlink"/>
          </w:rPr>
          <w:t xml:space="preserve">https://eur-lex.europa.eu/eli/reg/2016/679/oj/eng</w:t>
        </w:r>
      </w:hyperlink>
    </w:p>
    <w:p>
      <w:pPr>
        <w:pStyle w:val="BodyText"/>
      </w:pPr>
      <w:hyperlink r:id="rId75">
        <w:r>
          <w:rPr>
            <w:rStyle w:val="Hyperlink"/>
          </w:rPr>
          <w:t xml:space="preserve">[66]</w:t>
        </w:r>
      </w:hyperlink>
      <w:r>
        <w:t xml:space="preserve"> </w:t>
      </w:r>
      <w:r>
        <w:t xml:space="preserve">https://oag.ca.gov/privacy/ccpa</w:t>
      </w:r>
    </w:p>
    <w:p>
      <w:pPr>
        <w:pStyle w:val="BodyText"/>
      </w:pPr>
      <w:hyperlink r:id="rId75">
        <w:r>
          <w:rPr>
            <w:rStyle w:val="Hyperlink"/>
          </w:rPr>
          <w:t xml:space="preserve">https://oag.ca.gov/privacy/ccpa</w:t>
        </w:r>
      </w:hyperlink>
    </w:p>
    <w:p>
      <w:pPr>
        <w:pStyle w:val="BodyText"/>
      </w:pPr>
      <w:hyperlink r:id="rId81">
        <w:r>
          <w:rPr>
            <w:rStyle w:val="Hyperlink"/>
          </w:rPr>
          <w:t xml:space="preserve">[68]</w:t>
        </w:r>
      </w:hyperlink>
      <w:r>
        <w:t xml:space="preserve"> </w:t>
      </w:r>
      <w:r>
        <w:t xml:space="preserve">https://sca.coffee/sca-news/sca-new-cva-cupping-standards</w:t>
      </w:r>
    </w:p>
    <w:p>
      <w:pPr>
        <w:pStyle w:val="BodyText"/>
      </w:pPr>
      <w:hyperlink r:id="rId81">
        <w:r>
          <w:rPr>
            <w:rStyle w:val="Hyperlink"/>
          </w:rPr>
          <w:t xml:space="preserve">https://sca.coffee/sca-news/sca-new-cva-cupping-standards</w:t>
        </w:r>
      </w:hyperlink>
    </w:p>
    <w:bookmarkEnd w:id="8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8" Target="https://coffeeboard.gov.in/" TargetMode="External" /><Relationship Type="http://schemas.openxmlformats.org/officeDocument/2006/relationships/hyperlink" Id="rId48" Target="https://coffeeboard.gov.in/Exporter.aspx" TargetMode="External" /><Relationship Type="http://schemas.openxmlformats.org/officeDocument/2006/relationships/hyperlink" Id="rId49" Target="https://coffeeboard.gov.in/Indian%20Coffee/Indian%20Coffee%20Exporters%5B1%5D_2.pdf" TargetMode="External" /><Relationship Type="http://schemas.openxmlformats.org/officeDocument/2006/relationships/hyperlink" Id="rId38" Target="https://coffeeboard.gov.in/Indian%20Coffee/Indian%20Coffee%20Sustainability%20Standard%20%20Certification%20Scheme.pdf" TargetMode="External" /><Relationship Type="http://schemas.openxmlformats.org/officeDocument/2006/relationships/hyperlink" Id="rId37" Target="https://coffeeboard.gov.in/Indian%20Coffee/coffee%20karma.pdf" TargetMode="External" /><Relationship Type="http://schemas.openxmlformats.org/officeDocument/2006/relationships/hyperlink" Id="rId23" Target="https://coffeeboard.gov.in/Specialitycoffee.aspx" TargetMode="External" /><Relationship Type="http://schemas.openxmlformats.org/officeDocument/2006/relationships/hyperlink" Id="rId22" Target="https://coffeeboard.gov.in/coffee-regions-india.html" TargetMode="External" /><Relationship Type="http://schemas.openxmlformats.org/officeDocument/2006/relationships/hyperlink" Id="rId25" Target="https://coffeeboard.gov.in/coffee-statistics.html" TargetMode="External" /><Relationship Type="http://schemas.openxmlformats.org/officeDocument/2006/relationships/hyperlink" Id="rId34" Target="https://coffeeboard.gov.in/research.aspx" TargetMode="External" /><Relationship Type="http://schemas.openxmlformats.org/officeDocument/2006/relationships/hyperlink" Id="rId61" Target="https://eur-lex.europa.eu/eli/reg/2005/396/oj/eng" TargetMode="External" /><Relationship Type="http://schemas.openxmlformats.org/officeDocument/2006/relationships/hyperlink" Id="rId74" Target="https://eur-lex.europa.eu/eli/reg/2016/679/oj/eng" TargetMode="External" /><Relationship Type="http://schemas.openxmlformats.org/officeDocument/2006/relationships/hyperlink" Id="rId58" Target="https://eur-lex.europa.eu/eli/reg/2017/625/oj/eng" TargetMode="External" /><Relationship Type="http://schemas.openxmlformats.org/officeDocument/2006/relationships/hyperlink" Id="rId43" Target="https://eur-lex.europa.eu/eli/reg/2018/848/oj/eng" TargetMode="External" /><Relationship Type="http://schemas.openxmlformats.org/officeDocument/2006/relationships/hyperlink" Id="rId59" Target="https://eur-lex.europa.eu/legal-content/EN/ALL/?uri=celex%3A32011R1169" TargetMode="External" /><Relationship Type="http://schemas.openxmlformats.org/officeDocument/2006/relationships/hyperlink" Id="rId60" Target="https://eur-lex.europa.eu/legal-content/EN/TXT/PDF/?uri=CELEX%3A32023R0915" TargetMode="External" /><Relationship Type="http://schemas.openxmlformats.org/officeDocument/2006/relationships/hyperlink" Id="rId52" Target="https://iccwbo.org/business-solutions/incoterms-rules/incoterms-2020/" TargetMode="External" /><Relationship Type="http://schemas.openxmlformats.org/officeDocument/2006/relationships/hyperlink" Id="rId45" Target="https://knowledge.rainforest-alliance.org/docs/overview-of-the-rainforest-alliance-certification" TargetMode="External" /><Relationship Type="http://schemas.openxmlformats.org/officeDocument/2006/relationships/hyperlink" Id="rId24" Target="https://nvlpubs.nist.gov/nistpubs/ai/nist.ai.100-1.pdf" TargetMode="External" /><Relationship Type="http://schemas.openxmlformats.org/officeDocument/2006/relationships/hyperlink" Id="rId75" Target="https://oag.ca.gov/privacy/ccpa" TargetMode="External" /><Relationship Type="http://schemas.openxmlformats.org/officeDocument/2006/relationships/hyperlink" Id="rId81" Target="https://sca.coffee/sca-news/sca-new-cva-cupping-standards" TargetMode="External" /><Relationship Type="http://schemas.openxmlformats.org/officeDocument/2006/relationships/hyperlink" Id="rId29" Target="https://static1.squarespace.com/static/584f6bbef5e23149e5522201/t/5d936fa1e29d4d5342049d74/1569943487417/Coffee%2BStandards-compressed.pdf" TargetMode="External" /><Relationship Type="http://schemas.openxmlformats.org/officeDocument/2006/relationships/hyperlink" Id="rId21" Target="https://trade.ec.europa.eu/access-to-markets/en/news/delay-until-december-2026-and-other-developments-implementation-eudr-regulation" TargetMode="External" /><Relationship Type="http://schemas.openxmlformats.org/officeDocument/2006/relationships/hyperlink" Id="rId56" Target="https://www.ecfr.gov/current/title-21/chapter-I/subchapter-B/part-117" TargetMode="External" /><Relationship Type="http://schemas.openxmlformats.org/officeDocument/2006/relationships/hyperlink" Id="rId42" Target="https://www.ecfr.gov/current/title-7/subtitle-B/chapter-I/subchapter-M/part-205?toc=1" TargetMode="External" /><Relationship Type="http://schemas.openxmlformats.org/officeDocument/2006/relationships/hyperlink" Id="rId44" Target="https://www.fairtrade.net/content/dam/fairtrade/global/minimum-price-table/Master_To%20do%20PDFs_Fairtrade_Minimum_Price_and_Premium_Table_EN_PUBLIC.pdf" TargetMode="External" /><Relationship Type="http://schemas.openxmlformats.org/officeDocument/2006/relationships/hyperlink" Id="rId26" Target="https://www.fda.gov/food/food-imports-exports/importing-food-products-united-states" TargetMode="External" /><Relationship Type="http://schemas.openxmlformats.org/officeDocument/2006/relationships/hyperlink" Id="rId50" Target="https://www.fda.gov/food/food-safety-modernization-act-fsma/fsma-final-rule-foreign-supplier-verification-programs-fsvp-importers-food-humans-and-animals" TargetMode="External" /><Relationship Type="http://schemas.openxmlformats.org/officeDocument/2006/relationships/hyperlink" Id="rId55" Target="https://www.fda.gov/food/guidance-regulation-food-and-dietary-supplements/registration-food-facilities-and-other-submissions" TargetMode="External" /><Relationship Type="http://schemas.openxmlformats.org/officeDocument/2006/relationships/hyperlink" Id="rId54" Target="https://www.fda.gov/industry/fda-import-process/prior-notice-imported-foods" TargetMode="External" /><Relationship Type="http://schemas.openxmlformats.org/officeDocument/2006/relationships/hyperlink" Id="rId30" Target="https://www.legislation.gov.uk/eur/2002/178/article/18" TargetMode="External" /><Relationship Type="http://schemas.openxmlformats.org/officeDocument/2006/relationships/hyperlink" Id="rId57" Target="https://www.legislation.gov.uk/eur/2004/852/article/5" TargetMode="External" /><Relationship Type="http://schemas.openxmlformats.org/officeDocument/2006/relationships/hyperlink" Id="rId69" Target="https://www.sciencedirect.com/science/article/pii/S2667096825000412" TargetMode="External" /></Relationships>
</file>

<file path=word/_rels/footnotes.xml.rels><?xml version="1.0" encoding="UTF-8"?><Relationships xmlns="http://schemas.openxmlformats.org/package/2006/relationships"><Relationship Type="http://schemas.openxmlformats.org/officeDocument/2006/relationships/hyperlink" Id="rId28" Target="https://coffeeboard.gov.in/" TargetMode="External" /><Relationship Type="http://schemas.openxmlformats.org/officeDocument/2006/relationships/hyperlink" Id="rId48" Target="https://coffeeboard.gov.in/Exporter.aspx" TargetMode="External" /><Relationship Type="http://schemas.openxmlformats.org/officeDocument/2006/relationships/hyperlink" Id="rId49" Target="https://coffeeboard.gov.in/Indian%20Coffee/Indian%20Coffee%20Exporters%5B1%5D_2.pdf" TargetMode="External" /><Relationship Type="http://schemas.openxmlformats.org/officeDocument/2006/relationships/hyperlink" Id="rId38" Target="https://coffeeboard.gov.in/Indian%20Coffee/Indian%20Coffee%20Sustainability%20Standard%20%20Certification%20Scheme.pdf" TargetMode="External" /><Relationship Type="http://schemas.openxmlformats.org/officeDocument/2006/relationships/hyperlink" Id="rId37" Target="https://coffeeboard.gov.in/Indian%20Coffee/coffee%20karma.pdf" TargetMode="External" /><Relationship Type="http://schemas.openxmlformats.org/officeDocument/2006/relationships/hyperlink" Id="rId23" Target="https://coffeeboard.gov.in/Specialitycoffee.aspx" TargetMode="External" /><Relationship Type="http://schemas.openxmlformats.org/officeDocument/2006/relationships/hyperlink" Id="rId22" Target="https://coffeeboard.gov.in/coffee-regions-india.html" TargetMode="External" /><Relationship Type="http://schemas.openxmlformats.org/officeDocument/2006/relationships/hyperlink" Id="rId25" Target="https://coffeeboard.gov.in/coffee-statistics.html" TargetMode="External" /><Relationship Type="http://schemas.openxmlformats.org/officeDocument/2006/relationships/hyperlink" Id="rId34" Target="https://coffeeboard.gov.in/research.aspx" TargetMode="External" /><Relationship Type="http://schemas.openxmlformats.org/officeDocument/2006/relationships/hyperlink" Id="rId61" Target="https://eur-lex.europa.eu/eli/reg/2005/396/oj/eng" TargetMode="External" /><Relationship Type="http://schemas.openxmlformats.org/officeDocument/2006/relationships/hyperlink" Id="rId74" Target="https://eur-lex.europa.eu/eli/reg/2016/679/oj/eng" TargetMode="External" /><Relationship Type="http://schemas.openxmlformats.org/officeDocument/2006/relationships/hyperlink" Id="rId58" Target="https://eur-lex.europa.eu/eli/reg/2017/625/oj/eng" TargetMode="External" /><Relationship Type="http://schemas.openxmlformats.org/officeDocument/2006/relationships/hyperlink" Id="rId43" Target="https://eur-lex.europa.eu/eli/reg/2018/848/oj/eng" TargetMode="External" /><Relationship Type="http://schemas.openxmlformats.org/officeDocument/2006/relationships/hyperlink" Id="rId59" Target="https://eur-lex.europa.eu/legal-content/EN/ALL/?uri=celex%3A32011R1169" TargetMode="External" /><Relationship Type="http://schemas.openxmlformats.org/officeDocument/2006/relationships/hyperlink" Id="rId60" Target="https://eur-lex.europa.eu/legal-content/EN/TXT/PDF/?uri=CELEX%3A32023R0915" TargetMode="External" /><Relationship Type="http://schemas.openxmlformats.org/officeDocument/2006/relationships/hyperlink" Id="rId52" Target="https://iccwbo.org/business-solutions/incoterms-rules/incoterms-2020/" TargetMode="External" /><Relationship Type="http://schemas.openxmlformats.org/officeDocument/2006/relationships/hyperlink" Id="rId45" Target="https://knowledge.rainforest-alliance.org/docs/overview-of-the-rainforest-alliance-certification" TargetMode="External" /><Relationship Type="http://schemas.openxmlformats.org/officeDocument/2006/relationships/hyperlink" Id="rId24" Target="https://nvlpubs.nist.gov/nistpubs/ai/nist.ai.100-1.pdf" TargetMode="External" /><Relationship Type="http://schemas.openxmlformats.org/officeDocument/2006/relationships/hyperlink" Id="rId75" Target="https://oag.ca.gov/privacy/ccpa" TargetMode="External" /><Relationship Type="http://schemas.openxmlformats.org/officeDocument/2006/relationships/hyperlink" Id="rId81" Target="https://sca.coffee/sca-news/sca-new-cva-cupping-standards" TargetMode="External" /><Relationship Type="http://schemas.openxmlformats.org/officeDocument/2006/relationships/hyperlink" Id="rId29" Target="https://static1.squarespace.com/static/584f6bbef5e23149e5522201/t/5d936fa1e29d4d5342049d74/1569943487417/Coffee%2BStandards-compressed.pdf" TargetMode="External" /><Relationship Type="http://schemas.openxmlformats.org/officeDocument/2006/relationships/hyperlink" Id="rId21" Target="https://trade.ec.europa.eu/access-to-markets/en/news/delay-until-december-2026-and-other-developments-implementation-eudr-regulation" TargetMode="External" /><Relationship Type="http://schemas.openxmlformats.org/officeDocument/2006/relationships/hyperlink" Id="rId56" Target="https://www.ecfr.gov/current/title-21/chapter-I/subchapter-B/part-117" TargetMode="External" /><Relationship Type="http://schemas.openxmlformats.org/officeDocument/2006/relationships/hyperlink" Id="rId42" Target="https://www.ecfr.gov/current/title-7/subtitle-B/chapter-I/subchapter-M/part-205?toc=1" TargetMode="External" /><Relationship Type="http://schemas.openxmlformats.org/officeDocument/2006/relationships/hyperlink" Id="rId44" Target="https://www.fairtrade.net/content/dam/fairtrade/global/minimum-price-table/Master_To%20do%20PDFs_Fairtrade_Minimum_Price_and_Premium_Table_EN_PUBLIC.pdf" TargetMode="External" /><Relationship Type="http://schemas.openxmlformats.org/officeDocument/2006/relationships/hyperlink" Id="rId26" Target="https://www.fda.gov/food/food-imports-exports/importing-food-products-united-states" TargetMode="External" /><Relationship Type="http://schemas.openxmlformats.org/officeDocument/2006/relationships/hyperlink" Id="rId50" Target="https://www.fda.gov/food/food-safety-modernization-act-fsma/fsma-final-rule-foreign-supplier-verification-programs-fsvp-importers-food-humans-and-animals" TargetMode="External" /><Relationship Type="http://schemas.openxmlformats.org/officeDocument/2006/relationships/hyperlink" Id="rId55" Target="https://www.fda.gov/food/guidance-regulation-food-and-dietary-supplements/registration-food-facilities-and-other-submissions" TargetMode="External" /><Relationship Type="http://schemas.openxmlformats.org/officeDocument/2006/relationships/hyperlink" Id="rId54" Target="https://www.fda.gov/industry/fda-import-process/prior-notice-imported-foods" TargetMode="External" /><Relationship Type="http://schemas.openxmlformats.org/officeDocument/2006/relationships/hyperlink" Id="rId30" Target="https://www.legislation.gov.uk/eur/2002/178/article/18" TargetMode="External" /><Relationship Type="http://schemas.openxmlformats.org/officeDocument/2006/relationships/hyperlink" Id="rId57" Target="https://www.legislation.gov.uk/eur/2004/852/article/5" TargetMode="External" /><Relationship Type="http://schemas.openxmlformats.org/officeDocument/2006/relationships/hyperlink" Id="rId69" Target="https://www.sciencedirect.com/science/article/pii/S2667096825000412"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2026-03-17T00:43:10Z</dcterms:created>
  <dcterms:modified xsi:type="dcterms:W3CDTF">2026-03-17T00:43:10Z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