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c64a5739af2b2629f6d02033964e15245aecb94"/>
    <w:p>
      <w:pPr>
        <w:pStyle w:val="Heading1"/>
      </w:pPr>
      <w:r>
        <w:t xml:space="preserve">Startup Blueprint for an AI-Native Platform Connecting Indian Coffee Suppliers to US and EU Buyers</w:t>
      </w:r>
    </w:p>
    <w:bookmarkStart w:id="26" w:name="executive-summary"/>
    <w:p>
      <w:pPr>
        <w:pStyle w:val="Heading2"/>
      </w:pPr>
      <w:r>
        <w:t xml:space="preserve">Executive summary</w:t>
      </w:r>
    </w:p>
    <w:p>
      <w:pPr>
        <w:pStyle w:val="FirstParagraph"/>
      </w:pPr>
      <w:r>
        <w:t xml:space="preserve">This blueprint describes how to build a</w:t>
      </w:r>
      <w:r>
        <w:t xml:space="preserve"> </w:t>
      </w:r>
      <w:r>
        <w:rPr>
          <w:b/>
          <w:bCs/>
        </w:rPr>
        <w:t xml:space="preserve">platform-first, AI-native coffee trade network</w:t>
      </w:r>
      <w:r>
        <w:t xml:space="preserve"> </w:t>
      </w:r>
      <w:r>
        <w:t xml:space="preserve">that connects Indian coffee suppliers (exporters, estates, processors) with US and EU buyers (roasters, cafés, distributors, and later consumers). It is designed to be</w:t>
      </w:r>
      <w:r>
        <w:t xml:space="preserve"> </w:t>
      </w:r>
      <w:r>
        <w:rPr>
          <w:b/>
          <w:bCs/>
        </w:rPr>
        <w:t xml:space="preserve">capital-light at the start</w:t>
      </w:r>
      <w:r>
        <w:t xml:space="preserve"> </w:t>
      </w:r>
      <w:r>
        <w:t xml:space="preserve">and</w:t>
      </w:r>
      <w:r>
        <w:t xml:space="preserve"> </w:t>
      </w:r>
      <w:r>
        <w:rPr>
          <w:b/>
          <w:bCs/>
        </w:rPr>
        <w:t xml:space="preserve">investor-ready within 6–12 months</w:t>
      </w:r>
      <w:r>
        <w:t xml:space="preserve">,</w:t>
      </w:r>
      <w:r>
        <w:t xml:space="preserve"> </w:t>
      </w:r>
      <w:r>
        <w:rPr>
          <w:i/>
          <w:iCs/>
        </w:rPr>
        <w:t xml:space="preserve">if</w:t>
      </w:r>
      <w:r>
        <w:t xml:space="preserve"> </w:t>
      </w:r>
      <w:r>
        <w:t xml:space="preserve">you choose an operating model that avoids turning the company into (a) the</w:t>
      </w:r>
      <w:r>
        <w:t xml:space="preserve"> </w:t>
      </w:r>
      <w:r>
        <w:rPr>
          <w:b/>
          <w:bCs/>
        </w:rPr>
        <w:t xml:space="preserve">U.S. FSVP importer</w:t>
      </w:r>
      <w:r>
        <w:t xml:space="preserve"> </w:t>
      </w:r>
      <w:r>
        <w:t xml:space="preserve">by default and (b) the</w:t>
      </w:r>
      <w:r>
        <w:t xml:space="preserve"> </w:t>
      </w:r>
      <w:r>
        <w:rPr>
          <w:b/>
          <w:bCs/>
        </w:rPr>
        <w:t xml:space="preserve">EU “responsible food business operator / importer” responsible for labeling</w:t>
      </w:r>
      <w:r>
        <w:t xml:space="preserve"> </w:t>
      </w:r>
      <w:r>
        <w:t xml:space="preserve">by default.</w:t>
      </w:r>
      <w:r>
        <w:t xml:space="preserve"> </w:t>
      </w:r>
      <w:hyperlink r:id="rId21">
        <w:r>
          <w:rPr>
            <w:rStyle w:val="Hyperlink"/>
          </w:rPr>
          <w:t xml:space="preserve">[1]</w:t>
        </w:r>
      </w:hyperlink>
    </w:p>
    <w:p>
      <w:pPr>
        <w:pStyle w:val="BodyText"/>
      </w:pPr>
      <w:r>
        <w:t xml:space="preserve">The strongest “platform-first with near-zero founder cash” wedge is:</w:t>
      </w:r>
    </w:p>
    <w:p>
      <w:pPr>
        <w:pStyle w:val="Compact"/>
        <w:numPr>
          <w:ilvl w:val="0"/>
          <w:numId w:val="1001"/>
        </w:numPr>
      </w:pPr>
      <w:r>
        <w:rPr>
          <w:b/>
          <w:bCs/>
        </w:rPr>
        <w:t xml:space="preserve">Charge-on-order marketplace (commission only when orders execute),</w:t>
      </w:r>
      <w:r>
        <w:t xml:space="preserve"> </w:t>
      </w:r>
      <w:r>
        <w:t xml:space="preserve">initially</w:t>
      </w:r>
      <w:r>
        <w:t xml:space="preserve"> </w:t>
      </w:r>
      <w:r>
        <w:rPr>
          <w:b/>
          <w:bCs/>
        </w:rPr>
        <w:t xml:space="preserve">B2B</w:t>
      </w:r>
      <w:r>
        <w:t xml:space="preserve">, with buyers acting as importer/consignee and you not taking title. This aligns with FDA definitions: the</w:t>
      </w:r>
      <w:r>
        <w:t xml:space="preserve"> </w:t>
      </w:r>
      <w:r>
        <w:rPr>
          <w:b/>
          <w:bCs/>
        </w:rPr>
        <w:t xml:space="preserve">FSVP importer is the U.S. owner or consignee</w:t>
      </w:r>
      <w:r>
        <w:t xml:space="preserve"> </w:t>
      </w:r>
      <w:r>
        <w:t xml:space="preserve">(or a designated U.S. agent/rep if none exists).</w:t>
      </w:r>
      <w:r>
        <w:t xml:space="preserve"> </w:t>
      </w:r>
      <w:hyperlink r:id="rId21">
        <w:r>
          <w:rPr>
            <w:rStyle w:val="Hyperlink"/>
          </w:rPr>
          <w:t xml:space="preserve">[2]</w:t>
        </w:r>
      </w:hyperlink>
    </w:p>
    <w:p>
      <w:pPr>
        <w:pStyle w:val="Compact"/>
        <w:numPr>
          <w:ilvl w:val="0"/>
          <w:numId w:val="1001"/>
        </w:numPr>
      </w:pPr>
      <w:r>
        <w:t xml:space="preserve">A</w:t>
      </w:r>
      <w:r>
        <w:t xml:space="preserve"> </w:t>
      </w:r>
      <w:r>
        <w:rPr>
          <w:b/>
          <w:bCs/>
        </w:rPr>
        <w:t xml:space="preserve">lot ledger + document vault + compliance pack generator</w:t>
      </w:r>
      <w:r>
        <w:t xml:space="preserve"> </w:t>
      </w:r>
      <w:r>
        <w:t xml:space="preserve">that mirrors how Indian coffee exports already operate: Coffee Board workflows around</w:t>
      </w:r>
      <w:r>
        <w:t xml:space="preserve"> </w:t>
      </w:r>
      <w:r>
        <w:rPr>
          <w:b/>
          <w:bCs/>
        </w:rPr>
        <w:t xml:space="preserve">Export Permit (Form‑C)</w:t>
      </w:r>
      <w:r>
        <w:t xml:space="preserve"> </w:t>
      </w:r>
      <w:r>
        <w:t xml:space="preserve">and</w:t>
      </w:r>
      <w:r>
        <w:t xml:space="preserve"> </w:t>
      </w:r>
      <w:r>
        <w:rPr>
          <w:b/>
          <w:bCs/>
        </w:rPr>
        <w:t xml:space="preserve">ICO Certificate of Origin</w:t>
      </w:r>
      <w:r>
        <w:t xml:space="preserve">, and required</w:t>
      </w:r>
      <w:r>
        <w:t xml:space="preserve"> </w:t>
      </w:r>
      <w:r>
        <w:rPr>
          <w:b/>
          <w:bCs/>
        </w:rPr>
        <w:t xml:space="preserve">post-shipment documents</w:t>
      </w:r>
      <w:r>
        <w:t xml:space="preserve"> </w:t>
      </w:r>
      <w:r>
        <w:t xml:space="preserve">(export permits, bill of lading with onboard date seal, customs-endorsed certificate of origin, FOB details) filed within</w:t>
      </w:r>
      <w:r>
        <w:t xml:space="preserve"> </w:t>
      </w:r>
      <w:r>
        <w:rPr>
          <w:b/>
          <w:bCs/>
        </w:rPr>
        <w:t xml:space="preserve">45 days</w:t>
      </w:r>
      <w:r>
        <w:t xml:space="preserve">.</w:t>
      </w:r>
      <w:r>
        <w:t xml:space="preserve"> </w:t>
      </w:r>
      <w:hyperlink r:id="rId22">
        <w:r>
          <w:rPr>
            <w:rStyle w:val="Hyperlink"/>
          </w:rPr>
          <w:t xml:space="preserve">[3]</w:t>
        </w:r>
      </w:hyperlink>
    </w:p>
    <w:p>
      <w:pPr>
        <w:pStyle w:val="Compact"/>
        <w:numPr>
          <w:ilvl w:val="0"/>
          <w:numId w:val="1001"/>
        </w:numPr>
      </w:pPr>
      <w:r>
        <w:rPr>
          <w:b/>
          <w:bCs/>
        </w:rPr>
        <w:t xml:space="preserve">EUDR-ready data capture</w:t>
      </w:r>
      <w:r>
        <w:t xml:space="preserve"> </w:t>
      </w:r>
      <w:r>
        <w:t xml:space="preserve">(geolocation fields and supplier/plot provenance) because EU deforestation rules explicitly cover</w:t>
      </w:r>
      <w:r>
        <w:t xml:space="preserve"> </w:t>
      </w:r>
      <w:r>
        <w:rPr>
          <w:b/>
          <w:bCs/>
        </w:rPr>
        <w:t xml:space="preserve">coffee</w:t>
      </w:r>
      <w:r>
        <w:t xml:space="preserve"> </w:t>
      </w:r>
      <w:r>
        <w:t xml:space="preserve">and require due diligence systems to include</w:t>
      </w:r>
      <w:r>
        <w:t xml:space="preserve"> </w:t>
      </w:r>
      <w:r>
        <w:rPr>
          <w:b/>
          <w:bCs/>
        </w:rPr>
        <w:t xml:space="preserve">geolocation coordinates</w:t>
      </w:r>
      <w:r>
        <w:t xml:space="preserve"> </w:t>
      </w:r>
      <w:r>
        <w:t xml:space="preserve">of relevant plots; official EU sources confirm the main obligations timeline has been postponed, with large operators’ obligations applying from</w:t>
      </w:r>
      <w:r>
        <w:t xml:space="preserve"> </w:t>
      </w:r>
      <w:r>
        <w:rPr>
          <w:b/>
          <w:bCs/>
        </w:rPr>
        <w:t xml:space="preserve">30 Dec 2026</w:t>
      </w:r>
      <w:r>
        <w:t xml:space="preserve">.</w:t>
      </w:r>
      <w:r>
        <w:t xml:space="preserve"> </w:t>
      </w:r>
      <w:hyperlink r:id="rId23">
        <w:r>
          <w:rPr>
            <w:rStyle w:val="Hyperlink"/>
          </w:rPr>
          <w:t xml:space="preserve">[4]</w:t>
        </w:r>
      </w:hyperlink>
    </w:p>
    <w:p>
      <w:pPr>
        <w:pStyle w:val="FirstParagraph"/>
      </w:pPr>
      <w:r>
        <w:rPr>
          <w:b/>
          <w:bCs/>
        </w:rPr>
        <w:t xml:space="preserve">Why dropship India → consumer is a weak “core model” for US/EU:</w:t>
      </w:r>
      <w:r>
        <w:br/>
      </w:r>
      <w:r>
        <w:t xml:space="preserve">It multiplies per-order cross-border friction: US</w:t>
      </w:r>
      <w:r>
        <w:t xml:space="preserve"> </w:t>
      </w:r>
      <w:r>
        <w:rPr>
          <w:b/>
          <w:bCs/>
        </w:rPr>
        <w:t xml:space="preserve">Prior Notice</w:t>
      </w:r>
      <w:r>
        <w:t xml:space="preserve"> </w:t>
      </w:r>
      <w:r>
        <w:t xml:space="preserve">applies to imported food shipments, and EU distance-sales logistics require customs declarations and VAT collection mechanisms (IOSS is limited to €150 per order). EU customs duty relief for parcels under €150 is being removed “as of 2026,” worsening long-run economics for parcel dropship strategies.</w:t>
      </w:r>
      <w:r>
        <w:t xml:space="preserve"> </w:t>
      </w:r>
      <w:hyperlink r:id="rId24">
        <w:r>
          <w:rPr>
            <w:rStyle w:val="Hyperlink"/>
          </w:rPr>
          <w:t xml:space="preserve">[5]</w:t>
        </w:r>
      </w:hyperlink>
    </w:p>
    <w:p>
      <w:pPr>
        <w:pStyle w:val="BodyText"/>
      </w:pPr>
      <w:r>
        <w:rPr>
          <w:b/>
          <w:bCs/>
        </w:rPr>
        <w:t xml:space="preserve">Recommended capital ranges (USD; assumptions explicit below)</w:t>
      </w:r>
      <w:r>
        <w:br/>
      </w:r>
      <w:r>
        <w:t xml:space="preserve">These are planning ranges, not quotes:</w:t>
      </w:r>
    </w:p>
    <w:p>
      <w:pPr>
        <w:pStyle w:val="Compact"/>
        <w:numPr>
          <w:ilvl w:val="0"/>
          <w:numId w:val="1002"/>
        </w:numPr>
      </w:pPr>
      <w:r>
        <w:rPr>
          <w:b/>
          <w:bCs/>
        </w:rPr>
        <w:t xml:space="preserve">Lean MVP (B2B marketplace + supplier portal + lot ledger + document packs; founder builds): $150k–$400k</w:t>
      </w:r>
    </w:p>
    <w:p>
      <w:pPr>
        <w:pStyle w:val="Compact"/>
        <w:numPr>
          <w:ilvl w:val="0"/>
          <w:numId w:val="1002"/>
        </w:numPr>
      </w:pPr>
      <w:r>
        <w:rPr>
          <w:b/>
          <w:bCs/>
        </w:rPr>
        <w:t xml:space="preserve">Standard launch (adds US in-market fulfillment pilot and deeper QC/compliance ops): $600k–$1.3M</w:t>
      </w:r>
    </w:p>
    <w:p>
      <w:pPr>
        <w:pStyle w:val="Compact"/>
        <w:numPr>
          <w:ilvl w:val="0"/>
          <w:numId w:val="1002"/>
        </w:numPr>
      </w:pPr>
      <w:r>
        <w:rPr>
          <w:b/>
          <w:bCs/>
        </w:rPr>
        <w:t xml:space="preserve">Growth/scale (US + EU footprint, stronger compliance automation + EUDR readiness + team + working capital buffer): $2.0M–$4.0M</w:t>
      </w:r>
    </w:p>
    <w:p>
      <w:pPr>
        <w:pStyle w:val="FirstParagraph"/>
      </w:pPr>
      <w:r>
        <w:t xml:space="preserve">Key drivers are headcount, compliance/legal, supplier onboarding (verification + sampling), and—if you import or hold inventory—working capital and warehousing/fulfillment.</w:t>
      </w:r>
      <w:r>
        <w:t xml:space="preserve"> </w:t>
      </w:r>
      <w:hyperlink r:id="rId25">
        <w:r>
          <w:rPr>
            <w:rStyle w:val="Hyperlink"/>
          </w:rPr>
          <w:t xml:space="preserve">[6]</w:t>
        </w:r>
      </w:hyperlink>
    </w:p>
    <w:bookmarkEnd w:id="26"/>
    <w:bookmarkStart w:id="29" w:name="assumptions-and-strategic-framing"/>
    <w:p>
      <w:pPr>
        <w:pStyle w:val="Heading2"/>
      </w:pPr>
      <w:r>
        <w:t xml:space="preserve">Assumptions and strategic framing</w:t>
      </w:r>
    </w:p>
    <w:bookmarkStart w:id="27" w:name="explicit-assumptions"/>
    <w:p>
      <w:pPr>
        <w:pStyle w:val="Heading3"/>
      </w:pPr>
      <w:r>
        <w:t xml:space="preserve">Explicit assumptions</w:t>
      </w:r>
    </w:p>
    <w:p>
      <w:pPr>
        <w:pStyle w:val="FirstParagraph"/>
      </w:pPr>
      <w:r>
        <w:t xml:space="preserve">Unstated assumptions (as requested), made explicit:</w:t>
      </w:r>
    </w:p>
    <w:p>
      <w:pPr>
        <w:pStyle w:val="Compact"/>
        <w:numPr>
          <w:ilvl w:val="0"/>
          <w:numId w:val="1003"/>
        </w:numPr>
      </w:pPr>
      <w:r>
        <w:t xml:space="preserve">Primary markets are the</w:t>
      </w:r>
      <w:r>
        <w:t xml:space="preserve"> </w:t>
      </w:r>
      <w:r>
        <w:rPr>
          <w:b/>
          <w:bCs/>
        </w:rPr>
        <w:t xml:space="preserve">US and EU</w:t>
      </w:r>
      <w:r>
        <w:t xml:space="preserve">; buyers include</w:t>
      </w:r>
      <w:r>
        <w:t xml:space="preserve"> </w:t>
      </w:r>
      <w:r>
        <w:rPr>
          <w:b/>
          <w:bCs/>
        </w:rPr>
        <w:t xml:space="preserve">B2B and B2C</w:t>
      </w:r>
      <w:r>
        <w:t xml:space="preserve"> </w:t>
      </w:r>
      <w:r>
        <w:t xml:space="preserve">(B2C treated as later-stage unless you run in-market fulfillment).</w:t>
      </w:r>
    </w:p>
    <w:p>
      <w:pPr>
        <w:pStyle w:val="Compact"/>
        <w:numPr>
          <w:ilvl w:val="0"/>
          <w:numId w:val="1003"/>
        </w:numPr>
      </w:pPr>
      <w:r>
        <w:t xml:space="preserve">Founder can build the MVP platform/app and run early supplier/buyer discovery (“sweat equity” is a key input).</w:t>
      </w:r>
    </w:p>
    <w:p>
      <w:pPr>
        <w:pStyle w:val="Compact"/>
        <w:numPr>
          <w:ilvl w:val="0"/>
          <w:numId w:val="1003"/>
        </w:numPr>
      </w:pPr>
      <w:r>
        <w:t xml:space="preserve">No specific budget is provided; capital ranges include multiple scenarios.</w:t>
      </w:r>
    </w:p>
    <w:p>
      <w:pPr>
        <w:pStyle w:val="Compact"/>
        <w:numPr>
          <w:ilvl w:val="0"/>
          <w:numId w:val="1003"/>
        </w:numPr>
      </w:pPr>
      <w:r>
        <w:t xml:space="preserve">Initial supplier onboarding targets</w:t>
      </w:r>
      <w:r>
        <w:t xml:space="preserve"> </w:t>
      </w:r>
      <w:r>
        <w:rPr>
          <w:b/>
          <w:bCs/>
        </w:rPr>
        <w:t xml:space="preserve">coffee exporters</w:t>
      </w:r>
      <w:r>
        <w:t xml:space="preserve"> </w:t>
      </w:r>
      <w:r>
        <w:t xml:space="preserve">rather than only estates, because export operations materially depend on exporter-side documentation workflows (Form‑C export permit, ICO Certificate of Origin, post-shipment filings).</w:t>
      </w:r>
      <w:r>
        <w:t xml:space="preserve"> </w:t>
      </w:r>
      <w:hyperlink r:id="rId22">
        <w:r>
          <w:rPr>
            <w:rStyle w:val="Hyperlink"/>
          </w:rPr>
          <w:t xml:space="preserve">[3]</w:t>
        </w:r>
      </w:hyperlink>
    </w:p>
    <w:p>
      <w:pPr>
        <w:pStyle w:val="Compact"/>
        <w:numPr>
          <w:ilvl w:val="0"/>
          <w:numId w:val="1003"/>
        </w:numPr>
      </w:pPr>
      <w:r>
        <w:t xml:space="preserve">This is a product and operating blueprint, not legal advice; you will still retain qualified counsel/accountants for US import and EU VAT/customs setup.</w:t>
      </w:r>
    </w:p>
    <w:bookmarkEnd w:id="27"/>
    <w:bookmarkStart w:id="28" w:name="strategic-thesis"/>
    <w:p>
      <w:pPr>
        <w:pStyle w:val="Heading3"/>
      </w:pPr>
      <w:r>
        <w:t xml:space="preserve">Strategic thesis</w:t>
      </w:r>
    </w:p>
    <w:p>
      <w:pPr>
        <w:pStyle w:val="FirstParagraph"/>
      </w:pPr>
      <w:r>
        <w:t xml:space="preserve">You are not “just selling coffee.” You are building</w:t>
      </w:r>
      <w:r>
        <w:t xml:space="preserve"> </w:t>
      </w:r>
      <w:r>
        <w:rPr>
          <w:b/>
          <w:bCs/>
        </w:rPr>
        <w:t xml:space="preserve">trade infrastructure</w:t>
      </w:r>
      <w:r>
        <w:t xml:space="preserve">: a platform that makes each lot of coffee a</w:t>
      </w:r>
      <w:r>
        <w:t xml:space="preserve"> </w:t>
      </w:r>
      <w:r>
        <w:rPr>
          <w:b/>
          <w:bCs/>
        </w:rPr>
        <w:t xml:space="preserve">verifiable digital object</w:t>
      </w:r>
      <w:r>
        <w:t xml:space="preserve"> </w:t>
      </w:r>
      <w:r>
        <w:t xml:space="preserve">(documents + provenance + QC metrics + logistics metadata) and then monetizes:</w:t>
      </w:r>
    </w:p>
    <w:p>
      <w:pPr>
        <w:pStyle w:val="BodyText"/>
      </w:pPr>
      <w:r>
        <w:t xml:space="preserve">1)</w:t>
      </w:r>
      <w:r>
        <w:t xml:space="preserve"> </w:t>
      </w:r>
      <w:r>
        <w:rPr>
          <w:b/>
          <w:bCs/>
        </w:rPr>
        <w:t xml:space="preserve">Transactions</w:t>
      </w:r>
      <w:r>
        <w:t xml:space="preserve"> </w:t>
      </w:r>
      <w:r>
        <w:t xml:space="preserve">(commission per executed order category) and</w:t>
      </w:r>
      <w:r>
        <w:br/>
      </w:r>
      <w:r>
        <w:t xml:space="preserve">2)</w:t>
      </w:r>
      <w:r>
        <w:t xml:space="preserve"> </w:t>
      </w:r>
      <w:r>
        <w:rPr>
          <w:b/>
          <w:bCs/>
        </w:rPr>
        <w:t xml:space="preserve">Data/compliance services</w:t>
      </w:r>
      <w:r>
        <w:t xml:space="preserve"> </w:t>
      </w:r>
      <w:r>
        <w:t xml:space="preserve">(traceability and documentation packs that de-risk procurement), with EUDR-readiness as a durable wedge.</w:t>
      </w:r>
      <w:r>
        <w:t xml:space="preserve"> </w:t>
      </w:r>
      <w:hyperlink r:id="rId23">
        <w:r>
          <w:rPr>
            <w:rStyle w:val="Hyperlink"/>
          </w:rPr>
          <w:t xml:space="preserve">[7]</w:t>
        </w:r>
      </w:hyperlink>
    </w:p>
    <w:bookmarkEnd w:id="28"/>
    <w:bookmarkEnd w:id="29"/>
    <w:bookmarkStart w:id="45" w:name="final-product-specification"/>
    <w:p>
      <w:pPr>
        <w:pStyle w:val="Heading2"/>
      </w:pPr>
      <w:r>
        <w:t xml:space="preserve">Final product specification</w:t>
      </w:r>
    </w:p>
    <w:bookmarkStart w:id="30" w:name="X9ac1faf72bbbd616b84c068e577172d8f9d5832"/>
    <w:p>
      <w:pPr>
        <w:pStyle w:val="Heading3"/>
      </w:pPr>
      <w:r>
        <w:t xml:space="preserve">Product surfaces and “final app” definition</w:t>
      </w:r>
    </w:p>
    <w:p>
      <w:pPr>
        <w:pStyle w:val="FirstParagraph"/>
      </w:pPr>
      <w:r>
        <w:t xml:space="preserve">The “final product” is three connected experiences that share one data backbone: the lot ledger.</w:t>
      </w:r>
    </w:p>
    <w:p>
      <w:pPr>
        <w:pStyle w:val="Compact"/>
        <w:numPr>
          <w:ilvl w:val="0"/>
          <w:numId w:val="1004"/>
        </w:numPr>
      </w:pPr>
      <w:r>
        <w:t xml:space="preserve">Consumer app (B2C): discovery, subscription, provenance scanning, and brew guidance.</w:t>
      </w:r>
    </w:p>
    <w:p>
      <w:pPr>
        <w:pStyle w:val="Compact"/>
        <w:numPr>
          <w:ilvl w:val="0"/>
          <w:numId w:val="1004"/>
        </w:numPr>
      </w:pPr>
      <w:r>
        <w:t xml:space="preserve">B2B buyer portal: sourcing, RFQs, lot comparisons, doc packs, shipment tracking, reorder, and procurement analytics.</w:t>
      </w:r>
    </w:p>
    <w:p>
      <w:pPr>
        <w:pStyle w:val="Compact"/>
        <w:numPr>
          <w:ilvl w:val="0"/>
          <w:numId w:val="1004"/>
        </w:numPr>
      </w:pPr>
      <w:r>
        <w:t xml:space="preserve">Supplier portal: lot creation, documentation upload, inventory &amp; pricing, fulfillment commitments, and payout dashboards.</w:t>
      </w:r>
    </w:p>
    <w:p>
      <w:pPr>
        <w:pStyle w:val="FirstParagraph"/>
      </w:pPr>
      <w:r>
        <w:t xml:space="preserve">A key design principle:</w:t>
      </w:r>
      <w:r>
        <w:t xml:space="preserve"> </w:t>
      </w:r>
      <w:r>
        <w:rPr>
          <w:b/>
          <w:bCs/>
        </w:rPr>
        <w:t xml:space="preserve">the application is the interface; the lot ledger is the advantage.</w:t>
      </w:r>
      <w:r>
        <w:t xml:space="preserve"> </w:t>
      </w:r>
      <w:r>
        <w:t xml:space="preserve">The lot ledger reflects trade reality: export permits and certificates of origin, plus shipping documents and QC specs.</w:t>
      </w:r>
      <w:r>
        <w:t xml:space="preserve"> </w:t>
      </w:r>
      <w:hyperlink r:id="rId22">
        <w:r>
          <w:rPr>
            <w:rStyle w:val="Hyperlink"/>
          </w:rPr>
          <w:t xml:space="preserve">[3]</w:t>
        </w:r>
      </w:hyperlink>
    </w:p>
    <w:bookmarkEnd w:id="30"/>
    <w:bookmarkStart w:id="32" w:name="consumer-app-specification"/>
    <w:p>
      <w:pPr>
        <w:pStyle w:val="Heading3"/>
      </w:pPr>
      <w:r>
        <w:t xml:space="preserve">Consumer app specification</w:t>
      </w:r>
    </w:p>
    <w:p>
      <w:pPr>
        <w:pStyle w:val="FirstParagraph"/>
      </w:pPr>
      <w:r>
        <w:rPr>
          <w:b/>
          <w:bCs/>
        </w:rPr>
        <w:t xml:space="preserve">Primary objective:</w:t>
      </w:r>
      <w:r>
        <w:t xml:space="preserve"> </w:t>
      </w:r>
      <w:r>
        <w:t xml:space="preserve">convert provenance + taste preference into retention (subscription) once you can fulfill in-market. (If you rely on India→consumer dropship, the consumer app must also handle VAT/customs and higher refund friction; see operating models section.)</w:t>
      </w:r>
      <w:r>
        <w:t xml:space="preserve"> </w:t>
      </w:r>
      <w:hyperlink r:id="rId31">
        <w:r>
          <w:rPr>
            <w:rStyle w:val="Hyperlink"/>
          </w:rPr>
          <w:t xml:space="preserve">[8]</w:t>
        </w:r>
      </w:hyperlink>
    </w:p>
    <w:p>
      <w:pPr>
        <w:pStyle w:val="BodyText"/>
      </w:pPr>
      <w:r>
        <w:rPr>
          <w:b/>
          <w:bCs/>
        </w:rPr>
        <w:t xml:space="preserve">Core screens</w:t>
      </w:r>
      <w:r>
        <w:t xml:space="preserve"> </w:t>
      </w:r>
      <w:r>
        <w:t xml:space="preserve">- Taste onboarding (few questions → preference vector)</w:t>
      </w:r>
      <w:r>
        <w:br/>
      </w:r>
      <w:r>
        <w:t xml:space="preserve">- “For you” recommendations (driven by lot metadata and preference learning)</w:t>
      </w:r>
      <w:r>
        <w:br/>
      </w:r>
      <w:r>
        <w:t xml:space="preserve">- Product detail (lot page: origin, grade, processing, moisture spec range, documents)</w:t>
      </w:r>
      <w:r>
        <w:br/>
      </w:r>
      <w:r>
        <w:t xml:space="preserve">- Checkout/subscription</w:t>
      </w:r>
      <w:r>
        <w:br/>
      </w:r>
      <w:r>
        <w:t xml:space="preserve">- QR scan → lot provenance &amp; “what changed since last lot”</w:t>
      </w:r>
      <w:r>
        <w:br/>
      </w:r>
      <w:r>
        <w:t xml:space="preserve">- Support/disputes</w:t>
      </w:r>
    </w:p>
    <w:p>
      <w:pPr>
        <w:pStyle w:val="BodyText"/>
      </w:pPr>
      <w:r>
        <w:rPr>
          <w:b/>
          <w:bCs/>
        </w:rPr>
        <w:t xml:space="preserve">Example consumer flow (expository)</w:t>
      </w:r>
      <w:r>
        <w:t xml:space="preserve"> </w:t>
      </w:r>
      <w:r>
        <w:t xml:space="preserve">1) User answers taste prompts → system maps to constraints (roast style, acidity tolerance, body).</w:t>
      </w:r>
      <w:r>
        <w:br/>
      </w:r>
      <w:r>
        <w:t xml:space="preserve">2) App suggests 3 lots/SKUs; user picks one; app explains why (“low acidity”, “monsooned”, “screen size”).</w:t>
      </w:r>
      <w:r>
        <w:br/>
      </w:r>
      <w:r>
        <w:t xml:space="preserve">3) When inventory changes, the app offers substitutions while preserving preference constraints.</w:t>
      </w:r>
    </w:p>
    <w:bookmarkEnd w:id="32"/>
    <w:bookmarkStart w:id="35" w:name="b2b-buyer-portal-specification"/>
    <w:p>
      <w:pPr>
        <w:pStyle w:val="Heading3"/>
      </w:pPr>
      <w:r>
        <w:t xml:space="preserve">B2B buyer portal specification</w:t>
      </w:r>
    </w:p>
    <w:p>
      <w:pPr>
        <w:pStyle w:val="FirstParagraph"/>
      </w:pPr>
      <w:r>
        <w:rPr>
          <w:b/>
          <w:bCs/>
        </w:rPr>
        <w:t xml:space="preserve">Primary objective:</w:t>
      </w:r>
      <w:r>
        <w:t xml:space="preserve"> </w:t>
      </w:r>
      <w:r>
        <w:t xml:space="preserve">reduce procurement friction for US/EU buyers by bundling sourcing + documentation + logistics clarity.</w:t>
      </w:r>
    </w:p>
    <w:p>
      <w:pPr>
        <w:pStyle w:val="BodyText"/>
      </w:pPr>
      <w:r>
        <w:rPr>
          <w:b/>
          <w:bCs/>
        </w:rPr>
        <w:t xml:space="preserve">Core screens</w:t>
      </w:r>
      <w:r>
        <w:t xml:space="preserve"> </w:t>
      </w:r>
      <w:r>
        <w:t xml:space="preserve">- Supplier directory (verified exporters; certifications; EUDR-ready signals)</w:t>
      </w:r>
      <w:r>
        <w:br/>
      </w:r>
      <w:r>
        <w:t xml:space="preserve">- Lot marketplace (filter by Coffee Board-aligned types/grades + region + processing + moisture spec window)</w:t>
      </w:r>
      <w:r>
        <w:t xml:space="preserve"> </w:t>
      </w:r>
      <w:hyperlink r:id="rId22">
        <w:r>
          <w:rPr>
            <w:rStyle w:val="Hyperlink"/>
          </w:rPr>
          <w:t xml:space="preserve">[9]</w:t>
        </w:r>
      </w:hyperlink>
      <w:r>
        <w:br/>
      </w:r>
      <w:r>
        <w:t xml:space="preserve">- Quote/order (Incoterms selection, lead times, payment terms)</w:t>
      </w:r>
      <w:r>
        <w:t xml:space="preserve"> </w:t>
      </w:r>
      <w:hyperlink r:id="rId33">
        <w:r>
          <w:rPr>
            <w:rStyle w:val="Hyperlink"/>
          </w:rPr>
          <w:t xml:space="preserve">[10]</w:t>
        </w:r>
      </w:hyperlink>
      <w:r>
        <w:br/>
      </w:r>
      <w:r>
        <w:t xml:space="preserve">- Compliance pack download (export permit, certificate of origin, bill of lading, etc.)</w:t>
      </w:r>
      <w:r>
        <w:t xml:space="preserve"> </w:t>
      </w:r>
      <w:hyperlink r:id="rId22">
        <w:r>
          <w:rPr>
            <w:rStyle w:val="Hyperlink"/>
          </w:rPr>
          <w:t xml:space="preserve">[3]</w:t>
        </w:r>
      </w:hyperlink>
      <w:r>
        <w:br/>
      </w:r>
      <w:r>
        <w:t xml:space="preserve">- Traceability graph (supplier → plot/co-op → lot → shipment → buyer) aligned to EU traceability expectations</w:t>
      </w:r>
      <w:r>
        <w:t xml:space="preserve"> </w:t>
      </w:r>
      <w:hyperlink r:id="rId34">
        <w:r>
          <w:rPr>
            <w:rStyle w:val="Hyperlink"/>
          </w:rPr>
          <w:t xml:space="preserve">[11]</w:t>
        </w:r>
      </w:hyperlink>
      <w:r>
        <w:br/>
      </w:r>
      <w:r>
        <w:t xml:space="preserve">- QC intake record + dispute submission</w:t>
      </w:r>
    </w:p>
    <w:bookmarkEnd w:id="35"/>
    <w:bookmarkStart w:id="37" w:name="supplier-portal-specification"/>
    <w:p>
      <w:pPr>
        <w:pStyle w:val="Heading3"/>
      </w:pPr>
      <w:r>
        <w:t xml:space="preserve">Supplier portal specification</w:t>
      </w:r>
    </w:p>
    <w:p>
      <w:pPr>
        <w:pStyle w:val="FirstParagraph"/>
      </w:pPr>
      <w:r>
        <w:rPr>
          <w:b/>
          <w:bCs/>
        </w:rPr>
        <w:t xml:space="preserve">Primary objective:</w:t>
      </w:r>
      <w:r>
        <w:t xml:space="preserve"> </w:t>
      </w:r>
      <w:r>
        <w:t xml:space="preserve">onboard Indian suppliers by saving time on documentation, improving discoverability, and accelerating payments once orders land.</w:t>
      </w:r>
    </w:p>
    <w:p>
      <w:pPr>
        <w:pStyle w:val="BodyText"/>
      </w:pPr>
      <w:r>
        <w:rPr>
          <w:b/>
          <w:bCs/>
        </w:rPr>
        <w:t xml:space="preserve">Core screens</w:t>
      </w:r>
      <w:r>
        <w:t xml:space="preserve"> </w:t>
      </w:r>
      <w:r>
        <w:t xml:space="preserve">- KYB/KYC (company identity; exporter registration evidence; bank details)</w:t>
      </w:r>
      <w:r>
        <w:br/>
      </w:r>
      <w:r>
        <w:t xml:space="preserve">- Lot creation wizard:</w:t>
      </w:r>
      <w:r>
        <w:t xml:space="preserve"> </w:t>
      </w:r>
      <w:r>
        <w:t xml:space="preserve">- type/grade category (aligned to export permit categories)</w:t>
      </w:r>
      <w:r>
        <w:t xml:space="preserve"> </w:t>
      </w:r>
      <w:hyperlink r:id="rId22">
        <w:r>
          <w:rPr>
            <w:rStyle w:val="Hyperlink"/>
          </w:rPr>
          <w:t xml:space="preserve">[12]</w:t>
        </w:r>
      </w:hyperlink>
      <w:r>
        <w:br/>
      </w:r>
      <w:r>
        <w:t xml:space="preserve">- moisture target window by category; sieve/screen expectations</w:t>
      </w:r>
      <w:r>
        <w:t xml:space="preserve"> </w:t>
      </w:r>
      <w:hyperlink r:id="rId36">
        <w:r>
          <w:rPr>
            <w:rStyle w:val="Hyperlink"/>
          </w:rPr>
          <w:t xml:space="preserve">[13]</w:t>
        </w:r>
      </w:hyperlink>
      <w:r>
        <w:br/>
      </w:r>
      <w:r>
        <w:t xml:space="preserve">- processing method metadata</w:t>
      </w:r>
      <w:r>
        <w:br/>
      </w:r>
      <w:r>
        <w:t xml:space="preserve">- quantity &amp; MOQ</w:t>
      </w:r>
      <w:r>
        <w:br/>
      </w:r>
      <w:r>
        <w:t xml:space="preserve">- availability dates</w:t>
      </w:r>
      <w:r>
        <w:t xml:space="preserve"> </w:t>
      </w:r>
      <w:r>
        <w:t xml:space="preserve">- Document upload:</w:t>
      </w:r>
      <w:r>
        <w:t xml:space="preserve"> </w:t>
      </w:r>
      <w:r>
        <w:t xml:space="preserve">- Export Permit (Form‑C) and ICO Certificate of Origin (where applicable)</w:t>
      </w:r>
      <w:r>
        <w:t xml:space="preserve"> </w:t>
      </w:r>
      <w:hyperlink r:id="rId22">
        <w:r>
          <w:rPr>
            <w:rStyle w:val="Hyperlink"/>
          </w:rPr>
          <w:t xml:space="preserve">[3]</w:t>
        </w:r>
      </w:hyperlink>
      <w:r>
        <w:br/>
      </w:r>
      <w:r>
        <w:t xml:space="preserve">- post-shipment docs (bill of lading etc.)</w:t>
      </w:r>
      <w:r>
        <w:t xml:space="preserve"> </w:t>
      </w:r>
      <w:hyperlink r:id="rId22">
        <w:r>
          <w:rPr>
            <w:rStyle w:val="Hyperlink"/>
          </w:rPr>
          <w:t xml:space="preserve">[14]</w:t>
        </w:r>
      </w:hyperlink>
      <w:r>
        <w:br/>
      </w:r>
      <w:r>
        <w:t xml:space="preserve">- Order management (commit / ship / provide documents)</w:t>
      </w:r>
      <w:r>
        <w:br/>
      </w:r>
      <w:r>
        <w:t xml:space="preserve">- Payouts dashboard (gross, commission, reserve holds, net)</w:t>
      </w:r>
    </w:p>
    <w:bookmarkEnd w:id="37"/>
    <w:bookmarkStart w:id="38" w:name="ai-features"/>
    <w:p>
      <w:pPr>
        <w:pStyle w:val="Heading3"/>
      </w:pPr>
      <w:r>
        <w:t xml:space="preserve">AI features</w:t>
      </w:r>
    </w:p>
    <w:p>
      <w:pPr>
        <w:pStyle w:val="FirstParagraph"/>
      </w:pPr>
      <w:r>
        <w:t xml:space="preserve">AI is valuable when it compresses time and risk in trade. The AI layer should be framed as</w:t>
      </w:r>
      <w:r>
        <w:t xml:space="preserve"> </w:t>
      </w:r>
      <w:r>
        <w:rPr>
          <w:b/>
          <w:bCs/>
        </w:rPr>
        <w:t xml:space="preserve">decision support</w:t>
      </w:r>
      <w:r>
        <w:t xml:space="preserve"> </w:t>
      </w:r>
      <w:r>
        <w:t xml:space="preserve">with clear audit trails—not “black box sourcing.”</w:t>
      </w:r>
    </w:p>
    <w:p>
      <w:pPr>
        <w:pStyle w:val="BodyText"/>
      </w:pPr>
      <w:r>
        <w:rPr>
          <w:b/>
          <w:bCs/>
        </w:rPr>
        <w:t xml:space="preserve">AI feature set (recommended)</w:t>
      </w:r>
      <w:r>
        <w:t xml:space="preserve"> </w:t>
      </w:r>
      <w:r>
        <w:t xml:space="preserve">-</w:t>
      </w:r>
      <w:r>
        <w:t xml:space="preserve"> </w:t>
      </w:r>
      <w:r>
        <w:rPr>
          <w:b/>
          <w:bCs/>
        </w:rPr>
        <w:t xml:space="preserve">Lot-to-buyer matching (ranker + explainability):</w:t>
      </w:r>
      <w:r>
        <w:t xml:space="preserve"> </w:t>
      </w:r>
      <w:r>
        <w:t xml:space="preserve">content-based + collaborative ranking using lot metadata (grade/processing/moisture/spec) and buyer behavior. (Moisture/spec fields are grounded in Coffee Board quality specs.)</w:t>
      </w:r>
      <w:r>
        <w:t xml:space="preserve"> </w:t>
      </w:r>
      <w:hyperlink r:id="rId36">
        <w:r>
          <w:rPr>
            <w:rStyle w:val="Hyperlink"/>
          </w:rPr>
          <w:t xml:space="preserve">[15]</w:t>
        </w:r>
      </w:hyperlink>
      <w:r>
        <w:br/>
      </w:r>
      <w:r>
        <w:t xml:space="preserve">-</w:t>
      </w:r>
      <w:r>
        <w:t xml:space="preserve"> </w:t>
      </w:r>
      <w:r>
        <w:rPr>
          <w:b/>
          <w:bCs/>
        </w:rPr>
        <w:t xml:space="preserve">Price and lead-time estimation:</w:t>
      </w:r>
      <w:r>
        <w:t xml:space="preserve"> </w:t>
      </w:r>
      <w:r>
        <w:t xml:space="preserve">learns typical lead time distributions by supplier/port/incoterm (starting as heuristics; becomes ML once you have history). Incoterms scope clarifies which party handles carriage, insurance, customs, and risk transfer.</w:t>
      </w:r>
      <w:r>
        <w:t xml:space="preserve"> </w:t>
      </w:r>
      <w:hyperlink r:id="rId33">
        <w:r>
          <w:rPr>
            <w:rStyle w:val="Hyperlink"/>
          </w:rPr>
          <w:t xml:space="preserve">[10]</w:t>
        </w:r>
      </w:hyperlink>
      <w:r>
        <w:br/>
      </w:r>
      <w:r>
        <w:t xml:space="preserve">-</w:t>
      </w:r>
      <w:r>
        <w:t xml:space="preserve"> </w:t>
      </w:r>
      <w:r>
        <w:rPr>
          <w:b/>
          <w:bCs/>
        </w:rPr>
        <w:t xml:space="preserve">Document intelligence:</w:t>
      </w:r>
      <w:r>
        <w:t xml:space="preserve"> </w:t>
      </w:r>
      <w:r>
        <w:t xml:space="preserve">structured extraction + validation for export permit/COO/BOL fields; flag missing post-shipment docs given Coffee Board’s 45-day submission expectation.</w:t>
      </w:r>
      <w:r>
        <w:t xml:space="preserve"> </w:t>
      </w:r>
      <w:hyperlink r:id="rId22">
        <w:r>
          <w:rPr>
            <w:rStyle w:val="Hyperlink"/>
          </w:rPr>
          <w:t xml:space="preserve">[14]</w:t>
        </w:r>
      </w:hyperlink>
      <w:r>
        <w:br/>
      </w:r>
      <w:r>
        <w:t xml:space="preserve">-</w:t>
      </w:r>
      <w:r>
        <w:t xml:space="preserve"> </w:t>
      </w:r>
      <w:r>
        <w:rPr>
          <w:b/>
          <w:bCs/>
        </w:rPr>
        <w:t xml:space="preserve">EUDR readiness scoring:</w:t>
      </w:r>
      <w:r>
        <w:t xml:space="preserve"> </w:t>
      </w:r>
      <w:r>
        <w:t xml:space="preserve">completeness scoring for plot-level geolocation fields and supplier evidence. EUDR explicitly calls for geolocation coordinates in due diligence systems; timeline is known.</w:t>
      </w:r>
      <w:r>
        <w:t xml:space="preserve"> </w:t>
      </w:r>
      <w:hyperlink r:id="rId23">
        <w:r>
          <w:rPr>
            <w:rStyle w:val="Hyperlink"/>
          </w:rPr>
          <w:t xml:space="preserve">[16]</w:t>
        </w:r>
      </w:hyperlink>
      <w:r>
        <w:br/>
      </w:r>
      <w:r>
        <w:t xml:space="preserve">-</w:t>
      </w:r>
      <w:r>
        <w:t xml:space="preserve"> </w:t>
      </w:r>
      <w:r>
        <w:rPr>
          <w:b/>
          <w:bCs/>
        </w:rPr>
        <w:t xml:space="preserve">Quality risk flags:</w:t>
      </w:r>
      <w:r>
        <w:t xml:space="preserve"> </w:t>
      </w:r>
      <w:r>
        <w:t xml:space="preserve">detect lots outside moisture windows or with repeated dispute history by lot/supplier category. Coffee Board publishes different moisture ranges by type including monsooned coffees (13.0–14.5% listed).</w:t>
      </w:r>
      <w:r>
        <w:t xml:space="preserve"> </w:t>
      </w:r>
      <w:hyperlink r:id="rId36">
        <w:r>
          <w:rPr>
            <w:rStyle w:val="Hyperlink"/>
          </w:rPr>
          <w:t xml:space="preserve">[17]</w:t>
        </w:r>
      </w:hyperlink>
    </w:p>
    <w:bookmarkEnd w:id="38"/>
    <w:bookmarkStart w:id="40" w:name="X01a5310d7a82bf08a47c9e8b9d76b021df28e82"/>
    <w:p>
      <w:pPr>
        <w:pStyle w:val="Heading3"/>
      </w:pPr>
      <w:r>
        <w:t xml:space="preserve">Data model: lot ledger, documents, geolocation</w:t>
      </w:r>
    </w:p>
    <w:p>
      <w:pPr>
        <w:pStyle w:val="FirstParagraph"/>
      </w:pPr>
      <w:r>
        <w:t xml:space="preserve">The lot ledger must support: Coffee Board export workflows, EU traceability expectations, and EUDR geolocation readiness.</w:t>
      </w:r>
    </w:p>
    <w:p>
      <w:pPr>
        <w:pStyle w:val="BodyText"/>
      </w:pPr>
      <w:r>
        <w:rPr>
          <w:b/>
          <w:bCs/>
        </w:rPr>
        <w:t xml:space="preserve">Core objects and fields (minimum viable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w:t>
            </w:r>
          </w:p>
        </w:tc>
        <w:tc>
          <w:tcPr/>
          <w:p>
            <w:pPr>
              <w:pStyle w:val="Compact"/>
            </w:pPr>
            <w:r>
              <w:t xml:space="preserve">Purpose</w:t>
            </w:r>
          </w:p>
        </w:tc>
        <w:tc>
          <w:tcPr/>
          <w:p>
            <w:pPr>
              <w:pStyle w:val="Compact"/>
            </w:pPr>
            <w:r>
              <w:t xml:space="preserve">Key fields (examples)</w:t>
            </w:r>
          </w:p>
        </w:tc>
        <w:tc>
          <w:tcPr/>
          <w:p>
            <w:pPr>
              <w:pStyle w:val="Compact"/>
            </w:pPr>
            <w:r>
              <w:t xml:space="preserve">Why it exists (primary-source anchor)</w:t>
            </w:r>
          </w:p>
        </w:tc>
      </w:tr>
      <w:tr>
        <w:tc>
          <w:tcPr/>
          <w:p>
            <w:pPr>
              <w:pStyle w:val="Compact"/>
            </w:pPr>
            <w:r>
              <w:t xml:space="preserve">Supplier</w:t>
            </w:r>
          </w:p>
        </w:tc>
        <w:tc>
          <w:tcPr/>
          <w:p>
            <w:pPr>
              <w:pStyle w:val="Compact"/>
            </w:pPr>
            <w:r>
              <w:t xml:space="preserve">identity + capability</w:t>
            </w:r>
          </w:p>
        </w:tc>
        <w:tc>
          <w:tcPr/>
          <w:p>
            <w:pPr>
              <w:pStyle w:val="Compact"/>
            </w:pPr>
            <w:r>
              <w:t xml:space="preserve">legal name, exporter registration evidence, contacts, bank</w:t>
            </w:r>
          </w:p>
        </w:tc>
        <w:tc>
          <w:tcPr/>
          <w:p>
            <w:pPr>
              <w:pStyle w:val="Compact"/>
            </w:pPr>
            <w:r>
              <w:t xml:space="preserve">Export permits/COO are issued to registered exporters; doc workflows are exporter-facing</w:t>
            </w:r>
            <w:r>
              <w:t xml:space="preserve"> </w:t>
            </w:r>
            <w:hyperlink r:id="rId22">
              <w:r>
                <w:rPr>
                  <w:rStyle w:val="Hyperlink"/>
                </w:rPr>
                <w:t xml:space="preserve">[3]</w:t>
              </w:r>
            </w:hyperlink>
          </w:p>
        </w:tc>
      </w:tr>
      <w:tr>
        <w:tc>
          <w:tcPr/>
          <w:p>
            <w:pPr>
              <w:pStyle w:val="Compact"/>
            </w:pPr>
            <w:r>
              <w:t xml:space="preserve">Lot</w:t>
            </w:r>
          </w:p>
        </w:tc>
        <w:tc>
          <w:tcPr/>
          <w:p>
            <w:pPr>
              <w:pStyle w:val="Compact"/>
            </w:pPr>
            <w:r>
              <w:t xml:space="preserve">trade unit</w:t>
            </w:r>
          </w:p>
        </w:tc>
        <w:tc>
          <w:tcPr/>
          <w:p>
            <w:pPr>
              <w:pStyle w:val="Compact"/>
            </w:pPr>
            <w:r>
              <w:t xml:space="preserve">lot_id, type/grade, processing, quantity, MOQ, moisture target window, screen/sieve, price</w:t>
            </w:r>
          </w:p>
        </w:tc>
        <w:tc>
          <w:tcPr/>
          <w:p>
            <w:pPr>
              <w:pStyle w:val="Compact"/>
            </w:pPr>
            <w:r>
              <w:t xml:space="preserve">Coffee Board defines moisture standards by type and grading/sieve standards</w:t>
            </w:r>
            <w:r>
              <w:t xml:space="preserve"> </w:t>
            </w:r>
            <w:hyperlink r:id="rId36">
              <w:r>
                <w:rPr>
                  <w:rStyle w:val="Hyperlink"/>
                </w:rPr>
                <w:t xml:space="preserve">[13]</w:t>
              </w:r>
            </w:hyperlink>
          </w:p>
        </w:tc>
      </w:tr>
      <w:tr>
        <w:tc>
          <w:tcPr/>
          <w:p>
            <w:pPr>
              <w:pStyle w:val="Compact"/>
            </w:pPr>
            <w:r>
              <w:t xml:space="preserve">Document</w:t>
            </w:r>
          </w:p>
        </w:tc>
        <w:tc>
          <w:tcPr/>
          <w:p>
            <w:pPr>
              <w:pStyle w:val="Compact"/>
            </w:pPr>
            <w:r>
              <w:t xml:space="preserve">compliance artifact</w:t>
            </w:r>
          </w:p>
        </w:tc>
        <w:tc>
          <w:tcPr/>
          <w:p>
            <w:pPr>
              <w:pStyle w:val="Compact"/>
            </w:pPr>
            <w:r>
              <w:t xml:space="preserve">doc_type (Form‑C, ICO COO, B/L), issuer, date, related lot/shipment, checksum</w:t>
            </w:r>
          </w:p>
        </w:tc>
        <w:tc>
          <w:tcPr/>
          <w:p>
            <w:pPr>
              <w:pStyle w:val="Compact"/>
            </w:pPr>
            <w:r>
              <w:t xml:space="preserve">Coffee Board describes permits/COO and post-shipment documents required within 45 days</w:t>
            </w:r>
            <w:r>
              <w:t xml:space="preserve"> </w:t>
            </w:r>
            <w:hyperlink r:id="rId22">
              <w:r>
                <w:rPr>
                  <w:rStyle w:val="Hyperlink"/>
                </w:rPr>
                <w:t xml:space="preserve">[14]</w:t>
              </w:r>
            </w:hyperlink>
          </w:p>
        </w:tc>
      </w:tr>
      <w:tr>
        <w:tc>
          <w:tcPr/>
          <w:p>
            <w:pPr>
              <w:pStyle w:val="Compact"/>
            </w:pPr>
            <w:r>
              <w:t xml:space="preserve">Shipment</w:t>
            </w:r>
          </w:p>
        </w:tc>
        <w:tc>
          <w:tcPr/>
          <w:p>
            <w:pPr>
              <w:pStyle w:val="Compact"/>
            </w:pPr>
            <w:r>
              <w:t xml:space="preserve">logistics object</w:t>
            </w:r>
          </w:p>
        </w:tc>
        <w:tc>
          <w:tcPr/>
          <w:p>
            <w:pPr>
              <w:pStyle w:val="Compact"/>
            </w:pPr>
            <w:r>
              <w:t xml:space="preserve">incoterm, vessel/airway refs, ETD/ETA, ports, tracking, linked docs</w:t>
            </w:r>
          </w:p>
        </w:tc>
        <w:tc>
          <w:tcPr/>
          <w:p>
            <w:pPr>
              <w:pStyle w:val="Compact"/>
            </w:pPr>
            <w:r>
              <w:t xml:space="preserve">Incoterms clarify responsibilities and risk transfer points</w:t>
            </w:r>
            <w:r>
              <w:t xml:space="preserve"> </w:t>
            </w:r>
            <w:hyperlink r:id="rId33">
              <w:r>
                <w:rPr>
                  <w:rStyle w:val="Hyperlink"/>
                </w:rPr>
                <w:t xml:space="preserve">[10]</w:t>
              </w:r>
            </w:hyperlink>
          </w:p>
        </w:tc>
      </w:tr>
      <w:tr>
        <w:tc>
          <w:tcPr/>
          <w:p>
            <w:pPr>
              <w:pStyle w:val="Compact"/>
            </w:pPr>
            <w:r>
              <w:t xml:space="preserve">Traceability node</w:t>
            </w:r>
          </w:p>
        </w:tc>
        <w:tc>
          <w:tcPr/>
          <w:p>
            <w:pPr>
              <w:pStyle w:val="Compact"/>
            </w:pPr>
            <w:r>
              <w:t xml:space="preserve">chain graph</w:t>
            </w:r>
          </w:p>
        </w:tc>
        <w:tc>
          <w:tcPr/>
          <w:p>
            <w:pPr>
              <w:pStyle w:val="Compact"/>
            </w:pPr>
            <w:r>
              <w:t xml:space="preserve">supplier→farm/co-op→plot→lot relationships</w:t>
            </w:r>
          </w:p>
        </w:tc>
        <w:tc>
          <w:tcPr/>
          <w:p>
            <w:pPr>
              <w:pStyle w:val="Compact"/>
            </w:pPr>
            <w:r>
              <w:t xml:space="preserve">EU food traceability requires systems/procedures to identify suppliers/customers (“one step back/forward”)</w:t>
            </w:r>
            <w:r>
              <w:t xml:space="preserve"> </w:t>
            </w:r>
            <w:hyperlink r:id="rId34">
              <w:r>
                <w:rPr>
                  <w:rStyle w:val="Hyperlink"/>
                </w:rPr>
                <w:t xml:space="preserve">[11]</w:t>
              </w:r>
            </w:hyperlink>
          </w:p>
        </w:tc>
      </w:tr>
      <w:tr>
        <w:tc>
          <w:tcPr/>
          <w:p>
            <w:pPr>
              <w:pStyle w:val="Compact"/>
            </w:pPr>
            <w:r>
              <w:t xml:space="preserve">Plot geolocation</w:t>
            </w:r>
          </w:p>
        </w:tc>
        <w:tc>
          <w:tcPr/>
          <w:p>
            <w:pPr>
              <w:pStyle w:val="Compact"/>
            </w:pPr>
            <w:r>
              <w:t xml:space="preserve">EUDR readiness</w:t>
            </w:r>
          </w:p>
        </w:tc>
        <w:tc>
          <w:tcPr/>
          <w:p>
            <w:pPr>
              <w:pStyle w:val="Compact"/>
            </w:pPr>
            <w:r>
              <w:t xml:space="preserve">geojson polygon/points, coordinates source, date captured</w:t>
            </w:r>
          </w:p>
        </w:tc>
        <w:tc>
          <w:tcPr/>
          <w:p>
            <w:pPr>
              <w:pStyle w:val="Compact"/>
            </w:pPr>
            <w:r>
              <w:t xml:space="preserve">EUDR due diligence systems include geolocation coordinates; timeline is defined</w:t>
            </w:r>
            <w:r>
              <w:t xml:space="preserve"> </w:t>
            </w:r>
            <w:hyperlink r:id="rId23">
              <w:r>
                <w:rPr>
                  <w:rStyle w:val="Hyperlink"/>
                </w:rPr>
                <w:t xml:space="preserve">[16]</w:t>
              </w:r>
            </w:hyperlink>
          </w:p>
        </w:tc>
      </w:tr>
    </w:tbl>
    <w:p>
      <w:pPr>
        <w:pStyle w:val="BodyText"/>
      </w:pPr>
      <w:r>
        <w:rPr>
          <w:b/>
          <w:bCs/>
        </w:rPr>
        <w:t xml:space="preserve">INDICOFS alignment (optional but strategic):</w:t>
      </w:r>
      <w:r>
        <w:t xml:space="preserve"> </w:t>
      </w:r>
      <w:r>
        <w:t xml:space="preserve">the Coffee Board’s sustainability scheme materials explicitly include “Geo coordinates” and “Farm map with geo coordinates” as documents furnished for audit under the scheme.</w:t>
      </w:r>
      <w:r>
        <w:t xml:space="preserve"> </w:t>
      </w:r>
      <w:hyperlink r:id="rId39">
        <w:r>
          <w:rPr>
            <w:rStyle w:val="Hyperlink"/>
          </w:rPr>
          <w:t xml:space="preserve">[18]</w:t>
        </w:r>
      </w:hyperlink>
    </w:p>
    <w:bookmarkEnd w:id="40"/>
    <w:bookmarkStart w:id="41" w:name="apis-and-integrations"/>
    <w:p>
      <w:pPr>
        <w:pStyle w:val="Heading3"/>
      </w:pPr>
      <w:r>
        <w:t xml:space="preserve">APIs and integrations</w:t>
      </w:r>
    </w:p>
    <w:p>
      <w:pPr>
        <w:pStyle w:val="FirstParagraph"/>
      </w:pPr>
      <w:r>
        <w:t xml:space="preserve">Design APIs around stable primitives: lots, documents, orders, shipments, and traceability.</w:t>
      </w:r>
    </w:p>
    <w:p>
      <w:pPr>
        <w:pStyle w:val="BodyText"/>
      </w:pPr>
      <w:r>
        <w:rPr>
          <w:b/>
          <w:bCs/>
        </w:rPr>
        <w:t xml:space="preserve">External APIs (first year)</w:t>
      </w:r>
      <w:r>
        <w:t xml:space="preserve"> </w:t>
      </w:r>
      <w:r>
        <w:t xml:space="preserve">-</w:t>
      </w:r>
      <w:r>
        <w:t xml:space="preserve"> </w:t>
      </w:r>
      <w:r>
        <w:rPr>
          <w:b/>
          <w:bCs/>
        </w:rPr>
        <w:t xml:space="preserve">3PL/WMS</w:t>
      </w:r>
      <w:r>
        <w:t xml:space="preserve">: inventory, pick/pack/ship statuses (only if you do consignment/in-market)</w:t>
      </w:r>
      <w:r>
        <w:br/>
      </w:r>
      <w:r>
        <w:t xml:space="preserve">-</w:t>
      </w:r>
      <w:r>
        <w:t xml:space="preserve"> </w:t>
      </w:r>
      <w:r>
        <w:rPr>
          <w:b/>
          <w:bCs/>
        </w:rPr>
        <w:t xml:space="preserve">Carrier APIs</w:t>
      </w:r>
      <w:r>
        <w:t xml:space="preserve">: tracking events and label creation</w:t>
      </w:r>
      <w:r>
        <w:br/>
      </w:r>
      <w:r>
        <w:t xml:space="preserve">-</w:t>
      </w:r>
      <w:r>
        <w:t xml:space="preserve"> </w:t>
      </w:r>
      <w:r>
        <w:rPr>
          <w:b/>
          <w:bCs/>
        </w:rPr>
        <w:t xml:space="preserve">Payments</w:t>
      </w:r>
      <w:r>
        <w:t xml:space="preserve">: capture funds, pay out suppliers, maintain reserve holds (e.g., via Stripe</w:t>
      </w:r>
      <w:hyperlink r:id="rId39">
        <w:r>
          <w:rPr>
            <w:rStyle w:val="Hyperlink"/>
          </w:rPr>
          <w:t xml:space="preserve">[19]</w:t>
        </w:r>
      </w:hyperlink>
      <w:r>
        <w:t xml:space="preserve">)</w:t>
      </w:r>
      <w:r>
        <w:br/>
      </w:r>
      <w:r>
        <w:t xml:space="preserve">-</w:t>
      </w:r>
      <w:r>
        <w:t xml:space="preserve"> </w:t>
      </w:r>
      <w:r>
        <w:rPr>
          <w:b/>
          <w:bCs/>
        </w:rPr>
        <w:t xml:space="preserve">E‑commerce (optional)</w:t>
      </w:r>
      <w:r>
        <w:t xml:space="preserve">: if you do D2C early, integrate with Shopify</w:t>
      </w:r>
      <w:hyperlink r:id="rId23">
        <w:r>
          <w:rPr>
            <w:rStyle w:val="Hyperlink"/>
          </w:rPr>
          <w:t xml:space="preserve">[20]</w:t>
        </w:r>
      </w:hyperlink>
      <w:r>
        <w:t xml:space="preserve"> </w:t>
      </w:r>
      <w:r>
        <w:t xml:space="preserve">(or build native)</w:t>
      </w:r>
    </w:p>
    <w:p>
      <w:pPr>
        <w:pStyle w:val="BodyText"/>
      </w:pPr>
      <w:r>
        <w:rPr>
          <w:b/>
          <w:bCs/>
        </w:rPr>
        <w:t xml:space="preserve">Public/partner API surface (REST)</w:t>
      </w:r>
      <w:r>
        <w:t xml:space="preserve"> </w:t>
      </w:r>
      <w:r>
        <w:t xml:space="preserve">-</w:t>
      </w:r>
      <w:r>
        <w:t xml:space="preserve"> </w:t>
      </w:r>
      <w:r>
        <w:rPr>
          <w:rStyle w:val="VerbatimChar"/>
        </w:rPr>
        <w:t xml:space="preserve">GET /v1/lots</w:t>
      </w:r>
      <w:r>
        <w:t xml:space="preserve"> </w:t>
      </w:r>
      <w:r>
        <w:t xml:space="preserve">(filterable)</w:t>
      </w:r>
      <w:r>
        <w:br/>
      </w:r>
      <w:r>
        <w:t xml:space="preserve">-</w:t>
      </w:r>
      <w:r>
        <w:t xml:space="preserve"> </w:t>
      </w:r>
      <w:r>
        <w:rPr>
          <w:rStyle w:val="VerbatimChar"/>
        </w:rPr>
        <w:t xml:space="preserve">GET /v1/lots/{id}/documents</w:t>
      </w:r>
      <w:r>
        <w:br/>
      </w:r>
      <w:r>
        <w:t xml:space="preserve">-</w:t>
      </w:r>
      <w:r>
        <w:t xml:space="preserve"> </w:t>
      </w:r>
      <w:r>
        <w:rPr>
          <w:rStyle w:val="VerbatimChar"/>
        </w:rPr>
        <w:t xml:space="preserve">POST /v1/orders</w:t>
      </w:r>
      <w:r>
        <w:t xml:space="preserve"> </w:t>
      </w:r>
      <w:r>
        <w:t xml:space="preserve">(with incoterm + payment terms)</w:t>
      </w:r>
      <w:r>
        <w:br/>
      </w:r>
      <w:r>
        <w:t xml:space="preserve">-</w:t>
      </w:r>
      <w:r>
        <w:t xml:space="preserve"> </w:t>
      </w:r>
      <w:r>
        <w:rPr>
          <w:rStyle w:val="VerbatimChar"/>
        </w:rPr>
        <w:t xml:space="preserve">GET /v1/orders/{id}/status</w:t>
      </w:r>
      <w:r>
        <w:br/>
      </w:r>
      <w:r>
        <w:t xml:space="preserve">-</w:t>
      </w:r>
      <w:r>
        <w:t xml:space="preserve"> </w:t>
      </w:r>
      <w:r>
        <w:rPr>
          <w:rStyle w:val="VerbatimChar"/>
        </w:rPr>
        <w:t xml:space="preserve">GET /v1/compliance-packs/{order_id}</w:t>
      </w:r>
      <w:r>
        <w:br/>
      </w:r>
      <w:r>
        <w:t xml:space="preserve">- Webhooks:</w:t>
      </w:r>
      <w:r>
        <w:t xml:space="preserve"> </w:t>
      </w:r>
      <w:r>
        <w:rPr>
          <w:rStyle w:val="VerbatimChar"/>
        </w:rPr>
        <w:t xml:space="preserve">shipment.updated</w:t>
      </w:r>
      <w:r>
        <w:t xml:space="preserve">,</w:t>
      </w:r>
      <w:r>
        <w:t xml:space="preserve"> </w:t>
      </w:r>
      <w:r>
        <w:rPr>
          <w:rStyle w:val="VerbatimChar"/>
        </w:rPr>
        <w:t xml:space="preserve">document.verified</w:t>
      </w:r>
      <w:r>
        <w:t xml:space="preserve">,</w:t>
      </w:r>
      <w:r>
        <w:t xml:space="preserve"> </w:t>
      </w:r>
      <w:r>
        <w:rPr>
          <w:rStyle w:val="VerbatimChar"/>
        </w:rPr>
        <w:t xml:space="preserve">order.settled</w:t>
      </w:r>
    </w:p>
    <w:bookmarkEnd w:id="41"/>
    <w:bookmarkStart w:id="43" w:name="Xa7ee0e6d7ff173cfa83522c6d35619c1f5d51cb"/>
    <w:p>
      <w:pPr>
        <w:pStyle w:val="Heading3"/>
      </w:pPr>
      <w:r>
        <w:t xml:space="preserve">Suggested tech stack (pragmatic, founder-buildable)</w:t>
      </w:r>
    </w:p>
    <w:p>
      <w:pPr>
        <w:pStyle w:val="Compact"/>
        <w:numPr>
          <w:ilvl w:val="0"/>
          <w:numId w:val="1005"/>
        </w:numPr>
      </w:pPr>
      <w:r>
        <w:t xml:space="preserve">Frontend: Next.js (web) + React Native (mobile) or web-first PWA</w:t>
      </w:r>
    </w:p>
    <w:p>
      <w:pPr>
        <w:pStyle w:val="Compact"/>
        <w:numPr>
          <w:ilvl w:val="0"/>
          <w:numId w:val="1005"/>
        </w:numPr>
      </w:pPr>
      <w:r>
        <w:t xml:space="preserve">Backend: Node or Python API; background jobs for document workflows</w:t>
      </w:r>
    </w:p>
    <w:p>
      <w:pPr>
        <w:pStyle w:val="Compact"/>
        <w:numPr>
          <w:ilvl w:val="0"/>
          <w:numId w:val="1005"/>
        </w:numPr>
      </w:pPr>
      <w:r>
        <w:t xml:space="preserve">Database: Postgres (transactional), plus object storage for documents</w:t>
      </w:r>
    </w:p>
    <w:p>
      <w:pPr>
        <w:pStyle w:val="Compact"/>
        <w:numPr>
          <w:ilvl w:val="0"/>
          <w:numId w:val="1005"/>
        </w:numPr>
      </w:pPr>
      <w:r>
        <w:t xml:space="preserve">Event tracking + analytics: a simple event pipeline to start; evolve to warehouse</w:t>
      </w:r>
    </w:p>
    <w:p>
      <w:pPr>
        <w:pStyle w:val="Compact"/>
        <w:numPr>
          <w:ilvl w:val="0"/>
          <w:numId w:val="1005"/>
        </w:numPr>
      </w:pPr>
      <w:r>
        <w:t xml:space="preserve">ML: start with rules + ranker + explainability; add model training once you have enough telemetry</w:t>
      </w:r>
    </w:p>
    <w:p>
      <w:pPr>
        <w:pStyle w:val="Compact"/>
        <w:numPr>
          <w:ilvl w:val="0"/>
          <w:numId w:val="1005"/>
        </w:numPr>
      </w:pPr>
      <w:r>
        <w:t xml:space="preserve">Infra: Amazon Web Services</w:t>
      </w:r>
      <w:hyperlink r:id="rId42">
        <w:r>
          <w:rPr>
            <w:rStyle w:val="Hyperlink"/>
          </w:rPr>
          <w:t xml:space="preserve">[21]</w:t>
        </w:r>
      </w:hyperlink>
      <w:r>
        <w:t xml:space="preserve"> </w:t>
      </w:r>
      <w:r>
        <w:t xml:space="preserve">or similar</w:t>
      </w:r>
    </w:p>
    <w:bookmarkEnd w:id="43"/>
    <w:bookmarkStart w:id="44" w:name="product-architecture-diagram"/>
    <w:p>
      <w:pPr>
        <w:pStyle w:val="Heading3"/>
      </w:pPr>
      <w:r>
        <w:t xml:space="preserve">Product architecture diagram</w:t>
      </w:r>
    </w:p>
    <w:p>
      <w:pPr>
        <w:pStyle w:val="SourceCode"/>
      </w:pPr>
      <w:r>
        <w:rPr>
          <w:rStyle w:val="VerbatimChar"/>
        </w:rPr>
        <w:t xml:space="preserve">flowchart TB</w:t>
      </w:r>
      <w:r>
        <w:br/>
      </w:r>
      <w:r>
        <w:rPr>
          <w:rStyle w:val="VerbatimChar"/>
        </w:rPr>
        <w:t xml:space="preserve">  subgraph Apps</w:t>
      </w:r>
      <w:r>
        <w:br/>
      </w:r>
      <w:r>
        <w:rPr>
          <w:rStyle w:val="VerbatimChar"/>
        </w:rPr>
        <w:t xml:space="preserve">    A[Consumer App]</w:t>
      </w:r>
      <w:r>
        <w:br/>
      </w:r>
      <w:r>
        <w:rPr>
          <w:rStyle w:val="VerbatimChar"/>
        </w:rPr>
        <w:t xml:space="preserve">    B[B2B Buyer Portal]</w:t>
      </w:r>
      <w:r>
        <w:br/>
      </w:r>
      <w:r>
        <w:rPr>
          <w:rStyle w:val="VerbatimChar"/>
        </w:rPr>
        <w:t xml:space="preserve">    C[Supplier Portal]</w:t>
      </w:r>
      <w:r>
        <w:br/>
      </w:r>
      <w:r>
        <w:rPr>
          <w:rStyle w:val="VerbatimChar"/>
        </w:rPr>
        <w:t xml:space="preserve">    D[Lot QR / Provenance Page]</w:t>
      </w:r>
      <w:r>
        <w:br/>
      </w:r>
      <w:r>
        <w:rPr>
          <w:rStyle w:val="VerbatimChar"/>
        </w:rPr>
        <w:t xml:space="preserve">  end</w:t>
      </w:r>
      <w:r>
        <w:br/>
      </w:r>
      <w:r>
        <w:br/>
      </w:r>
      <w:r>
        <w:rPr>
          <w:rStyle w:val="VerbatimChar"/>
        </w:rPr>
        <w:t xml:space="preserve">  subgraph Core</w:t>
      </w:r>
      <w:r>
        <w:br/>
      </w:r>
      <w:r>
        <w:rPr>
          <w:rStyle w:val="VerbatimChar"/>
        </w:rPr>
        <w:t xml:space="preserve">    E[Catalog + Category Rules]</w:t>
      </w:r>
      <w:r>
        <w:br/>
      </w:r>
      <w:r>
        <w:rPr>
          <w:rStyle w:val="VerbatimChar"/>
        </w:rPr>
        <w:t xml:space="preserve">    F[Lot Ledger + Traceability Graph]</w:t>
      </w:r>
      <w:r>
        <w:br/>
      </w:r>
      <w:r>
        <w:rPr>
          <w:rStyle w:val="VerbatimChar"/>
        </w:rPr>
        <w:t xml:space="preserve">    G[Order Routing + Incoterms + SLAs]</w:t>
      </w:r>
      <w:r>
        <w:br/>
      </w:r>
      <w:r>
        <w:rPr>
          <w:rStyle w:val="VerbatimChar"/>
        </w:rPr>
        <w:t xml:space="preserve">    H[Payments + Payouts + Reserve Holds]</w:t>
      </w:r>
      <w:r>
        <w:br/>
      </w:r>
      <w:r>
        <w:rPr>
          <w:rStyle w:val="VerbatimChar"/>
        </w:rPr>
        <w:t xml:space="preserve">    I[Document Vault + Verification]</w:t>
      </w:r>
      <w:r>
        <w:br/>
      </w:r>
      <w:r>
        <w:rPr>
          <w:rStyle w:val="VerbatimChar"/>
        </w:rPr>
        <w:t xml:space="preserve">    J[Compliance Pack Generator]</w:t>
      </w:r>
      <w:r>
        <w:br/>
      </w:r>
      <w:r>
        <w:rPr>
          <w:rStyle w:val="VerbatimChar"/>
        </w:rPr>
        <w:t xml:space="preserve">  end</w:t>
      </w:r>
      <w:r>
        <w:br/>
      </w:r>
      <w:r>
        <w:br/>
      </w:r>
      <w:r>
        <w:rPr>
          <w:rStyle w:val="VerbatimChar"/>
        </w:rPr>
        <w:t xml:space="preserve">  subgraph Integrations</w:t>
      </w:r>
      <w:r>
        <w:br/>
      </w:r>
      <w:r>
        <w:rPr>
          <w:rStyle w:val="VerbatimChar"/>
        </w:rPr>
        <w:t xml:space="preserve">    K[3PL/WMS]</w:t>
      </w:r>
      <w:r>
        <w:br/>
      </w:r>
      <w:r>
        <w:rPr>
          <w:rStyle w:val="VerbatimChar"/>
        </w:rPr>
        <w:t xml:space="preserve">    L[Carrier APIs]</w:t>
      </w:r>
      <w:r>
        <w:br/>
      </w:r>
      <w:r>
        <w:rPr>
          <w:rStyle w:val="VerbatimChar"/>
        </w:rPr>
        <w:t xml:space="preserve">    M[Accounting/Invoicing]</w:t>
      </w:r>
      <w:r>
        <w:br/>
      </w:r>
      <w:r>
        <w:rPr>
          <w:rStyle w:val="VerbatimChar"/>
        </w:rPr>
        <w:t xml:space="preserve">  end</w:t>
      </w:r>
      <w:r>
        <w:br/>
      </w:r>
      <w:r>
        <w:br/>
      </w:r>
      <w:r>
        <w:rPr>
          <w:rStyle w:val="VerbatimChar"/>
        </w:rPr>
        <w:t xml:space="preserve">  subgraph AI</w:t>
      </w:r>
      <w:r>
        <w:br/>
      </w:r>
      <w:r>
        <w:rPr>
          <w:rStyle w:val="VerbatimChar"/>
        </w:rPr>
        <w:t xml:space="preserve">    N[Matching + Explainability]</w:t>
      </w:r>
      <w:r>
        <w:br/>
      </w:r>
      <w:r>
        <w:rPr>
          <w:rStyle w:val="VerbatimChar"/>
        </w:rPr>
        <w:t xml:space="preserve">    O[Lead-time + Price Estimation]</w:t>
      </w:r>
      <w:r>
        <w:br/>
      </w:r>
      <w:r>
        <w:rPr>
          <w:rStyle w:val="VerbatimChar"/>
        </w:rPr>
        <w:t xml:space="preserve">    P[EUDR Readiness Scoring]</w:t>
      </w:r>
      <w:r>
        <w:br/>
      </w:r>
      <w:r>
        <w:rPr>
          <w:rStyle w:val="VerbatimChar"/>
        </w:rPr>
        <w:t xml:space="preserve">    Q[Quality Risk Flags]</w:t>
      </w:r>
      <w:r>
        <w:br/>
      </w:r>
      <w:r>
        <w:rPr>
          <w:rStyle w:val="VerbatimChar"/>
        </w:rPr>
        <w:t xml:space="preserve">  end</w:t>
      </w:r>
      <w:r>
        <w:br/>
      </w:r>
      <w:r>
        <w:br/>
      </w:r>
      <w:r>
        <w:rPr>
          <w:rStyle w:val="VerbatimChar"/>
        </w:rPr>
        <w:t xml:space="preserve">  A --&gt; E --&gt; G --&gt; H</w:t>
      </w:r>
      <w:r>
        <w:br/>
      </w:r>
      <w:r>
        <w:rPr>
          <w:rStyle w:val="VerbatimChar"/>
        </w:rPr>
        <w:t xml:space="preserve">  B --&gt; E --&gt; G --&gt; H</w:t>
      </w:r>
      <w:r>
        <w:br/>
      </w:r>
      <w:r>
        <w:rPr>
          <w:rStyle w:val="VerbatimChar"/>
        </w:rPr>
        <w:t xml:space="preserve">  C --&gt; F</w:t>
      </w:r>
      <w:r>
        <w:br/>
      </w:r>
      <w:r>
        <w:rPr>
          <w:rStyle w:val="VerbatimChar"/>
        </w:rPr>
        <w:t xml:space="preserve">  C --&gt; I</w:t>
      </w:r>
      <w:r>
        <w:br/>
      </w:r>
      <w:r>
        <w:rPr>
          <w:rStyle w:val="VerbatimChar"/>
        </w:rPr>
        <w:t xml:space="preserve">  F --&gt; D</w:t>
      </w:r>
      <w:r>
        <w:br/>
      </w:r>
      <w:r>
        <w:rPr>
          <w:rStyle w:val="VerbatimChar"/>
        </w:rPr>
        <w:t xml:space="preserve">  I --&gt; D</w:t>
      </w:r>
      <w:r>
        <w:br/>
      </w:r>
      <w:r>
        <w:br/>
      </w:r>
      <w:r>
        <w:rPr>
          <w:rStyle w:val="VerbatimChar"/>
        </w:rPr>
        <w:t xml:space="preserve">  G --&gt; J</w:t>
      </w:r>
      <w:r>
        <w:br/>
      </w:r>
      <w:r>
        <w:rPr>
          <w:rStyle w:val="VerbatimChar"/>
        </w:rPr>
        <w:t xml:space="preserve">  I --&gt; J</w:t>
      </w:r>
      <w:r>
        <w:br/>
      </w:r>
      <w:r>
        <w:rPr>
          <w:rStyle w:val="VerbatimChar"/>
        </w:rPr>
        <w:t xml:space="preserve">  J --&gt; B</w:t>
      </w:r>
      <w:r>
        <w:br/>
      </w:r>
      <w:r>
        <w:br/>
      </w:r>
      <w:r>
        <w:rPr>
          <w:rStyle w:val="VerbatimChar"/>
        </w:rPr>
        <w:t xml:space="preserve">  G --&gt; K --&gt; L</w:t>
      </w:r>
      <w:r>
        <w:br/>
      </w:r>
      <w:r>
        <w:rPr>
          <w:rStyle w:val="VerbatimChar"/>
        </w:rPr>
        <w:t xml:space="preserve">  H --&gt; M</w:t>
      </w:r>
      <w:r>
        <w:br/>
      </w:r>
      <w:r>
        <w:br/>
      </w:r>
      <w:r>
        <w:rPr>
          <w:rStyle w:val="VerbatimChar"/>
        </w:rPr>
        <w:t xml:space="preserve">  F --&gt; N</w:t>
      </w:r>
      <w:r>
        <w:br/>
      </w:r>
      <w:r>
        <w:rPr>
          <w:rStyle w:val="VerbatimChar"/>
        </w:rPr>
        <w:t xml:space="preserve">  G --&gt; O</w:t>
      </w:r>
      <w:r>
        <w:br/>
      </w:r>
      <w:r>
        <w:rPr>
          <w:rStyle w:val="VerbatimChar"/>
        </w:rPr>
        <w:t xml:space="preserve">  F --&gt; P</w:t>
      </w:r>
      <w:r>
        <w:br/>
      </w:r>
      <w:r>
        <w:rPr>
          <w:rStyle w:val="VerbatimChar"/>
        </w:rPr>
        <w:t xml:space="preserve">  F --&gt; Q</w:t>
      </w:r>
    </w:p>
    <w:bookmarkEnd w:id="44"/>
    <w:bookmarkEnd w:id="45"/>
    <w:bookmarkStart w:id="51" w:name="operating-models-and-feasibility"/>
    <w:p>
      <w:pPr>
        <w:pStyle w:val="Heading2"/>
      </w:pPr>
      <w:r>
        <w:t xml:space="preserve">Operating models and feasibility</w:t>
      </w:r>
    </w:p>
    <w:p>
      <w:pPr>
        <w:pStyle w:val="FirstParagraph"/>
      </w:pPr>
      <w:r>
        <w:t xml:space="preserve">This section compares three operating models that you can offer (or sequence) on the same platform.</w:t>
      </w:r>
    </w:p>
    <w:bookmarkStart w:id="48" w:name="model-comparison-table"/>
    <w:p>
      <w:pPr>
        <w:pStyle w:val="Heading3"/>
      </w:pPr>
      <w:r>
        <w:t xml:space="preserve">Model comparison table</w:t>
      </w:r>
    </w:p>
    <w:p>
      <w:pPr>
        <w:pStyle w:val="FirstParagraph"/>
      </w:pPr>
      <w:r>
        <w:t xml:space="preserve">Interpretation: “Compliance exposure” means how likely your company becomes the legally accountable importer/food operator by default, and how hard it is to keep that exposure 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Typical buyer</w:t>
            </w:r>
          </w:p>
        </w:tc>
        <w:tc>
          <w:tcPr/>
          <w:p>
            <w:pPr>
              <w:pStyle w:val="Compact"/>
              <w:jc w:val="right"/>
            </w:pPr>
            <w:r>
              <w:t xml:space="preserve">Capital intensity</w:t>
            </w:r>
          </w:p>
        </w:tc>
        <w:tc>
          <w:tcPr/>
          <w:p>
            <w:pPr>
              <w:pStyle w:val="Compact"/>
            </w:pPr>
            <w:r>
              <w:t xml:space="preserve">Compliance exposure (US/EU)</w:t>
            </w:r>
          </w:p>
        </w:tc>
        <w:tc>
          <w:tcPr/>
          <w:p>
            <w:pPr>
              <w:pStyle w:val="Compact"/>
            </w:pPr>
            <w:r>
              <w:t xml:space="preserve">Pros</w:t>
            </w:r>
          </w:p>
        </w:tc>
        <w:tc>
          <w:tcPr/>
          <w:p>
            <w:pPr>
              <w:pStyle w:val="Compact"/>
            </w:pPr>
            <w:r>
              <w:t xml:space="preserve">Cons</w:t>
            </w:r>
          </w:p>
        </w:tc>
        <w:tc>
          <w:tcPr/>
          <w:p>
            <w:pPr>
              <w:pStyle w:val="Compact"/>
            </w:pPr>
            <w:r>
              <w:t xml:space="preserve">Best use</w:t>
            </w:r>
          </w:p>
        </w:tc>
      </w:tr>
      <w:tr>
        <w:tc>
          <w:tcPr/>
          <w:p>
            <w:pPr>
              <w:pStyle w:val="Compact"/>
            </w:pPr>
            <w:r>
              <w:t xml:space="preserve">Charge-on-order marketplace (commission by category; buyer imports)</w:t>
            </w:r>
          </w:p>
        </w:tc>
        <w:tc>
          <w:tcPr/>
          <w:p>
            <w:pPr>
              <w:pStyle w:val="Compact"/>
            </w:pPr>
            <w:r>
              <w:t xml:space="preserve">B2B roasters/importers</w:t>
            </w:r>
          </w:p>
        </w:tc>
        <w:tc>
          <w:tcPr/>
          <w:p>
            <w:pPr>
              <w:pStyle w:val="Compact"/>
              <w:jc w:val="right"/>
            </w:pPr>
            <w:r>
              <w:t xml:space="preserve">Low</w:t>
            </w:r>
          </w:p>
        </w:tc>
        <w:tc>
          <w:tcPr/>
          <w:p>
            <w:pPr>
              <w:pStyle w:val="Compact"/>
            </w:pPr>
            <w:r>
              <w:t xml:space="preserve">Lower</w:t>
            </w:r>
            <w:r>
              <w:t xml:space="preserve"> </w:t>
            </w:r>
            <w:r>
              <w:rPr>
                <w:b/>
                <w:bCs/>
              </w:rPr>
              <w:t xml:space="preserve">if</w:t>
            </w:r>
            <w:r>
              <w:t xml:space="preserve"> </w:t>
            </w:r>
            <w:r>
              <w:t xml:space="preserve">you don’t take title; FSVP importer is U.S. owner/consignee</w:t>
            </w:r>
            <w:r>
              <w:t xml:space="preserve"> </w:t>
            </w:r>
            <w:hyperlink r:id="rId21">
              <w:r>
                <w:rPr>
                  <w:rStyle w:val="Hyperlink"/>
                </w:rPr>
                <w:t xml:space="preserve">[22]</w:t>
              </w:r>
            </w:hyperlink>
          </w:p>
        </w:tc>
        <w:tc>
          <w:tcPr/>
          <w:p>
            <w:pPr>
              <w:pStyle w:val="Compact"/>
            </w:pPr>
            <w:r>
              <w:t xml:space="preserve">Lowest working capital; fastest to validate; clean investor narrative</w:t>
            </w:r>
          </w:p>
        </w:tc>
        <w:tc>
          <w:tcPr/>
          <w:p>
            <w:pPr>
              <w:pStyle w:val="Compact"/>
            </w:pPr>
            <w:r>
              <w:t xml:space="preserve">Requires careful contracting; less control over downstream QC</w:t>
            </w:r>
          </w:p>
        </w:tc>
        <w:tc>
          <w:tcPr/>
          <w:p>
            <w:pPr>
              <w:pStyle w:val="Compact"/>
            </w:pPr>
            <w:r>
              <w:t xml:space="preserve">MVP and early traction</w:t>
            </w:r>
          </w:p>
        </w:tc>
      </w:tr>
      <w:tr>
        <w:tc>
          <w:tcPr/>
          <w:p>
            <w:pPr>
              <w:pStyle w:val="Compact"/>
            </w:pPr>
            <w:r>
              <w:t xml:space="preserve">Dropship India→consumer</w:t>
            </w:r>
          </w:p>
        </w:tc>
        <w:tc>
          <w:tcPr/>
          <w:p>
            <w:pPr>
              <w:pStyle w:val="Compact"/>
            </w:pPr>
            <w:r>
              <w:t xml:space="preserve">B2C</w:t>
            </w:r>
          </w:p>
        </w:tc>
        <w:tc>
          <w:tcPr/>
          <w:p>
            <w:pPr>
              <w:pStyle w:val="Compact"/>
              <w:jc w:val="right"/>
            </w:pPr>
            <w:r>
              <w:t xml:space="preserve">Low inventory but high per-order ops cost</w:t>
            </w:r>
          </w:p>
        </w:tc>
        <w:tc>
          <w:tcPr/>
          <w:p>
            <w:pPr>
              <w:pStyle w:val="Compact"/>
            </w:pPr>
            <w:r>
              <w:t xml:space="preserve">High per-order import events: US Prior Notice; EU VAT/IOSS; labeling responsibility under whose name food is marketed</w:t>
            </w:r>
            <w:r>
              <w:t xml:space="preserve"> </w:t>
            </w:r>
            <w:hyperlink r:id="rId24">
              <w:r>
                <w:rPr>
                  <w:rStyle w:val="Hyperlink"/>
                </w:rPr>
                <w:t xml:space="preserve">[23]</w:t>
              </w:r>
            </w:hyperlink>
          </w:p>
        </w:tc>
        <w:tc>
          <w:tcPr/>
          <w:p>
            <w:pPr>
              <w:pStyle w:val="Compact"/>
            </w:pPr>
            <w:r>
              <w:t xml:space="preserve">No warehousing; rapid catalog expansion</w:t>
            </w:r>
          </w:p>
        </w:tc>
        <w:tc>
          <w:tcPr/>
          <w:p>
            <w:pPr>
              <w:pStyle w:val="Compact"/>
            </w:pPr>
            <w:r>
              <w:t xml:space="preserve">High refund friction; parcel economics worsening with €150 duty relief removal</w:t>
            </w:r>
            <w:r>
              <w:t xml:space="preserve"> </w:t>
            </w:r>
            <w:hyperlink r:id="rId46">
              <w:r>
                <w:rPr>
                  <w:rStyle w:val="Hyperlink"/>
                </w:rPr>
                <w:t xml:space="preserve">[24]</w:t>
              </w:r>
            </w:hyperlink>
          </w:p>
        </w:tc>
        <w:tc>
          <w:tcPr/>
          <w:p>
            <w:pPr>
              <w:pStyle w:val="Compact"/>
            </w:pPr>
            <w:r>
              <w:t xml:space="preserve">Limited experiments only</w:t>
            </w:r>
          </w:p>
        </w:tc>
      </w:tr>
      <w:tr>
        <w:tc>
          <w:tcPr/>
          <w:p>
            <w:pPr>
              <w:pStyle w:val="Compact"/>
            </w:pPr>
            <w:r>
              <w:t xml:space="preserve">Consignment (bulk in-market; title retained until sale)</w:t>
            </w:r>
          </w:p>
        </w:tc>
        <w:tc>
          <w:tcPr/>
          <w:p>
            <w:pPr>
              <w:pStyle w:val="Compact"/>
            </w:pPr>
            <w:r>
              <w:t xml:space="preserve">B2B+B2C</w:t>
            </w:r>
          </w:p>
        </w:tc>
        <w:tc>
          <w:tcPr/>
          <w:p>
            <w:pPr>
              <w:pStyle w:val="Compact"/>
              <w:jc w:val="right"/>
            </w:pPr>
            <w:r>
              <w:t xml:space="preserve">Medium</w:t>
            </w:r>
          </w:p>
        </w:tc>
        <w:tc>
          <w:tcPr/>
          <w:p>
            <w:pPr>
              <w:pStyle w:val="Compact"/>
            </w:pPr>
            <w:r>
              <w:t xml:space="preserve">Medium–high: EU customs needs EORI if you import; EU labeling responsibility still attaches based on brand/importer role</w:t>
            </w:r>
            <w:r>
              <w:t xml:space="preserve"> </w:t>
            </w:r>
            <w:hyperlink r:id="rId47">
              <w:r>
                <w:rPr>
                  <w:rStyle w:val="Hyperlink"/>
                </w:rPr>
                <w:t xml:space="preserve">[25]</w:t>
              </w:r>
            </w:hyperlink>
          </w:p>
        </w:tc>
        <w:tc>
          <w:tcPr/>
          <w:p>
            <w:pPr>
              <w:pStyle w:val="Compact"/>
            </w:pPr>
            <w:r>
              <w:t xml:space="preserve">Best QC control; better customer experience; fewer cross-border events</w:t>
            </w:r>
          </w:p>
        </w:tc>
        <w:tc>
          <w:tcPr/>
          <w:p>
            <w:pPr>
              <w:pStyle w:val="Compact"/>
            </w:pPr>
            <w:r>
              <w:t xml:space="preserve">Supplier reluctance; you fund freight/storage and manage aged inventory</w:t>
            </w:r>
          </w:p>
        </w:tc>
        <w:tc>
          <w:tcPr/>
          <w:p>
            <w:pPr>
              <w:pStyle w:val="Compact"/>
            </w:pPr>
            <w:r>
              <w:t xml:space="preserve">Standard launch once demand proven</w:t>
            </w:r>
          </w:p>
        </w:tc>
      </w:tr>
    </w:tbl>
    <w:bookmarkEnd w:id="48"/>
    <w:bookmarkStart w:id="49" w:name="Xdb8d0d6d25a4964ce45986ae29e03fc6efb13ef"/>
    <w:p>
      <w:pPr>
        <w:pStyle w:val="Heading3"/>
      </w:pPr>
      <w:r>
        <w:t xml:space="preserve">Operational flows and supply-chain flowcharts</w:t>
      </w:r>
    </w:p>
    <w:p>
      <w:pPr>
        <w:pStyle w:val="FirstParagraph"/>
      </w:pPr>
      <w:r>
        <w:rPr>
          <w:b/>
          <w:bCs/>
        </w:rPr>
        <w:t xml:space="preserve">Charge-on-order marketplace (recommended starting point)</w:t>
      </w:r>
      <w:r>
        <w:br/>
      </w:r>
      <w:r>
        <w:t xml:space="preserve">The platform’s job is to facilitate verified trade and doc packs; the buyer remains importer/consignee, aligned with FDA’s FSVP importer definition.</w:t>
      </w:r>
      <w:r>
        <w:t xml:space="preserve"> </w:t>
      </w:r>
      <w:hyperlink r:id="rId21">
        <w:r>
          <w:rPr>
            <w:rStyle w:val="Hyperlink"/>
          </w:rPr>
          <w:t xml:space="preserve">[2]</w:t>
        </w:r>
      </w:hyperlink>
    </w:p>
    <w:p>
      <w:pPr>
        <w:pStyle w:val="SourceCode"/>
      </w:pPr>
      <w:r>
        <w:rPr>
          <w:rStyle w:val="VerbatimChar"/>
        </w:rPr>
        <w:t xml:space="preserve">flowchart LR</w:t>
      </w:r>
      <w:r>
        <w:br/>
      </w:r>
      <w:r>
        <w:rPr>
          <w:rStyle w:val="VerbatimChar"/>
        </w:rPr>
        <w:t xml:space="preserve">  A[Indian exporter lists Lot + Docs] --&gt; B[Supplier Portal: lot + document upload]</w:t>
      </w:r>
      <w:r>
        <w:br/>
      </w:r>
      <w:r>
        <w:rPr>
          <w:rStyle w:val="VerbatimChar"/>
        </w:rPr>
        <w:t xml:space="preserve">  B --&gt; C[Lot Ledger + Verification]</w:t>
      </w:r>
      <w:r>
        <w:br/>
      </w:r>
      <w:r>
        <w:rPr>
          <w:rStyle w:val="VerbatimChar"/>
        </w:rPr>
        <w:t xml:space="preserve">  D[B2B buyer searches + requests quote] --&gt; E[B2B Portal]</w:t>
      </w:r>
      <w:r>
        <w:br/>
      </w:r>
      <w:r>
        <w:rPr>
          <w:rStyle w:val="VerbatimChar"/>
        </w:rPr>
        <w:t xml:space="preserve">  E --&gt; C</w:t>
      </w:r>
      <w:r>
        <w:br/>
      </w:r>
      <w:r>
        <w:rPr>
          <w:rStyle w:val="VerbatimChar"/>
        </w:rPr>
        <w:t xml:space="preserve">  E --&gt; F[Order executed + payment captured]</w:t>
      </w:r>
      <w:r>
        <w:br/>
      </w:r>
      <w:r>
        <w:rPr>
          <w:rStyle w:val="VerbatimChar"/>
        </w:rPr>
        <w:t xml:space="preserve">  F --&gt; G[Order routed to exporter]</w:t>
      </w:r>
      <w:r>
        <w:br/>
      </w:r>
      <w:r>
        <w:rPr>
          <w:rStyle w:val="VerbatimChar"/>
        </w:rPr>
        <w:t xml:space="preserve">  G --&gt; H[Shipment under agreed Incoterm]</w:t>
      </w:r>
      <w:r>
        <w:br/>
      </w:r>
      <w:r>
        <w:rPr>
          <w:rStyle w:val="VerbatimChar"/>
        </w:rPr>
        <w:t xml:space="preserve">  H --&gt; I[Buyer import clearance + compliance]</w:t>
      </w:r>
      <w:r>
        <w:br/>
      </w:r>
      <w:r>
        <w:rPr>
          <w:rStyle w:val="VerbatimChar"/>
        </w:rPr>
        <w:t xml:space="preserve">  I --&gt; J[Buyer QC intake + acceptance]</w:t>
      </w:r>
      <w:r>
        <w:br/>
      </w:r>
      <w:r>
        <w:rPr>
          <w:rStyle w:val="VerbatimChar"/>
        </w:rPr>
        <w:t xml:space="preserve">  J --&gt; K[Settlement triggers supplier payout minus commission]</w:t>
      </w:r>
    </w:p>
    <w:p>
      <w:pPr>
        <w:pStyle w:val="FirstParagraph"/>
      </w:pPr>
      <w:r>
        <w:rPr>
          <w:b/>
          <w:bCs/>
        </w:rPr>
        <w:t xml:space="preserve">Dropship India→consumer (high friction for US/EU scale)</w:t>
      </w:r>
      <w:r>
        <w:br/>
      </w:r>
      <w:r>
        <w:t xml:space="preserve">US Prior Notice applies to imported food shipments. EU distance-sale imports require VAT handling (IOSS up to €150) and customs declarations; duty relief under €150 is being removed as of 2026, reducing long-term viability.</w:t>
      </w:r>
      <w:r>
        <w:t xml:space="preserve"> </w:t>
      </w:r>
      <w:hyperlink r:id="rId24">
        <w:r>
          <w:rPr>
            <w:rStyle w:val="Hyperlink"/>
          </w:rPr>
          <w:t xml:space="preserve">[5]</w:t>
        </w:r>
      </w:hyperlink>
    </w:p>
    <w:p>
      <w:pPr>
        <w:pStyle w:val="SourceCode"/>
      </w:pPr>
      <w:r>
        <w:rPr>
          <w:rStyle w:val="VerbatimChar"/>
        </w:rPr>
        <w:t xml:space="preserve">flowchart LR</w:t>
      </w:r>
      <w:r>
        <w:br/>
      </w:r>
      <w:r>
        <w:rPr>
          <w:rStyle w:val="VerbatimChar"/>
        </w:rPr>
        <w:t xml:space="preserve">  A[Consumer orders in app] --&gt; B[Payment captured]</w:t>
      </w:r>
      <w:r>
        <w:br/>
      </w:r>
      <w:r>
        <w:rPr>
          <w:rStyle w:val="VerbatimChar"/>
        </w:rPr>
        <w:t xml:space="preserve">  B --&gt; C[Order routed to supplier/exporter]</w:t>
      </w:r>
      <w:r>
        <w:br/>
      </w:r>
      <w:r>
        <w:rPr>
          <w:rStyle w:val="VerbatimChar"/>
        </w:rPr>
        <w:t xml:space="preserve">  C --&gt; D[Parcel export via carrier]</w:t>
      </w:r>
      <w:r>
        <w:br/>
      </w:r>
      <w:r>
        <w:rPr>
          <w:rStyle w:val="VerbatimChar"/>
        </w:rPr>
        <w:t xml:space="preserve">  D --&gt; E[Customs/VAT processing + possible duties]</w:t>
      </w:r>
      <w:r>
        <w:br/>
      </w:r>
      <w:r>
        <w:rPr>
          <w:rStyle w:val="VerbatimChar"/>
        </w:rPr>
        <w:t xml:space="preserve">  E --&gt; F[Delivery]</w:t>
      </w:r>
      <w:r>
        <w:br/>
      </w:r>
      <w:r>
        <w:rPr>
          <w:rStyle w:val="VerbatimChar"/>
        </w:rPr>
        <w:t xml:space="preserve">  F --&gt; G[Complaint/refund]</w:t>
      </w:r>
      <w:r>
        <w:br/>
      </w:r>
      <w:r>
        <w:rPr>
          <w:rStyle w:val="VerbatimChar"/>
        </w:rPr>
        <w:t xml:space="preserve">  G --&gt; H[Refund without return often]</w:t>
      </w:r>
      <w:r>
        <w:br/>
      </w:r>
      <w:r>
        <w:rPr>
          <w:rStyle w:val="VerbatimChar"/>
        </w:rPr>
        <w:t xml:space="preserve">  H --&gt; I[Chargeback/dispute reserve drawdown]</w:t>
      </w:r>
    </w:p>
    <w:p>
      <w:pPr>
        <w:pStyle w:val="FirstParagraph"/>
      </w:pPr>
      <w:r>
        <w:rPr>
          <w:b/>
          <w:bCs/>
        </w:rPr>
        <w:t xml:space="preserve">Consignment / in-market inventory (best control, higher ops)</w:t>
      </w:r>
      <w:r>
        <w:br/>
      </w:r>
      <w:r>
        <w:t xml:space="preserve">EU customs: EORI is mandatory for customs clearance. Label responsibility in EU attaches to the operator under whose name food is marketed, or the importer into the Union market if that operator is not established in the EU.</w:t>
      </w:r>
      <w:r>
        <w:t xml:space="preserve"> </w:t>
      </w:r>
      <w:hyperlink r:id="rId47">
        <w:r>
          <w:rPr>
            <w:rStyle w:val="Hyperlink"/>
          </w:rPr>
          <w:t xml:space="preserve">[25]</w:t>
        </w:r>
      </w:hyperlink>
    </w:p>
    <w:p>
      <w:pPr>
        <w:pStyle w:val="SourceCode"/>
      </w:pPr>
      <w:r>
        <w:rPr>
          <w:rStyle w:val="VerbatimChar"/>
        </w:rPr>
        <w:t xml:space="preserve">flowchart LR</w:t>
      </w:r>
      <w:r>
        <w:br/>
      </w:r>
      <w:r>
        <w:rPr>
          <w:rStyle w:val="VerbatimChar"/>
        </w:rPr>
        <w:t xml:space="preserve">  A[Exporter] --&gt; B[Bulk shipment to US/EU hub]</w:t>
      </w:r>
      <w:r>
        <w:br/>
      </w:r>
      <w:r>
        <w:rPr>
          <w:rStyle w:val="VerbatimChar"/>
        </w:rPr>
        <w:t xml:space="preserve">  B --&gt; C[Import clearance + warehousing]</w:t>
      </w:r>
      <w:r>
        <w:br/>
      </w:r>
      <w:r>
        <w:rPr>
          <w:rStyle w:val="VerbatimChar"/>
        </w:rPr>
        <w:t xml:space="preserve">  C --&gt; D[Consignment inventory in 3PL/roaster]</w:t>
      </w:r>
      <w:r>
        <w:br/>
      </w:r>
      <w:r>
        <w:rPr>
          <w:rStyle w:val="VerbatimChar"/>
        </w:rPr>
        <w:t xml:space="preserve">  E[B2B/B2C order] --&gt; F[Platform order routing]</w:t>
      </w:r>
      <w:r>
        <w:br/>
      </w:r>
      <w:r>
        <w:rPr>
          <w:rStyle w:val="VerbatimChar"/>
        </w:rPr>
        <w:t xml:space="preserve">  F --&gt; D</w:t>
      </w:r>
      <w:r>
        <w:br/>
      </w:r>
      <w:r>
        <w:rPr>
          <w:rStyle w:val="VerbatimChar"/>
        </w:rPr>
        <w:t xml:space="preserve">  D --&gt; G[Pick/pack/ship]</w:t>
      </w:r>
      <w:r>
        <w:br/>
      </w:r>
      <w:r>
        <w:rPr>
          <w:rStyle w:val="VerbatimChar"/>
        </w:rPr>
        <w:t xml:space="preserve">  G --&gt; H[Delivery]</w:t>
      </w:r>
      <w:r>
        <w:br/>
      </w:r>
      <w:r>
        <w:rPr>
          <w:rStyle w:val="VerbatimChar"/>
        </w:rPr>
        <w:t xml:space="preserve">  F --&gt; I[Platform collects funds]</w:t>
      </w:r>
      <w:r>
        <w:br/>
      </w:r>
      <w:r>
        <w:rPr>
          <w:rStyle w:val="VerbatimChar"/>
        </w:rPr>
        <w:t xml:space="preserve">  I --&gt; J[Periodic settlement to supplier based on sell-through]</w:t>
      </w:r>
      <w:r>
        <w:br/>
      </w:r>
      <w:r>
        <w:rPr>
          <w:rStyle w:val="VerbatimChar"/>
        </w:rPr>
        <w:t xml:space="preserve">  H --&gt; K[Returns/QC quarantine + lot incident workflow]</w:t>
      </w:r>
    </w:p>
    <w:bookmarkEnd w:id="49"/>
    <w:bookmarkStart w:id="50" w:name="Xf4229cd8241fb65f98bfa7e9d3c2c15c6767c56"/>
    <w:p>
      <w:pPr>
        <w:pStyle w:val="Heading3"/>
      </w:pPr>
      <w:r>
        <w:t xml:space="preserve">Unit economics and cashflow implications by model</w:t>
      </w:r>
    </w:p>
    <w:p>
      <w:pPr>
        <w:pStyle w:val="FirstParagraph"/>
      </w:pPr>
      <w:r>
        <w:t xml:space="preserve">These ranges are illustrative planning assumptions. Your actual values depend on commission rate, payment terms, logistics costs, and refund rates.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Primary revenue</w:t>
            </w:r>
          </w:p>
        </w:tc>
        <w:tc>
          <w:tcPr/>
          <w:p>
            <w:pPr>
              <w:pStyle w:val="Compact"/>
            </w:pPr>
            <w:r>
              <w:t xml:space="preserve">Variable cost drivers</w:t>
            </w:r>
          </w:p>
        </w:tc>
        <w:tc>
          <w:tcPr/>
          <w:p>
            <w:pPr>
              <w:pStyle w:val="Compact"/>
            </w:pPr>
            <w:r>
              <w:t xml:space="preserve">Working capital burden</w:t>
            </w:r>
          </w:p>
        </w:tc>
        <w:tc>
          <w:tcPr/>
          <w:p>
            <w:pPr>
              <w:pStyle w:val="Compact"/>
            </w:pPr>
            <w:r>
              <w:t xml:space="preserve">Cashflow shape</w:t>
            </w:r>
          </w:p>
        </w:tc>
      </w:tr>
      <w:tr>
        <w:tc>
          <w:tcPr/>
          <w:p>
            <w:pPr>
              <w:pStyle w:val="Compact"/>
            </w:pPr>
            <w:r>
              <w:t xml:space="preserve">Charge-on-order marketplace</w:t>
            </w:r>
          </w:p>
        </w:tc>
        <w:tc>
          <w:tcPr/>
          <w:p>
            <w:pPr>
              <w:pStyle w:val="Compact"/>
            </w:pPr>
            <w:r>
              <w:t xml:space="preserve">Commission (e.g., 3–12%); optional compliance SaaS</w:t>
            </w:r>
          </w:p>
        </w:tc>
        <w:tc>
          <w:tcPr/>
          <w:p>
            <w:pPr>
              <w:pStyle w:val="Compact"/>
            </w:pPr>
            <w:r>
              <w:t xml:space="preserve">payment processing, dispute ops, supplier verification</w:t>
            </w:r>
          </w:p>
        </w:tc>
        <w:tc>
          <w:tcPr/>
          <w:p>
            <w:pPr>
              <w:pStyle w:val="Compact"/>
            </w:pPr>
            <w:r>
              <w:t xml:space="preserve">Lowest (can be “collect then remit” with reserve holds)</w:t>
            </w:r>
          </w:p>
        </w:tc>
        <w:tc>
          <w:tcPr/>
          <w:p>
            <w:pPr>
              <w:pStyle w:val="Compact"/>
            </w:pPr>
            <w:r>
              <w:t xml:space="preserve">Often positive early if you avoid net terms</w:t>
            </w:r>
          </w:p>
        </w:tc>
      </w:tr>
      <w:tr>
        <w:tc>
          <w:tcPr/>
          <w:p>
            <w:pPr>
              <w:pStyle w:val="Compact"/>
            </w:pPr>
            <w:r>
              <w:t xml:space="preserve">Dropship</w:t>
            </w:r>
          </w:p>
        </w:tc>
        <w:tc>
          <w:tcPr/>
          <w:p>
            <w:pPr>
              <w:pStyle w:val="Compact"/>
            </w:pPr>
            <w:r>
              <w:t xml:space="preserve">Retail margin</w:t>
            </w:r>
          </w:p>
        </w:tc>
        <w:tc>
          <w:tcPr/>
          <w:p>
            <w:pPr>
              <w:pStyle w:val="Compact"/>
            </w:pPr>
            <w:r>
              <w:t xml:space="preserve">international shipping, customs/VAT friction, refunds</w:t>
            </w:r>
          </w:p>
        </w:tc>
        <w:tc>
          <w:tcPr/>
          <w:p>
            <w:pPr>
              <w:pStyle w:val="Compact"/>
            </w:pPr>
            <w:r>
              <w:t xml:space="preserve">Low inventory but high refunds/disputes; can become negative</w:t>
            </w:r>
          </w:p>
        </w:tc>
        <w:tc>
          <w:tcPr/>
          <w:p>
            <w:pPr>
              <w:pStyle w:val="Compact"/>
            </w:pPr>
            <w:r>
              <w:t xml:space="preserve">Highly volatile; sensitive to EU parcel policy changes</w:t>
            </w:r>
            <w:r>
              <w:t xml:space="preserve"> </w:t>
            </w:r>
            <w:hyperlink r:id="rId46">
              <w:r>
                <w:rPr>
                  <w:rStyle w:val="Hyperlink"/>
                </w:rPr>
                <w:t xml:space="preserve">[24]</w:t>
              </w:r>
            </w:hyperlink>
          </w:p>
        </w:tc>
      </w:tr>
      <w:tr>
        <w:tc>
          <w:tcPr/>
          <w:p>
            <w:pPr>
              <w:pStyle w:val="Compact"/>
            </w:pPr>
            <w:r>
              <w:t xml:space="preserve">Consignment</w:t>
            </w:r>
          </w:p>
        </w:tc>
        <w:tc>
          <w:tcPr/>
          <w:p>
            <w:pPr>
              <w:pStyle w:val="Compact"/>
            </w:pPr>
            <w:r>
              <w:t xml:space="preserve">Retail/wholesale margin</w:t>
            </w:r>
          </w:p>
        </w:tc>
        <w:tc>
          <w:tcPr/>
          <w:p>
            <w:pPr>
              <w:pStyle w:val="Compact"/>
            </w:pPr>
            <w:r>
              <w:t xml:space="preserve">storage, handling, shrink, QC, aged inventory</w:t>
            </w:r>
          </w:p>
        </w:tc>
        <w:tc>
          <w:tcPr/>
          <w:p>
            <w:pPr>
              <w:pStyle w:val="Compact"/>
            </w:pPr>
            <w:r>
              <w:t xml:space="preserve">Medium (freight + storage before sell-through)</w:t>
            </w:r>
          </w:p>
        </w:tc>
        <w:tc>
          <w:tcPr/>
          <w:p>
            <w:pPr>
              <w:pStyle w:val="Compact"/>
            </w:pPr>
            <w:r>
              <w:t xml:space="preserve">Smoother than dropship; still needs buffer</w:t>
            </w:r>
          </w:p>
        </w:tc>
      </w:tr>
    </w:tbl>
    <w:bookmarkEnd w:id="50"/>
    <w:bookmarkEnd w:id="51"/>
    <w:bookmarkStart w:id="60" w:name="compliance-blueprint-for-us-and-eu"/>
    <w:p>
      <w:pPr>
        <w:pStyle w:val="Heading2"/>
      </w:pPr>
      <w:r>
        <w:t xml:space="preserve">Compliance blueprint for US and EU</w:t>
      </w:r>
    </w:p>
    <w:p>
      <w:pPr>
        <w:pStyle w:val="FirstParagraph"/>
      </w:pPr>
      <w:r>
        <w:t xml:space="preserve">This section describes which compliance obligations “attach” to you under each model and what the platform must support.</w:t>
      </w:r>
    </w:p>
    <w:bookmarkStart w:id="52" w:name="X11d940b9935e948add4ce5b998308f71d4fca3b"/>
    <w:p>
      <w:pPr>
        <w:pStyle w:val="Heading3"/>
      </w:pPr>
      <w:r>
        <w:t xml:space="preserve">United States: Prior Notice, FSVP, facility registration</w:t>
      </w:r>
    </w:p>
    <w:p>
      <w:pPr>
        <w:pStyle w:val="FirstParagraph"/>
      </w:pPr>
      <w:r>
        <w:rPr>
          <w:b/>
          <w:bCs/>
        </w:rPr>
        <w:t xml:space="preserve">Prior Notice</w:t>
      </w:r>
      <w:r>
        <w:br/>
      </w:r>
      <w:r>
        <w:t xml:space="preserve">FDA states that</w:t>
      </w:r>
      <w:r>
        <w:t xml:space="preserve"> </w:t>
      </w:r>
      <w:r>
        <w:rPr>
          <w:b/>
          <w:bCs/>
        </w:rPr>
        <w:t xml:space="preserve">Prior Notice must be provided for all food</w:t>
      </w:r>
      <w:r>
        <w:t xml:space="preserve"> </w:t>
      </w:r>
      <w:r>
        <w:t xml:space="preserve">imported or offered for import into the US and references 21 CFR Part 1, Subpart I.</w:t>
      </w:r>
      <w:r>
        <w:t xml:space="preserve"> </w:t>
      </w:r>
      <w:hyperlink r:id="rId24">
        <w:r>
          <w:rPr>
            <w:rStyle w:val="Hyperlink"/>
          </w:rPr>
          <w:t xml:space="preserve">[26]</w:t>
        </w:r>
      </w:hyperlink>
      <w:r>
        <w:br/>
      </w:r>
      <w:r>
        <w:t xml:space="preserve">Platform implication: dropship produces many prior notice events; bulk/marketplace reduces event count.</w:t>
      </w:r>
    </w:p>
    <w:p>
      <w:pPr>
        <w:pStyle w:val="BodyText"/>
      </w:pPr>
      <w:r>
        <w:rPr>
          <w:b/>
          <w:bCs/>
        </w:rPr>
        <w:t xml:space="preserve">FSVP (Foreign Supplier Verification Programs)</w:t>
      </w:r>
      <w:r>
        <w:br/>
      </w:r>
      <w:r>
        <w:t xml:space="preserve">The FDA defines the FSVP importer as the</w:t>
      </w:r>
      <w:r>
        <w:t xml:space="preserve"> </w:t>
      </w:r>
      <w:r>
        <w:rPr>
          <w:b/>
          <w:bCs/>
        </w:rPr>
        <w:t xml:space="preserve">U.S. owner or consignee</w:t>
      </w:r>
      <w:r>
        <w:t xml:space="preserve"> </w:t>
      </w:r>
      <w:r>
        <w:t xml:space="preserve">(or a U.S. agent/rep if none exists).</w:t>
      </w:r>
      <w:r>
        <w:t xml:space="preserve"> </w:t>
      </w:r>
      <w:hyperlink r:id="rId21">
        <w:r>
          <w:rPr>
            <w:rStyle w:val="Hyperlink"/>
          </w:rPr>
          <w:t xml:space="preserve">[2]</w:t>
        </w:r>
      </w:hyperlink>
      <w:r>
        <w:br/>
      </w:r>
      <w:r>
        <w:t xml:space="preserve">Platform implication: if you become the owner/consignee at entry through contracting or operational reality, you inherit FSVP compliance expectations.</w:t>
      </w:r>
    </w:p>
    <w:p>
      <w:pPr>
        <w:pStyle w:val="BodyText"/>
      </w:pPr>
      <w:r>
        <w:rPr>
          <w:b/>
          <w:bCs/>
        </w:rPr>
        <w:t xml:space="preserve">Food facility registration</w:t>
      </w:r>
      <w:r>
        <w:br/>
      </w:r>
      <w:r>
        <w:t xml:space="preserve">FDA provides guidance and renewal workflows for food facility registration, including biennial renewal requirements under FD&amp;C Act authority and corresponding user guides.</w:t>
      </w:r>
      <w:r>
        <w:t xml:space="preserve"> </w:t>
      </w:r>
      <w:hyperlink r:id="rId25">
        <w:r>
          <w:rPr>
            <w:rStyle w:val="Hyperlink"/>
          </w:rPr>
          <w:t xml:space="preserve">[27]</w:t>
        </w:r>
      </w:hyperlink>
      <w:r>
        <w:br/>
      </w:r>
      <w:r>
        <w:t xml:space="preserve">Operational implication: if you rely on contract manufacturers/roasters/packers in the US, you must ensure facilities that are required to register do so; your platform should store facility identifiers and contracts as part of supplier/buyer trust building.</w:t>
      </w:r>
    </w:p>
    <w:bookmarkEnd w:id="52"/>
    <w:bookmarkStart w:id="56" w:name="X38f7f40014e97860b21d48894c7004b19a6c4a9"/>
    <w:p>
      <w:pPr>
        <w:pStyle w:val="Heading3"/>
      </w:pPr>
      <w:r>
        <w:t xml:space="preserve">European Union: traceability, labeling responsibility, HACCP hygiene, official controls</w:t>
      </w:r>
    </w:p>
    <w:p>
      <w:pPr>
        <w:pStyle w:val="FirstParagraph"/>
      </w:pPr>
      <w:r>
        <w:rPr>
          <w:b/>
          <w:bCs/>
        </w:rPr>
        <w:t xml:space="preserve">Traceability (Regulation 178/2002, Article 18)</w:t>
      </w:r>
      <w:r>
        <w:br/>
      </w:r>
      <w:r>
        <w:t xml:space="preserve">EU law requires traceability of food at all stages and requires systems/procedures to identify suppliers and customers.</w:t>
      </w:r>
      <w:r>
        <w:t xml:space="preserve"> </w:t>
      </w:r>
      <w:hyperlink r:id="rId34">
        <w:r>
          <w:rPr>
            <w:rStyle w:val="Hyperlink"/>
          </w:rPr>
          <w:t xml:space="preserve">[28]</w:t>
        </w:r>
      </w:hyperlink>
      <w:r>
        <w:br/>
      </w:r>
      <w:r>
        <w:t xml:space="preserve">Platform implication: your lot ledger should implement “one step back / one step forward” as a baseline.</w:t>
      </w:r>
    </w:p>
    <w:p>
      <w:pPr>
        <w:pStyle w:val="BodyText"/>
      </w:pPr>
      <w:r>
        <w:rPr>
          <w:b/>
          <w:bCs/>
        </w:rPr>
        <w:t xml:space="preserve">Withdrawal and recall responsibilities (Regulation 178/2002, Article 19)</w:t>
      </w:r>
      <w:r>
        <w:br/>
      </w:r>
      <w:r>
        <w:t xml:space="preserve">Food business operators must withdraw unsafe food from the market and, where necessary, recall from consumers and collaborate with competent authorities.</w:t>
      </w:r>
      <w:r>
        <w:t xml:space="preserve"> </w:t>
      </w:r>
      <w:hyperlink r:id="rId53">
        <w:r>
          <w:rPr>
            <w:rStyle w:val="Hyperlink"/>
          </w:rPr>
          <w:t xml:space="preserve">[29]</w:t>
        </w:r>
      </w:hyperlink>
      <w:r>
        <w:br/>
      </w:r>
      <w:r>
        <w:t xml:space="preserve">Platform implication: you need a lot-incident workflow and customer/buyer notification capabilities.</w:t>
      </w:r>
    </w:p>
    <w:p>
      <w:pPr>
        <w:pStyle w:val="BodyText"/>
      </w:pPr>
      <w:r>
        <w:rPr>
          <w:b/>
          <w:bCs/>
        </w:rPr>
        <w:t xml:space="preserve">Food labeling responsibility (Regulation 1169/2011, Article 8)</w:t>
      </w:r>
      <w:r>
        <w:br/>
      </w:r>
      <w:r>
        <w:t xml:space="preserve">The responsible operator for food information is the operator under whose name the food is marketed, or—if not established in the EU—the importer into the Union market.</w:t>
      </w:r>
      <w:r>
        <w:t xml:space="preserve"> </w:t>
      </w:r>
      <w:hyperlink r:id="rId42">
        <w:r>
          <w:rPr>
            <w:rStyle w:val="Hyperlink"/>
          </w:rPr>
          <w:t xml:space="preserve">[30]</w:t>
        </w:r>
      </w:hyperlink>
      <w:r>
        <w:br/>
      </w:r>
      <w:r>
        <w:t xml:space="preserve">Platform implication: if you market under your name in the EU (even if fulfillment is abroad), you can inherit labeling responsibility. This is a key reason to avoid EU consumer dropship early.</w:t>
      </w:r>
    </w:p>
    <w:p>
      <w:pPr>
        <w:pStyle w:val="BodyText"/>
      </w:pPr>
      <w:r>
        <w:rPr>
          <w:b/>
          <w:bCs/>
        </w:rPr>
        <w:t xml:space="preserve">HACCP-based procedures (Regulation 852/2004, Article 5)</w:t>
      </w:r>
      <w:r>
        <w:br/>
      </w:r>
      <w:r>
        <w:t xml:space="preserve">Food business operators must put in place, implement, and maintain permanent procedures based on HACCP principles.</w:t>
      </w:r>
      <w:r>
        <w:t xml:space="preserve"> </w:t>
      </w:r>
      <w:hyperlink r:id="rId54">
        <w:r>
          <w:rPr>
            <w:rStyle w:val="Hyperlink"/>
          </w:rPr>
          <w:t xml:space="preserve">[31]</w:t>
        </w:r>
      </w:hyperlink>
      <w:r>
        <w:br/>
      </w:r>
      <w:r>
        <w:t xml:space="preserve">Operational implication: if you control roasting/packing (even via contractors operating under your brand), you need documented HACCP-based procedures and audit trails.</w:t>
      </w:r>
    </w:p>
    <w:p>
      <w:pPr>
        <w:pStyle w:val="BodyText"/>
      </w:pPr>
      <w:r>
        <w:rPr>
          <w:b/>
          <w:bCs/>
        </w:rPr>
        <w:t xml:space="preserve">Official controls (Regulation 2017/625)</w:t>
      </w:r>
      <w:r>
        <w:br/>
      </w:r>
      <w:r>
        <w:t xml:space="preserve">This regulation defines EU official controls and other official activities to ensure application of food and feed law, including controls in Member States and third countries.</w:t>
      </w:r>
      <w:r>
        <w:t xml:space="preserve"> </w:t>
      </w:r>
      <w:hyperlink r:id="rId55">
        <w:r>
          <w:rPr>
            <w:rStyle w:val="Hyperlink"/>
          </w:rPr>
          <w:t xml:space="preserve">[32]</w:t>
        </w:r>
      </w:hyperlink>
      <w:r>
        <w:br/>
      </w:r>
      <w:r>
        <w:t xml:space="preserve">Implication: documentation completeness and traceability affect border/enforcement outcomes.</w:t>
      </w:r>
    </w:p>
    <w:bookmarkEnd w:id="56"/>
    <w:bookmarkStart w:id="58" w:name="eu-vatioss-customs-declarations-and-eori"/>
    <w:p>
      <w:pPr>
        <w:pStyle w:val="Heading3"/>
      </w:pPr>
      <w:r>
        <w:t xml:space="preserve">EU VAT/IOSS, customs declarations, and EORI</w:t>
      </w:r>
    </w:p>
    <w:p>
      <w:pPr>
        <w:pStyle w:val="FirstParagraph"/>
      </w:pPr>
      <w:r>
        <w:rPr>
          <w:b/>
          <w:bCs/>
        </w:rPr>
        <w:t xml:space="preserve">VAT and IOSS</w:t>
      </w:r>
      <w:r>
        <w:br/>
      </w:r>
      <w:r>
        <w:t xml:space="preserve">EU VAT OSS guidance states the €22 VAT import exemption was removed (all goods imported are subject to VAT) and that</w:t>
      </w:r>
      <w:r>
        <w:t xml:space="preserve"> </w:t>
      </w:r>
      <w:r>
        <w:rPr>
          <w:b/>
          <w:bCs/>
        </w:rPr>
        <w:t xml:space="preserve">IOSS</w:t>
      </w:r>
      <w:r>
        <w:t xml:space="preserve"> </w:t>
      </w:r>
      <w:r>
        <w:t xml:space="preserve">simplifies VAT declaration/payment for distance sales of low-value goods not exceeding</w:t>
      </w:r>
      <w:r>
        <w:t xml:space="preserve"> </w:t>
      </w:r>
      <w:r>
        <w:rPr>
          <w:b/>
          <w:bCs/>
        </w:rPr>
        <w:t xml:space="preserve">€150</w:t>
      </w:r>
      <w:r>
        <w:t xml:space="preserve">.</w:t>
      </w:r>
      <w:r>
        <w:t xml:space="preserve"> </w:t>
      </w:r>
      <w:hyperlink r:id="rId31">
        <w:r>
          <w:rPr>
            <w:rStyle w:val="Hyperlink"/>
          </w:rPr>
          <w:t xml:space="preserve">[33]</w:t>
        </w:r>
      </w:hyperlink>
      <w:r>
        <w:br/>
      </w:r>
      <w:r>
        <w:t xml:space="preserve">Implication: if you do EU consumer dropship, your checkout and customs data flows must support these mechanisms.</w:t>
      </w:r>
    </w:p>
    <w:p>
      <w:pPr>
        <w:pStyle w:val="BodyText"/>
      </w:pPr>
      <w:r>
        <w:rPr>
          <w:b/>
          <w:bCs/>
        </w:rPr>
        <w:t xml:space="preserve">Low-value consignments guidance (customs &amp; VAT mechanics)</w:t>
      </w:r>
      <w:r>
        <w:br/>
      </w:r>
      <w:r>
        <w:t xml:space="preserve">EU guidance on low value consignments describes conditions where no customs duty is paid under €150 but VAT is still due; it also references the use of the H7 dataset and conditions.</w:t>
      </w:r>
      <w:r>
        <w:t xml:space="preserve"> </w:t>
      </w:r>
      <w:hyperlink r:id="rId57">
        <w:r>
          <w:rPr>
            <w:rStyle w:val="Hyperlink"/>
          </w:rPr>
          <w:t xml:space="preserve">[34]</w:t>
        </w:r>
      </w:hyperlink>
      <w:r>
        <w:br/>
      </w:r>
      <w:r>
        <w:t xml:space="preserve">Implication: per-parcel compliance overhead is real engineering + ops work.</w:t>
      </w:r>
    </w:p>
    <w:p>
      <w:pPr>
        <w:pStyle w:val="BodyText"/>
      </w:pPr>
      <w:r>
        <w:rPr>
          <w:b/>
          <w:bCs/>
        </w:rPr>
        <w:t xml:space="preserve">Customs duty relief under €150 is being removed</w:t>
      </w:r>
      <w:r>
        <w:br/>
      </w:r>
      <w:r>
        <w:t xml:space="preserve">The European Commission announced political agreement to remove the</w:t>
      </w:r>
      <w:r>
        <w:t xml:space="preserve"> </w:t>
      </w:r>
      <w:r>
        <w:rPr>
          <w:b/>
          <w:bCs/>
        </w:rPr>
        <w:t xml:space="preserve">€150 customs duty relief threshold</w:t>
      </w:r>
      <w:r>
        <w:t xml:space="preserve"> </w:t>
      </w:r>
      <w:r>
        <w:t xml:space="preserve">“as of 2026,” and the Council has issued “final green light” communications on new customs duty rules for small parcels.</w:t>
      </w:r>
      <w:r>
        <w:t xml:space="preserve"> </w:t>
      </w:r>
      <w:hyperlink r:id="rId46">
        <w:r>
          <w:rPr>
            <w:rStyle w:val="Hyperlink"/>
          </w:rPr>
          <w:t xml:space="preserve">[24]</w:t>
        </w:r>
      </w:hyperlink>
      <w:r>
        <w:br/>
      </w:r>
      <w:r>
        <w:t xml:space="preserve">Implication: the economics of EU parcel dropship are structurally deteriorating. This makes dropship a weak “foundation model.”</w:t>
      </w:r>
    </w:p>
    <w:p>
      <w:pPr>
        <w:pStyle w:val="BodyText"/>
      </w:pPr>
      <w:r>
        <w:rPr>
          <w:b/>
          <w:bCs/>
        </w:rPr>
        <w:t xml:space="preserve">EORI for EU customs</w:t>
      </w:r>
      <w:r>
        <w:br/>
      </w:r>
      <w:r>
        <w:t xml:space="preserve">EU customs guidance states an EORI number is mandatory for customs clearance for all types of customs operations (export, import, transit).</w:t>
      </w:r>
      <w:r>
        <w:t xml:space="preserve"> </w:t>
      </w:r>
      <w:hyperlink r:id="rId47">
        <w:r>
          <w:rPr>
            <w:rStyle w:val="Hyperlink"/>
          </w:rPr>
          <w:t xml:space="preserve">[35]</w:t>
        </w:r>
      </w:hyperlink>
      <w:r>
        <w:br/>
      </w:r>
      <w:r>
        <w:t xml:space="preserve">Implication: if you become an EU importer-of-record (common with consignment or branded EU distribution), EORI and customs setup become gating items.</w:t>
      </w:r>
    </w:p>
    <w:bookmarkEnd w:id="58"/>
    <w:bookmarkStart w:id="59" w:name="X437372e6327d00a1298b6e8816b4a22060b6e69"/>
    <w:p>
      <w:pPr>
        <w:pStyle w:val="Heading3"/>
      </w:pPr>
      <w:r>
        <w:t xml:space="preserve">Incoterms: operationalizing responsibility boundaries</w:t>
      </w:r>
    </w:p>
    <w:p>
      <w:pPr>
        <w:pStyle w:val="FirstParagraph"/>
      </w:pPr>
      <w:r>
        <w:t xml:space="preserve">Incoterms are internationally recognized rules issued by the ICC that define responsibilities of sellers and buyers in export transactions, clarifying who handles shipment, insurance, documentation, customs clearance, and risk/cost.</w:t>
      </w:r>
      <w:r>
        <w:t xml:space="preserve"> </w:t>
      </w:r>
      <w:hyperlink r:id="rId33">
        <w:r>
          <w:rPr>
            <w:rStyle w:val="Hyperlink"/>
          </w:rPr>
          <w:t xml:space="preserve">[10]</w:t>
        </w:r>
      </w:hyperlink>
      <w:r>
        <w:br/>
      </w:r>
      <w:r>
        <w:t xml:space="preserve">Platform implication: your order object must encode incoterm + named place + risk transfer semantics, because they determine who gets stuck when something goes wrong.</w:t>
      </w:r>
    </w:p>
    <w:bookmarkEnd w:id="59"/>
    <w:bookmarkEnd w:id="60"/>
    <w:bookmarkStart w:id="64" w:name="Xd5b86b657c2640fb808f32d39c66cf024fd7b42"/>
    <w:p>
      <w:pPr>
        <w:pStyle w:val="Heading2"/>
      </w:pPr>
      <w:r>
        <w:t xml:space="preserve">Quality control, returns, recall handling, and QC SOPs</w:t>
      </w:r>
    </w:p>
    <w:p>
      <w:pPr>
        <w:pStyle w:val="FirstParagraph"/>
      </w:pPr>
      <w:r>
        <w:t xml:space="preserve">This system must be credible to buyers and regulators. The blueprint bids on “trust,” so QC cannot be improvised.</w:t>
      </w:r>
    </w:p>
    <w:bookmarkStart w:id="61" w:name="X9a47d9cf03531f85203d31a685cd55bdf057f16"/>
    <w:p>
      <w:pPr>
        <w:pStyle w:val="Heading3"/>
      </w:pPr>
      <w:r>
        <w:t xml:space="preserve">QC standards anchored to Coffee Board specifications</w:t>
      </w:r>
    </w:p>
    <w:p>
      <w:pPr>
        <w:pStyle w:val="FirstParagraph"/>
      </w:pPr>
      <w:r>
        <w:t xml:space="preserve">Coffee Board quality specs provide explicit</w:t>
      </w:r>
      <w:r>
        <w:t xml:space="preserve"> </w:t>
      </w:r>
      <w:r>
        <w:rPr>
          <w:b/>
          <w:bCs/>
        </w:rPr>
        <w:t xml:space="preserve">moisture standards by coffee type</w:t>
      </w:r>
      <w:r>
        <w:t xml:space="preserve">, for example (illustrative excerpt): Plantation (10.5%), Arabica Cherry (11.5%), Robusta Parchment (10.5%), Robusta Cherry (11.5%), Mysore Nuggets EB (9.0–10.5), Robusta Kaapi Royale (9.0–10.5), Monsooned Malabar coffees (13.0–14.5) and a ±0.5% tolerance.</w:t>
      </w:r>
      <w:r>
        <w:t xml:space="preserve"> </w:t>
      </w:r>
      <w:hyperlink r:id="rId36">
        <w:r>
          <w:rPr>
            <w:rStyle w:val="Hyperlink"/>
          </w:rPr>
          <w:t xml:space="preserve">[17]</w:t>
        </w:r>
      </w:hyperlink>
      <w:r>
        <w:br/>
      </w:r>
      <w:r>
        <w:t xml:space="preserve">They also document sieve/screen aperture mappings and grade-specific sieve retention requirements, which can be codified into your lot schema and QC validations.</w:t>
      </w:r>
      <w:r>
        <w:t xml:space="preserve"> </w:t>
      </w:r>
      <w:hyperlink r:id="rId36">
        <w:r>
          <w:rPr>
            <w:rStyle w:val="Hyperlink"/>
          </w:rPr>
          <w:t xml:space="preserve">[13]</w:t>
        </w:r>
      </w:hyperlink>
    </w:p>
    <w:bookmarkEnd w:id="61"/>
    <w:bookmarkStart w:id="63" w:name="minimum-qc-sops-by-stage"/>
    <w:p>
      <w:pPr>
        <w:pStyle w:val="Heading3"/>
      </w:pPr>
      <w:r>
        <w:t xml:space="preserve">Minimum QC SOPs by stage</w:t>
      </w:r>
    </w:p>
    <w:p>
      <w:pPr>
        <w:pStyle w:val="FirstParagraph"/>
      </w:pPr>
      <w:r>
        <w:rPr>
          <w:b/>
          <w:bCs/>
        </w:rPr>
        <w:t xml:space="preserve">Pre-listing supplier verification (platform-managed)</w:t>
      </w:r>
      <w:r>
        <w:t xml:space="preserve"> </w:t>
      </w:r>
      <w:r>
        <w:t xml:space="preserve">- Verify exporter documentation capability (Form‑C, ICO COO, post-shipment docs workflows) via portal and sample uploads.</w:t>
      </w:r>
      <w:r>
        <w:t xml:space="preserve"> </w:t>
      </w:r>
      <w:hyperlink r:id="rId22">
        <w:r>
          <w:rPr>
            <w:rStyle w:val="Hyperlink"/>
          </w:rPr>
          <w:t xml:space="preserve">[3]</w:t>
        </w:r>
      </w:hyperlink>
      <w:r>
        <w:br/>
      </w:r>
      <w:r>
        <w:t xml:space="preserve">- Require initial sample lots to include moisture reading and grading evidence aligned to Coffee Board categories.</w:t>
      </w:r>
      <w:r>
        <w:t xml:space="preserve"> </w:t>
      </w:r>
      <w:hyperlink r:id="rId36">
        <w:r>
          <w:rPr>
            <w:rStyle w:val="Hyperlink"/>
          </w:rPr>
          <w:t xml:space="preserve">[15]</w:t>
        </w:r>
      </w:hyperlink>
    </w:p>
    <w:p>
      <w:pPr>
        <w:pStyle w:val="BodyText"/>
      </w:pPr>
      <w:r>
        <w:rPr>
          <w:b/>
          <w:bCs/>
        </w:rPr>
        <w:t xml:space="preserve">Lot intake QC (buyer-managed in marketplace model; platform-managed in consignment model)</w:t>
      </w:r>
      <w:r>
        <w:t xml:space="preserve"> </w:t>
      </w:r>
      <w:r>
        <w:t xml:space="preserve">- Moisture measurement vs category window (hard stop if outside spec).</w:t>
      </w:r>
      <w:r>
        <w:t xml:space="preserve"> </w:t>
      </w:r>
      <w:hyperlink r:id="rId36">
        <w:r>
          <w:rPr>
            <w:rStyle w:val="Hyperlink"/>
          </w:rPr>
          <w:t xml:space="preserve">[17]</w:t>
        </w:r>
      </w:hyperlink>
      <w:r>
        <w:br/>
      </w:r>
      <w:r>
        <w:t xml:space="preserve">- Visual defect and grading check vs stated grade (use sieve/screen criteria or accepted specialty protocols).</w:t>
      </w:r>
      <w:r>
        <w:t xml:space="preserve"> </w:t>
      </w:r>
      <w:hyperlink r:id="rId36">
        <w:r>
          <w:rPr>
            <w:rStyle w:val="Hyperlink"/>
          </w:rPr>
          <w:t xml:space="preserve">[36]</w:t>
        </w:r>
      </w:hyperlink>
      <w:r>
        <w:br/>
      </w:r>
      <w:r>
        <w:t xml:space="preserve">- Cupping protocol for acceptance scoring; you can align to SCA’s Coffee Value Assessment standards for consistent scoring language if your buyers value it.</w:t>
      </w:r>
      <w:r>
        <w:t xml:space="preserve"> </w:t>
      </w:r>
      <w:hyperlink r:id="rId62">
        <w:r>
          <w:rPr>
            <w:rStyle w:val="Hyperlink"/>
          </w:rPr>
          <w:t xml:space="preserve">[37]</w:t>
        </w:r>
      </w:hyperlink>
      <w:r>
        <w:br/>
      </w:r>
      <w:r>
        <w:t xml:space="preserve">- Quarantine and escalation workflow for suspected defects or contamination risk (policy-level requirement).</w:t>
      </w:r>
    </w:p>
    <w:p>
      <w:pPr>
        <w:pStyle w:val="BodyText"/>
      </w:pPr>
      <w:r>
        <w:rPr>
          <w:b/>
          <w:bCs/>
        </w:rPr>
        <w:t xml:space="preserve">Returns, withdrawals, recalls</w:t>
      </w:r>
      <w:r>
        <w:t xml:space="preserve"> </w:t>
      </w:r>
      <w:r>
        <w:t xml:space="preserve">- Implement EU-aligned</w:t>
      </w:r>
      <w:r>
        <w:t xml:space="preserve"> </w:t>
      </w:r>
      <w:r>
        <w:rPr>
          <w:b/>
          <w:bCs/>
        </w:rPr>
        <w:t xml:space="preserve">withdrawal/recall workflow</w:t>
      </w:r>
      <w:r>
        <w:t xml:space="preserve">: if a lot is unsafe or noncompliant, trigger lot quarantine, notify downstream recipients, and create an auditable incident record.</w:t>
      </w:r>
      <w:r>
        <w:t xml:space="preserve"> </w:t>
      </w:r>
      <w:hyperlink r:id="rId53">
        <w:r>
          <w:rPr>
            <w:rStyle w:val="Hyperlink"/>
          </w:rPr>
          <w:t xml:space="preserve">[29]</w:t>
        </w:r>
      </w:hyperlink>
      <w:r>
        <w:br/>
      </w:r>
      <w:r>
        <w:t xml:space="preserve">- For EU-branded distribution, ensure you can identify affected customers quickly (traceability graph) consistent with Article 18 expectations.</w:t>
      </w:r>
      <w:r>
        <w:t xml:space="preserve"> </w:t>
      </w:r>
      <w:hyperlink r:id="rId34">
        <w:r>
          <w:rPr>
            <w:rStyle w:val="Hyperlink"/>
          </w:rPr>
          <w:t xml:space="preserve">[28]</w:t>
        </w:r>
      </w:hyperlink>
    </w:p>
    <w:p>
      <w:pPr>
        <w:pStyle w:val="BodyText"/>
      </w:pPr>
      <w:r>
        <w:rPr>
          <w:b/>
          <w:bCs/>
        </w:rPr>
        <w:t xml:space="preserve">Model-specific difference</w:t>
      </w:r>
      <w:r>
        <w:t xml:space="preserve"> </w:t>
      </w:r>
      <w:r>
        <w:t xml:space="preserve">- Dropship makes food returns impractical and pushes toward refunds without returns; therefore it increases moral hazard and chargeback risk (operational reality), and it offers the weakest QC control.</w:t>
      </w:r>
    </w:p>
    <w:bookmarkEnd w:id="63"/>
    <w:bookmarkEnd w:id="64"/>
    <w:bookmarkStart w:id="75" w:name="X9289e91e39545f26cc4152da23f7df699cf7927"/>
    <w:p>
      <w:pPr>
        <w:pStyle w:val="Heading2"/>
      </w:pPr>
      <w:r>
        <w:t xml:space="preserve">Platform requirements, capital plan, staffing, roadmap, fundraising, and risks</w:t>
      </w:r>
    </w:p>
    <w:bookmarkStart w:id="65" w:name="Xa9544a21a1d07b4a595cc848cbae13f2b8af41b"/>
    <w:p>
      <w:pPr>
        <w:pStyle w:val="Heading3"/>
      </w:pPr>
      <w:r>
        <w:t xml:space="preserve">Platform requirements for order-based charging, payouts, reserves, and compliance packs</w:t>
      </w:r>
    </w:p>
    <w:p>
      <w:pPr>
        <w:pStyle w:val="FirstParagraph"/>
      </w:pPr>
      <w:r>
        <w:t xml:space="preserve">A platform-first strategy still needs “hard” marketplace plumbing:</w:t>
      </w:r>
    </w:p>
    <w:p>
      <w:pPr>
        <w:pStyle w:val="Compact"/>
        <w:numPr>
          <w:ilvl w:val="0"/>
          <w:numId w:val="1006"/>
        </w:numPr>
      </w:pPr>
      <w:r>
        <w:rPr>
          <w:b/>
          <w:bCs/>
        </w:rPr>
        <w:t xml:space="preserve">Order routing engine</w:t>
      </w:r>
      <w:r>
        <w:t xml:space="preserve">: category + model selection (marketplace vs dropship vs consignment), incoterm encoding, and SLA enforcement.</w:t>
      </w:r>
      <w:r>
        <w:t xml:space="preserve"> </w:t>
      </w:r>
      <w:hyperlink r:id="rId33">
        <w:r>
          <w:rPr>
            <w:rStyle w:val="Hyperlink"/>
          </w:rPr>
          <w:t xml:space="preserve">[10]</w:t>
        </w:r>
      </w:hyperlink>
    </w:p>
    <w:p>
      <w:pPr>
        <w:pStyle w:val="Compact"/>
        <w:numPr>
          <w:ilvl w:val="0"/>
          <w:numId w:val="1006"/>
        </w:numPr>
      </w:pPr>
      <w:r>
        <w:rPr>
          <w:b/>
          <w:bCs/>
        </w:rPr>
        <w:t xml:space="preserve">Lot ledger</w:t>
      </w:r>
      <w:r>
        <w:t xml:space="preserve">: immutable lot IDs, category mapping, moisture windows, sieve mapping, and traceability graph.</w:t>
      </w:r>
      <w:r>
        <w:t xml:space="preserve"> </w:t>
      </w:r>
      <w:hyperlink r:id="rId36">
        <w:r>
          <w:rPr>
            <w:rStyle w:val="Hyperlink"/>
          </w:rPr>
          <w:t xml:space="preserve">[38]</w:t>
        </w:r>
      </w:hyperlink>
    </w:p>
    <w:p>
      <w:pPr>
        <w:pStyle w:val="Compact"/>
        <w:numPr>
          <w:ilvl w:val="0"/>
          <w:numId w:val="1006"/>
        </w:numPr>
      </w:pPr>
      <w:r>
        <w:rPr>
          <w:b/>
          <w:bCs/>
        </w:rPr>
        <w:t xml:space="preserve">Payment split + payouts</w:t>
      </w:r>
      <w:r>
        <w:t xml:space="preserve">: commission-by-category, scheduled payouts, and</w:t>
      </w:r>
      <w:r>
        <w:t xml:space="preserve"> </w:t>
      </w:r>
      <w:r>
        <w:rPr>
          <w:b/>
          <w:bCs/>
        </w:rPr>
        <w:t xml:space="preserve">reserve holds</w:t>
      </w:r>
      <w:r>
        <w:t xml:space="preserve"> </w:t>
      </w:r>
      <w:r>
        <w:t xml:space="preserve">to cover disputes/refunds.</w:t>
      </w:r>
    </w:p>
    <w:p>
      <w:pPr>
        <w:pStyle w:val="Compact"/>
        <w:numPr>
          <w:ilvl w:val="0"/>
          <w:numId w:val="1006"/>
        </w:numPr>
      </w:pPr>
      <w:r>
        <w:rPr>
          <w:b/>
          <w:bCs/>
        </w:rPr>
        <w:t xml:space="preserve">Compliance pack generator</w:t>
      </w:r>
      <w:r>
        <w:t xml:space="preserve">: auto-bundles permits, certificate of origin, bill of lading, and post-shipment documents—because Coffee Board export workflows and filing expectations exist, and buyers will request complete packs.</w:t>
      </w:r>
      <w:r>
        <w:t xml:space="preserve"> </w:t>
      </w:r>
      <w:hyperlink r:id="rId22">
        <w:r>
          <w:rPr>
            <w:rStyle w:val="Hyperlink"/>
          </w:rPr>
          <w:t xml:space="preserve">[39]</w:t>
        </w:r>
      </w:hyperlink>
    </w:p>
    <w:p>
      <w:pPr>
        <w:pStyle w:val="Compact"/>
        <w:numPr>
          <w:ilvl w:val="0"/>
          <w:numId w:val="1006"/>
        </w:numPr>
      </w:pPr>
      <w:r>
        <w:rPr>
          <w:b/>
          <w:bCs/>
        </w:rPr>
        <w:t xml:space="preserve">EUDR readiness fields</w:t>
      </w:r>
      <w:r>
        <w:t xml:space="preserve">: plot geolocation capture and completeness scoring; timelines are known and requirements explicitly reference geolocation coordinates.</w:t>
      </w:r>
      <w:r>
        <w:t xml:space="preserve"> </w:t>
      </w:r>
      <w:hyperlink r:id="rId23">
        <w:r>
          <w:rPr>
            <w:rStyle w:val="Hyperlink"/>
          </w:rPr>
          <w:t xml:space="preserve">[16]</w:t>
        </w:r>
      </w:hyperlink>
    </w:p>
    <w:p>
      <w:pPr>
        <w:pStyle w:val="Compact"/>
        <w:numPr>
          <w:ilvl w:val="0"/>
          <w:numId w:val="1006"/>
        </w:numPr>
      </w:pPr>
      <w:r>
        <w:rPr>
          <w:b/>
          <w:bCs/>
        </w:rPr>
        <w:t xml:space="preserve">3PL/WMS + carrier integrations</w:t>
      </w:r>
      <w:r>
        <w:t xml:space="preserve">: required only for consignment/in-market.</w:t>
      </w:r>
    </w:p>
    <w:p>
      <w:pPr>
        <w:pStyle w:val="Compact"/>
        <w:numPr>
          <w:ilvl w:val="0"/>
          <w:numId w:val="1006"/>
        </w:numPr>
      </w:pPr>
      <w:r>
        <w:rPr>
          <w:b/>
          <w:bCs/>
        </w:rPr>
        <w:t xml:space="preserve">Audit logs</w:t>
      </w:r>
      <w:r>
        <w:t xml:space="preserve">: regulators and enterprise buyers expect traceability and recall evidence.</w:t>
      </w:r>
      <w:r>
        <w:t xml:space="preserve"> </w:t>
      </w:r>
      <w:hyperlink r:id="rId53">
        <w:r>
          <w:rPr>
            <w:rStyle w:val="Hyperlink"/>
          </w:rPr>
          <w:t xml:space="preserve">[40]</w:t>
        </w:r>
      </w:hyperlink>
    </w:p>
    <w:bookmarkEnd w:id="65"/>
    <w:bookmarkStart w:id="66" w:name="X20e52560ff9a6c20b0b622f6f89407cb10b4b26"/>
    <w:p>
      <w:pPr>
        <w:pStyle w:val="Heading3"/>
      </w:pPr>
      <w:r>
        <w:t xml:space="preserve">Supplier incentives and sample contract clauses</w:t>
      </w:r>
    </w:p>
    <w:p>
      <w:pPr>
        <w:pStyle w:val="FirstParagraph"/>
      </w:pPr>
      <w:r>
        <w:t xml:space="preserve">Your contracts must enforce the boundary conditions described earlier: avoid accidental importer status; guarantee docs; guarantee traceability and recall cooperation.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Clause area</w:t>
            </w:r>
          </w:p>
        </w:tc>
        <w:tc>
          <w:tcPr/>
          <w:p>
            <w:pPr>
              <w:pStyle w:val="Compact"/>
            </w:pPr>
            <w:r>
              <w:t xml:space="preserve">What to include</w:t>
            </w:r>
          </w:p>
        </w:tc>
        <w:tc>
          <w:tcPr/>
          <w:p>
            <w:pPr>
              <w:pStyle w:val="Compact"/>
            </w:pPr>
            <w:r>
              <w:t xml:space="preserve">Why it matters (source anchor)</w:t>
            </w:r>
          </w:p>
        </w:tc>
      </w:tr>
      <w:tr>
        <w:tc>
          <w:tcPr/>
          <w:p>
            <w:pPr>
              <w:pStyle w:val="Compact"/>
            </w:pPr>
            <w:r>
              <w:t xml:space="preserve">Title transfer &amp; role allocation</w:t>
            </w:r>
          </w:p>
        </w:tc>
        <w:tc>
          <w:tcPr/>
          <w:p>
            <w:pPr>
              <w:pStyle w:val="Compact"/>
            </w:pPr>
            <w:r>
              <w:t xml:space="preserve">Platform is agent; supplier sells to buyer; platform does not take title; buyer is consignee/importer (where applicable)</w:t>
            </w:r>
          </w:p>
        </w:tc>
        <w:tc>
          <w:tcPr/>
          <w:p>
            <w:pPr>
              <w:pStyle w:val="Compact"/>
            </w:pPr>
            <w:r>
              <w:t xml:space="preserve">FSVP importer definition ties to U.S. owner/consignee; avoid inheriting that role unintentionally</w:t>
            </w:r>
            <w:r>
              <w:t xml:space="preserve"> </w:t>
            </w:r>
            <w:hyperlink r:id="rId21">
              <w:r>
                <w:rPr>
                  <w:rStyle w:val="Hyperlink"/>
                </w:rPr>
                <w:t xml:space="preserve">[2]</w:t>
              </w:r>
            </w:hyperlink>
          </w:p>
        </w:tc>
      </w:tr>
      <w:tr>
        <w:tc>
          <w:tcPr/>
          <w:p>
            <w:pPr>
              <w:pStyle w:val="Compact"/>
            </w:pPr>
            <w:r>
              <w:t xml:space="preserve">Documentation obligations</w:t>
            </w:r>
          </w:p>
        </w:tc>
        <w:tc>
          <w:tcPr/>
          <w:p>
            <w:pPr>
              <w:pStyle w:val="Compact"/>
            </w:pPr>
            <w:r>
              <w:t xml:space="preserve">Supplier must furnish Form‑C/ICO COO and post-shipment docs pack; time-bound submission into portal</w:t>
            </w:r>
          </w:p>
        </w:tc>
        <w:tc>
          <w:tcPr/>
          <w:p>
            <w:pPr>
              <w:pStyle w:val="Compact"/>
            </w:pPr>
            <w:r>
              <w:t xml:space="preserve">Coffee Board export permits/COO and 45-day post-shipment document expectation</w:t>
            </w:r>
            <w:r>
              <w:t xml:space="preserve"> </w:t>
            </w:r>
            <w:hyperlink r:id="rId22">
              <w:r>
                <w:rPr>
                  <w:rStyle w:val="Hyperlink"/>
                </w:rPr>
                <w:t xml:space="preserve">[14]</w:t>
              </w:r>
            </w:hyperlink>
          </w:p>
        </w:tc>
      </w:tr>
      <w:tr>
        <w:tc>
          <w:tcPr/>
          <w:p>
            <w:pPr>
              <w:pStyle w:val="Compact"/>
            </w:pPr>
            <w:r>
              <w:t xml:space="preserve">MOQ and availability</w:t>
            </w:r>
          </w:p>
        </w:tc>
        <w:tc>
          <w:tcPr/>
          <w:p>
            <w:pPr>
              <w:pStyle w:val="Compact"/>
            </w:pPr>
            <w:r>
              <w:t xml:space="preserve">Minimum order quantities by grade/category; penalties for non-fulfillment</w:t>
            </w:r>
          </w:p>
        </w:tc>
        <w:tc>
          <w:tcPr/>
          <w:p>
            <w:pPr>
              <w:pStyle w:val="Compact"/>
            </w:pPr>
            <w:r>
              <w:t xml:space="preserve">Reduces buyer churn and operational costs (planning requirement)</w:t>
            </w:r>
          </w:p>
        </w:tc>
      </w:tr>
      <w:tr>
        <w:tc>
          <w:tcPr/>
          <w:p>
            <w:pPr>
              <w:pStyle w:val="Compact"/>
            </w:pPr>
            <w:r>
              <w:t xml:space="preserve">Payment terms and reserves</w:t>
            </w:r>
          </w:p>
        </w:tc>
        <w:tc>
          <w:tcPr/>
          <w:p>
            <w:pPr>
              <w:pStyle w:val="Compact"/>
            </w:pPr>
            <w:r>
              <w:t xml:space="preserve">Settlement schedule; reserve hold for disputes; chargeback handling</w:t>
            </w:r>
          </w:p>
        </w:tc>
        <w:tc>
          <w:tcPr/>
          <w:p>
            <w:pPr>
              <w:pStyle w:val="Compact"/>
            </w:pPr>
            <w:r>
              <w:t xml:space="preserve">Protects platform liquidity (ops requirement)</w:t>
            </w:r>
          </w:p>
        </w:tc>
      </w:tr>
      <w:tr>
        <w:tc>
          <w:tcPr/>
          <w:p>
            <w:pPr>
              <w:pStyle w:val="Compact"/>
            </w:pPr>
            <w:r>
              <w:t xml:space="preserve">Traceability &amp; data rights</w:t>
            </w:r>
          </w:p>
        </w:tc>
        <w:tc>
          <w:tcPr/>
          <w:p>
            <w:pPr>
              <w:pStyle w:val="Compact"/>
            </w:pPr>
            <w:r>
              <w:t xml:space="preserve">Supplier grants license to use lot + traceability data for compliance packs and analytics; confidentiality boundaries</w:t>
            </w:r>
          </w:p>
        </w:tc>
        <w:tc>
          <w:tcPr/>
          <w:p>
            <w:pPr>
              <w:pStyle w:val="Compact"/>
            </w:pPr>
            <w:r>
              <w:t xml:space="preserve">EU traceability requires systems/procedures; you must retain and reproduce traceability evidence</w:t>
            </w:r>
            <w:r>
              <w:t xml:space="preserve"> </w:t>
            </w:r>
            <w:hyperlink r:id="rId34">
              <w:r>
                <w:rPr>
                  <w:rStyle w:val="Hyperlink"/>
                </w:rPr>
                <w:t xml:space="preserve">[11]</w:t>
              </w:r>
            </w:hyperlink>
          </w:p>
        </w:tc>
      </w:tr>
      <w:tr>
        <w:tc>
          <w:tcPr/>
          <w:p>
            <w:pPr>
              <w:pStyle w:val="Compact"/>
            </w:pPr>
            <w:r>
              <w:t xml:space="preserve">Recall/withdrawal cooperation</w:t>
            </w:r>
          </w:p>
        </w:tc>
        <w:tc>
          <w:tcPr/>
          <w:p>
            <w:pPr>
              <w:pStyle w:val="Compact"/>
            </w:pPr>
            <w:r>
              <w:t xml:space="preserve">Mandatory cooperation, lot quarantine, downstream notifications when required</w:t>
            </w:r>
          </w:p>
        </w:tc>
        <w:tc>
          <w:tcPr/>
          <w:p>
            <w:pPr>
              <w:pStyle w:val="Compact"/>
            </w:pPr>
            <w:r>
              <w:t xml:space="preserve">EU withdrawal/recall obligations exist and require collaboration with authorities</w:t>
            </w:r>
            <w:r>
              <w:t xml:space="preserve"> </w:t>
            </w:r>
            <w:hyperlink r:id="rId53">
              <w:r>
                <w:rPr>
                  <w:rStyle w:val="Hyperlink"/>
                </w:rPr>
                <w:t xml:space="preserve">[29]</w:t>
              </w:r>
            </w:hyperlink>
          </w:p>
        </w:tc>
      </w:tr>
      <w:tr>
        <w:tc>
          <w:tcPr/>
          <w:p>
            <w:pPr>
              <w:pStyle w:val="Compact"/>
            </w:pPr>
            <w:r>
              <w:t xml:space="preserve">EUDR readiness</w:t>
            </w:r>
          </w:p>
        </w:tc>
        <w:tc>
          <w:tcPr/>
          <w:p>
            <w:pPr>
              <w:pStyle w:val="Compact"/>
            </w:pPr>
            <w:r>
              <w:t xml:space="preserve">Supplier agrees to provide plot geolocation evidence and legality proof on request</w:t>
            </w:r>
          </w:p>
        </w:tc>
        <w:tc>
          <w:tcPr/>
          <w:p>
            <w:pPr>
              <w:pStyle w:val="Compact"/>
            </w:pPr>
            <w:r>
              <w:t xml:space="preserve">EUDR requires geolocation coordinates in due diligence systems; official timeline known</w:t>
            </w:r>
            <w:r>
              <w:t xml:space="preserve"> </w:t>
            </w:r>
            <w:hyperlink r:id="rId23">
              <w:r>
                <w:rPr>
                  <w:rStyle w:val="Hyperlink"/>
                </w:rPr>
                <w:t xml:space="preserve">[16]</w:t>
              </w:r>
            </w:hyperlink>
          </w:p>
        </w:tc>
      </w:tr>
    </w:tbl>
    <w:bookmarkEnd w:id="66"/>
    <w:bookmarkStart w:id="67" w:name="capital-estimates-and-key-drivers"/>
    <w:p>
      <w:pPr>
        <w:pStyle w:val="Heading3"/>
      </w:pPr>
      <w:r>
        <w:t xml:space="preserve">Capital estimates and key drivers</w:t>
      </w:r>
    </w:p>
    <w:p>
      <w:pPr>
        <w:pStyle w:val="FirstParagraph"/>
      </w:pPr>
      <w:r>
        <w:rPr>
          <w:b/>
          <w:bCs/>
        </w:rPr>
        <w:t xml:space="preserve">Assumptions used for capital ranges</w:t>
      </w:r>
      <w:r>
        <w:t xml:space="preserve"> </w:t>
      </w:r>
      <w:r>
        <w:t xml:space="preserve">- Founder builds MVP; uses limited contractors.</w:t>
      </w:r>
      <w:r>
        <w:br/>
      </w:r>
      <w:r>
        <w:t xml:space="preserve">- Lean MVP focuses on B2B marketplace and avoids importing/holding inventory.</w:t>
      </w:r>
      <w:r>
        <w:br/>
      </w:r>
      <w:r>
        <w:t xml:space="preserve">- Standard launch adds one in-market pilot (US) with QC and fulfillment.</w:t>
      </w:r>
      <w:r>
        <w:br/>
      </w:r>
      <w:r>
        <w:t xml:space="preserve">- Growth adds EU footprint, EUDR readiness depth, and a larger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Scope</w:t>
            </w:r>
          </w:p>
        </w:tc>
        <w:tc>
          <w:tcPr/>
          <w:p>
            <w:pPr>
              <w:pStyle w:val="Compact"/>
              <w:jc w:val="right"/>
            </w:pPr>
            <w:r>
              <w:t xml:space="preserve">Capital range (USD)</w:t>
            </w:r>
          </w:p>
        </w:tc>
        <w:tc>
          <w:tcPr/>
          <w:p>
            <w:pPr>
              <w:pStyle w:val="Compact"/>
            </w:pPr>
            <w:r>
              <w:t xml:space="preserve">Primary drivers</w:t>
            </w:r>
          </w:p>
        </w:tc>
      </w:tr>
      <w:tr>
        <w:tc>
          <w:tcPr/>
          <w:p>
            <w:pPr>
              <w:pStyle w:val="Compact"/>
            </w:pPr>
            <w:r>
              <w:t xml:space="preserve">Lean MVP</w:t>
            </w:r>
          </w:p>
        </w:tc>
        <w:tc>
          <w:tcPr/>
          <w:p>
            <w:pPr>
              <w:pStyle w:val="Compact"/>
            </w:pPr>
            <w:r>
              <w:t xml:space="preserve">Marketplace + portals + lot ledger + doc vault; 10–25 suppliers; 10–30 buyers in pipeline</w:t>
            </w:r>
          </w:p>
        </w:tc>
        <w:tc>
          <w:tcPr/>
          <w:p>
            <w:pPr>
              <w:pStyle w:val="Compact"/>
              <w:jc w:val="right"/>
            </w:pPr>
            <w:r>
              <w:t xml:space="preserve">$150k–$400k</w:t>
            </w:r>
          </w:p>
        </w:tc>
        <w:tc>
          <w:tcPr/>
          <w:p>
            <w:pPr>
              <w:pStyle w:val="Compact"/>
            </w:pPr>
            <w:r>
              <w:t xml:space="preserve">Legal + compliance design; travel/onboarding; cloud/tools; minimal sales effort; dispute reserves (small)</w:t>
            </w:r>
            <w:r>
              <w:t xml:space="preserve"> </w:t>
            </w:r>
            <w:hyperlink r:id="rId22">
              <w:r>
                <w:rPr>
                  <w:rStyle w:val="Hyperlink"/>
                </w:rPr>
                <w:t xml:space="preserve">[41]</w:t>
              </w:r>
            </w:hyperlink>
          </w:p>
        </w:tc>
      </w:tr>
      <w:tr>
        <w:tc>
          <w:tcPr/>
          <w:p>
            <w:pPr>
              <w:pStyle w:val="Compact"/>
            </w:pPr>
            <w:r>
              <w:t xml:space="preserve">Standard launch</w:t>
            </w:r>
          </w:p>
        </w:tc>
        <w:tc>
          <w:tcPr/>
          <w:p>
            <w:pPr>
              <w:pStyle w:val="Compact"/>
            </w:pPr>
            <w:r>
              <w:t xml:space="preserve">Lean MVP + US in-market fulfillment pilot + QC program</w:t>
            </w:r>
          </w:p>
        </w:tc>
        <w:tc>
          <w:tcPr/>
          <w:p>
            <w:pPr>
              <w:pStyle w:val="Compact"/>
              <w:jc w:val="right"/>
            </w:pPr>
            <w:r>
              <w:t xml:space="preserve">$600k–$1.3M</w:t>
            </w:r>
          </w:p>
        </w:tc>
        <w:tc>
          <w:tcPr/>
          <w:p>
            <w:pPr>
              <w:pStyle w:val="Compact"/>
            </w:pPr>
            <w:r>
              <w:t xml:space="preserve">Working capital (freight + inventory buffer); customer support; stronger QA; expanded legal/compliance ops</w:t>
            </w:r>
            <w:r>
              <w:t xml:space="preserve"> </w:t>
            </w:r>
            <w:hyperlink r:id="rId24">
              <w:r>
                <w:rPr>
                  <w:rStyle w:val="Hyperlink"/>
                </w:rPr>
                <w:t xml:space="preserve">[42]</w:t>
              </w:r>
            </w:hyperlink>
          </w:p>
        </w:tc>
      </w:tr>
      <w:tr>
        <w:tc>
          <w:tcPr/>
          <w:p>
            <w:pPr>
              <w:pStyle w:val="Compact"/>
            </w:pPr>
            <w:r>
              <w:t xml:space="preserve">Growth/scale</w:t>
            </w:r>
          </w:p>
        </w:tc>
        <w:tc>
          <w:tcPr/>
          <w:p>
            <w:pPr>
              <w:pStyle w:val="Compact"/>
            </w:pPr>
            <w:r>
              <w:t xml:space="preserve">US + EU footprint; EUDR readiness completeness; more automation and integrations</w:t>
            </w:r>
          </w:p>
        </w:tc>
        <w:tc>
          <w:tcPr/>
          <w:p>
            <w:pPr>
              <w:pStyle w:val="Compact"/>
              <w:jc w:val="right"/>
            </w:pPr>
            <w:r>
              <w:t xml:space="preserve">$2.0M–$4.0M</w:t>
            </w:r>
          </w:p>
        </w:tc>
        <w:tc>
          <w:tcPr/>
          <w:p>
            <w:pPr>
              <w:pStyle w:val="Compact"/>
            </w:pPr>
            <w:r>
              <w:t xml:space="preserve">Team build; EU VAT/customs/IOSS complexities for B2C; EORI setup if importing; EUDR compliance readiness by 2026/2027</w:t>
            </w:r>
            <w:r>
              <w:t xml:space="preserve"> </w:t>
            </w:r>
            <w:hyperlink r:id="rId47">
              <w:r>
                <w:rPr>
                  <w:rStyle w:val="Hyperlink"/>
                </w:rPr>
                <w:t xml:space="preserve">[43]</w:t>
              </w:r>
            </w:hyperlink>
          </w:p>
        </w:tc>
      </w:tr>
    </w:tbl>
    <w:bookmarkEnd w:id="67"/>
    <w:bookmarkStart w:id="68" w:name="staffing-and-budget-by-role"/>
    <w:p>
      <w:pPr>
        <w:pStyle w:val="Heading3"/>
      </w:pPr>
      <w:r>
        <w:t xml:space="preserve">Staffing and budget by role</w:t>
      </w:r>
    </w:p>
    <w:p>
      <w:pPr>
        <w:pStyle w:val="FirstParagraph"/>
      </w:pPr>
      <w:r>
        <w:t xml:space="preserve">Indicative annual fully-loaded cost ranges (US-centric assumptions; adjust for location and contractor mix).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When needed</w:t>
            </w:r>
          </w:p>
        </w:tc>
        <w:tc>
          <w:tcPr/>
          <w:p>
            <w:pPr>
              <w:pStyle w:val="Compact"/>
              <w:jc w:val="right"/>
            </w:pPr>
            <w:r>
              <w:t xml:space="preserve">Annual cost range (USD, assumed)</w:t>
            </w:r>
          </w:p>
        </w:tc>
        <w:tc>
          <w:tcPr/>
          <w:p>
            <w:pPr>
              <w:pStyle w:val="Compact"/>
            </w:pPr>
            <w:r>
              <w:t xml:space="preserve">Notes</w:t>
            </w:r>
          </w:p>
        </w:tc>
      </w:tr>
      <w:tr>
        <w:tc>
          <w:tcPr/>
          <w:p>
            <w:pPr>
              <w:pStyle w:val="Compact"/>
            </w:pPr>
            <w:r>
              <w:t xml:space="preserve">Founder (engineering/product)</w:t>
            </w:r>
          </w:p>
        </w:tc>
        <w:tc>
          <w:tcPr/>
          <w:p>
            <w:pPr>
              <w:pStyle w:val="Compact"/>
            </w:pPr>
            <w:r>
              <w:t xml:space="preserve">Day 1</w:t>
            </w:r>
          </w:p>
        </w:tc>
        <w:tc>
          <w:tcPr/>
          <w:p>
            <w:pPr>
              <w:pStyle w:val="Compact"/>
              <w:jc w:val="right"/>
            </w:pPr>
            <w:r>
              <w:t xml:space="preserve">$0–$180k</w:t>
            </w:r>
          </w:p>
        </w:tc>
        <w:tc>
          <w:tcPr/>
          <w:p>
            <w:pPr>
              <w:pStyle w:val="Compact"/>
            </w:pPr>
            <w:r>
              <w:t xml:space="preserve">Lean scenario assumes minimal salary</w:t>
            </w:r>
          </w:p>
        </w:tc>
      </w:tr>
      <w:tr>
        <w:tc>
          <w:tcPr/>
          <w:p>
            <w:pPr>
              <w:pStyle w:val="Compact"/>
            </w:pPr>
            <w:r>
              <w:t xml:space="preserve">Full-stack engineer</w:t>
            </w:r>
          </w:p>
        </w:tc>
        <w:tc>
          <w:tcPr/>
          <w:p>
            <w:pPr>
              <w:pStyle w:val="Compact"/>
            </w:pPr>
            <w:r>
              <w:t xml:space="preserve">Months 3–6</w:t>
            </w:r>
          </w:p>
        </w:tc>
        <w:tc>
          <w:tcPr/>
          <w:p>
            <w:pPr>
              <w:pStyle w:val="Compact"/>
              <w:jc w:val="right"/>
            </w:pPr>
            <w:r>
              <w:t xml:space="preserve">$140k–$220k</w:t>
            </w:r>
          </w:p>
        </w:tc>
        <w:tc>
          <w:tcPr/>
          <w:p>
            <w:pPr>
              <w:pStyle w:val="Compact"/>
            </w:pPr>
            <w:r>
              <w:t xml:space="preserve">Accelerates portals + routing + payments</w:t>
            </w:r>
          </w:p>
        </w:tc>
      </w:tr>
      <w:tr>
        <w:tc>
          <w:tcPr/>
          <w:p>
            <w:pPr>
              <w:pStyle w:val="Compact"/>
            </w:pPr>
            <w:r>
              <w:t xml:space="preserve">Data/ML engineer</w:t>
            </w:r>
          </w:p>
        </w:tc>
        <w:tc>
          <w:tcPr/>
          <w:p>
            <w:pPr>
              <w:pStyle w:val="Compact"/>
            </w:pPr>
            <w:r>
              <w:t xml:space="preserve">Months 6–12</w:t>
            </w:r>
          </w:p>
        </w:tc>
        <w:tc>
          <w:tcPr/>
          <w:p>
            <w:pPr>
              <w:pStyle w:val="Compact"/>
              <w:jc w:val="right"/>
            </w:pPr>
            <w:r>
              <w:t xml:space="preserve">$160k–$260k</w:t>
            </w:r>
          </w:p>
        </w:tc>
        <w:tc>
          <w:tcPr/>
          <w:p>
            <w:pPr>
              <w:pStyle w:val="Compact"/>
            </w:pPr>
            <w:r>
              <w:t xml:space="preserve">Matching + EUDR scoring + analytics</w:t>
            </w:r>
          </w:p>
        </w:tc>
      </w:tr>
      <w:tr>
        <w:tc>
          <w:tcPr/>
          <w:p>
            <w:pPr>
              <w:pStyle w:val="Compact"/>
            </w:pPr>
            <w:r>
              <w:t xml:space="preserve">Ops &amp; compliance lead</w:t>
            </w:r>
          </w:p>
        </w:tc>
        <w:tc>
          <w:tcPr/>
          <w:p>
            <w:pPr>
              <w:pStyle w:val="Compact"/>
            </w:pPr>
            <w:r>
              <w:t xml:space="preserve">Months 4–12</w:t>
            </w:r>
          </w:p>
        </w:tc>
        <w:tc>
          <w:tcPr/>
          <w:p>
            <w:pPr>
              <w:pStyle w:val="Compact"/>
              <w:jc w:val="right"/>
            </w:pPr>
            <w:r>
              <w:t xml:space="preserve">$120k–$200k</w:t>
            </w:r>
          </w:p>
        </w:tc>
        <w:tc>
          <w:tcPr/>
          <w:p>
            <w:pPr>
              <w:pStyle w:val="Compact"/>
            </w:pPr>
            <w:r>
              <w:t xml:space="preserve">Documents + trade workflow + audits</w:t>
            </w:r>
          </w:p>
        </w:tc>
      </w:tr>
      <w:tr>
        <w:tc>
          <w:tcPr/>
          <w:p>
            <w:pPr>
              <w:pStyle w:val="Compact"/>
            </w:pPr>
            <w:r>
              <w:t xml:space="preserve">B2B sales lead</w:t>
            </w:r>
          </w:p>
        </w:tc>
        <w:tc>
          <w:tcPr/>
          <w:p>
            <w:pPr>
              <w:pStyle w:val="Compact"/>
            </w:pPr>
            <w:r>
              <w:t xml:space="preserve">Months 4–12</w:t>
            </w:r>
          </w:p>
        </w:tc>
        <w:tc>
          <w:tcPr/>
          <w:p>
            <w:pPr>
              <w:pStyle w:val="Compact"/>
              <w:jc w:val="right"/>
            </w:pPr>
            <w:r>
              <w:t xml:space="preserve">$120k–$220k</w:t>
            </w:r>
          </w:p>
        </w:tc>
        <w:tc>
          <w:tcPr/>
          <w:p>
            <w:pPr>
              <w:pStyle w:val="Compact"/>
            </w:pPr>
            <w:r>
              <w:t xml:space="preserve">LOIs → paid pilots → repeat orders</w:t>
            </w:r>
          </w:p>
        </w:tc>
      </w:tr>
      <w:tr>
        <w:tc>
          <w:tcPr/>
          <w:p>
            <w:pPr>
              <w:pStyle w:val="Compact"/>
            </w:pPr>
            <w:r>
              <w:t xml:space="preserve">QA lead / coffee quality</w:t>
            </w:r>
          </w:p>
        </w:tc>
        <w:tc>
          <w:tcPr/>
          <w:p>
            <w:pPr>
              <w:pStyle w:val="Compact"/>
            </w:pPr>
            <w:r>
              <w:t xml:space="preserve">Months 6–12</w:t>
            </w:r>
          </w:p>
        </w:tc>
        <w:tc>
          <w:tcPr/>
          <w:p>
            <w:pPr>
              <w:pStyle w:val="Compact"/>
              <w:jc w:val="right"/>
            </w:pPr>
            <w:r>
              <w:t xml:space="preserve">$90k–$160k</w:t>
            </w:r>
          </w:p>
        </w:tc>
        <w:tc>
          <w:tcPr/>
          <w:p>
            <w:pPr>
              <w:pStyle w:val="Compact"/>
            </w:pPr>
            <w:r>
              <w:t xml:space="preserve">Codifies moisture/spec/QC gates using Coffee Board specs</w:t>
            </w:r>
            <w:r>
              <w:t xml:space="preserve"> </w:t>
            </w:r>
            <w:hyperlink r:id="rId36">
              <w:r>
                <w:rPr>
                  <w:rStyle w:val="Hyperlink"/>
                </w:rPr>
                <w:t xml:space="preserve">[17]</w:t>
              </w:r>
            </w:hyperlink>
          </w:p>
        </w:tc>
      </w:tr>
      <w:tr>
        <w:tc>
          <w:tcPr/>
          <w:p>
            <w:pPr>
              <w:pStyle w:val="Compact"/>
            </w:pPr>
            <w:r>
              <w:t xml:space="preserve">Fractional legal/tax</w:t>
            </w:r>
          </w:p>
        </w:tc>
        <w:tc>
          <w:tcPr/>
          <w:p>
            <w:pPr>
              <w:pStyle w:val="Compact"/>
            </w:pPr>
            <w:r>
              <w:t xml:space="preserve">As needed</w:t>
            </w:r>
          </w:p>
        </w:tc>
        <w:tc>
          <w:tcPr/>
          <w:p>
            <w:pPr>
              <w:pStyle w:val="Compact"/>
              <w:jc w:val="right"/>
            </w:pPr>
            <w:r>
              <w:t xml:space="preserve">$30k–$120k</w:t>
            </w:r>
          </w:p>
        </w:tc>
        <w:tc>
          <w:tcPr/>
          <w:p>
            <w:pPr>
              <w:pStyle w:val="Compact"/>
            </w:pPr>
            <w:r>
              <w:t xml:space="preserve">US import and EU VAT/customs are nontrivial</w:t>
            </w:r>
            <w:r>
              <w:t xml:space="preserve"> </w:t>
            </w:r>
            <w:hyperlink r:id="rId31">
              <w:r>
                <w:rPr>
                  <w:rStyle w:val="Hyperlink"/>
                </w:rPr>
                <w:t xml:space="preserve">[44]</w:t>
              </w:r>
            </w:hyperlink>
          </w:p>
        </w:tc>
      </w:tr>
    </w:tbl>
    <w:bookmarkEnd w:id="68"/>
    <w:bookmarkStart w:id="70" w:name="X14f0ee73f2cec6ffb882dc033529387429404b3"/>
    <w:p>
      <w:pPr>
        <w:pStyle w:val="Heading3"/>
      </w:pPr>
      <w:r>
        <w:t xml:space="preserve">Twelve-month roadmap with milestones and funding tranches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window</w:t>
            </w:r>
          </w:p>
        </w:tc>
        <w:tc>
          <w:tcPr/>
          <w:p>
            <w:pPr>
              <w:pStyle w:val="Compact"/>
            </w:pPr>
            <w:r>
              <w:t xml:space="preserve">Product milestones</w:t>
            </w:r>
          </w:p>
        </w:tc>
        <w:tc>
          <w:tcPr/>
          <w:p>
            <w:pPr>
              <w:pStyle w:val="Compact"/>
            </w:pPr>
            <w:r>
              <w:t xml:space="preserve">Marketplace/ops milestones</w:t>
            </w:r>
          </w:p>
        </w:tc>
        <w:tc>
          <w:tcPr/>
          <w:p>
            <w:pPr>
              <w:pStyle w:val="Compact"/>
            </w:pPr>
            <w:r>
              <w:t xml:space="preserve">Funding tranche logic</w:t>
            </w:r>
          </w:p>
        </w:tc>
      </w:tr>
      <w:tr>
        <w:tc>
          <w:tcPr/>
          <w:p>
            <w:pPr>
              <w:pStyle w:val="Compact"/>
            </w:pPr>
            <w:r>
              <w:t xml:space="preserve">Months 1–3</w:t>
            </w:r>
          </w:p>
        </w:tc>
        <w:tc>
          <w:tcPr/>
          <w:p>
            <w:pPr>
              <w:pStyle w:val="Compact"/>
            </w:pPr>
            <w:r>
              <w:t xml:space="preserve">Build MVP: supplier portal, lot listing, document vault, buyer search</w:t>
            </w:r>
          </w:p>
        </w:tc>
        <w:tc>
          <w:tcPr/>
          <w:p>
            <w:pPr>
              <w:pStyle w:val="Compact"/>
            </w:pPr>
            <w:r>
              <w:t xml:space="preserve">Onboard exporters; test doc upload; 10–20 buyer interviews</w:t>
            </w:r>
          </w:p>
        </w:tc>
        <w:tc>
          <w:tcPr/>
          <w:p>
            <w:pPr>
              <w:pStyle w:val="Compact"/>
            </w:pPr>
            <w:r>
              <w:t xml:space="preserve">Bootstrap/angel to reach “verified supply graph”</w:t>
            </w:r>
            <w:r>
              <w:t xml:space="preserve"> </w:t>
            </w:r>
            <w:hyperlink r:id="rId22">
              <w:r>
                <w:rPr>
                  <w:rStyle w:val="Hyperlink"/>
                </w:rPr>
                <w:t xml:space="preserve">[45]</w:t>
              </w:r>
            </w:hyperlink>
          </w:p>
        </w:tc>
      </w:tr>
      <w:tr>
        <w:tc>
          <w:tcPr/>
          <w:p>
            <w:pPr>
              <w:pStyle w:val="Compact"/>
            </w:pPr>
            <w:r>
              <w:t xml:space="preserve">Months 4–6</w:t>
            </w:r>
          </w:p>
        </w:tc>
        <w:tc>
          <w:tcPr/>
          <w:p>
            <w:pPr>
              <w:pStyle w:val="Compact"/>
            </w:pPr>
            <w:r>
              <w:t xml:space="preserve">Order routing + commission engine + payout reserves; compliance pack v1</w:t>
            </w:r>
          </w:p>
        </w:tc>
        <w:tc>
          <w:tcPr/>
          <w:p>
            <w:pPr>
              <w:pStyle w:val="Compact"/>
            </w:pPr>
            <w:r>
              <w:t xml:space="preserve">Execute first paid B2B orders; refine category taxonomy</w:t>
            </w:r>
          </w:p>
        </w:tc>
        <w:tc>
          <w:tcPr/>
          <w:p>
            <w:pPr>
              <w:pStyle w:val="Compact"/>
            </w:pPr>
            <w:r>
              <w:t xml:space="preserve">Pre-seed once you prove paid GMV + repeatability</w:t>
            </w:r>
          </w:p>
        </w:tc>
      </w:tr>
      <w:tr>
        <w:tc>
          <w:tcPr/>
          <w:p>
            <w:pPr>
              <w:pStyle w:val="Compact"/>
            </w:pPr>
            <w:r>
              <w:t xml:space="preserve">Months 7–9</w:t>
            </w:r>
          </w:p>
        </w:tc>
        <w:tc>
          <w:tcPr/>
          <w:p>
            <w:pPr>
              <w:pStyle w:val="Compact"/>
            </w:pPr>
            <w:r>
              <w:t xml:space="preserve">AI matching v1 (explainable ranker); EUDR readiness fields</w:t>
            </w:r>
          </w:p>
        </w:tc>
        <w:tc>
          <w:tcPr/>
          <w:p>
            <w:pPr>
              <w:pStyle w:val="Compact"/>
            </w:pPr>
            <w:r>
              <w:t xml:space="preserve">Expand supplier set; start EUDR data capture</w:t>
            </w:r>
          </w:p>
        </w:tc>
        <w:tc>
          <w:tcPr/>
          <w:p>
            <w:pPr>
              <w:pStyle w:val="Compact"/>
            </w:pPr>
            <w:r>
              <w:t xml:space="preserve">Bridge if adding integrations/QC expansion</w:t>
            </w:r>
            <w:r>
              <w:t xml:space="preserve"> </w:t>
            </w:r>
            <w:hyperlink r:id="rId23">
              <w:r>
                <w:rPr>
                  <w:rStyle w:val="Hyperlink"/>
                </w:rPr>
                <w:t xml:space="preserve">[16]</w:t>
              </w:r>
            </w:hyperlink>
          </w:p>
        </w:tc>
      </w:tr>
      <w:tr>
        <w:tc>
          <w:tcPr/>
          <w:p>
            <w:pPr>
              <w:pStyle w:val="Compact"/>
            </w:pPr>
            <w:r>
              <w:t xml:space="preserve">Months 10–12</w:t>
            </w:r>
          </w:p>
        </w:tc>
        <w:tc>
          <w:tcPr/>
          <w:p>
            <w:pPr>
              <w:pStyle w:val="Compact"/>
            </w:pPr>
            <w:r>
              <w:t xml:space="preserve">Consignment module pilot or US in-market pilot; buyer analytics</w:t>
            </w:r>
          </w:p>
        </w:tc>
        <w:tc>
          <w:tcPr/>
          <w:p>
            <w:pPr>
              <w:pStyle w:val="Compact"/>
            </w:pPr>
            <w:r>
              <w:t xml:space="preserve">Repeat orders; improve dispute/return handling</w:t>
            </w:r>
          </w:p>
        </w:tc>
        <w:tc>
          <w:tcPr/>
          <w:p>
            <w:pPr>
              <w:pStyle w:val="Compact"/>
            </w:pPr>
            <w:r>
              <w:t xml:space="preserve">Seed to scale sales + ops + EU readiness given 2026 obligations</w:t>
            </w:r>
            <w:r>
              <w:t xml:space="preserve"> </w:t>
            </w:r>
            <w:hyperlink r:id="rId69">
              <w:r>
                <w:rPr>
                  <w:rStyle w:val="Hyperlink"/>
                </w:rPr>
                <w:t xml:space="preserve">[46]</w:t>
              </w:r>
            </w:hyperlink>
          </w:p>
        </w:tc>
      </w:tr>
    </w:tbl>
    <w:bookmarkEnd w:id="70"/>
    <w:bookmarkStart w:id="71" w:name="X44055baa55e4e9c3b59e857ac1ba862672c11aa"/>
    <w:p>
      <w:pPr>
        <w:pStyle w:val="Heading3"/>
      </w:pPr>
      <w:r>
        <w:t xml:space="preserve">Fundraising strategy and investor pitch readiness checklist</w:t>
      </w:r>
    </w:p>
    <w:p>
      <w:pPr>
        <w:pStyle w:val="FirstParagraph"/>
      </w:pPr>
      <w:r>
        <w:rPr>
          <w:b/>
          <w:bCs/>
        </w:rPr>
        <w:t xml:space="preserve">Narrative that tends to work:</w:t>
      </w:r>
      <w:r>
        <w:t xml:space="preserve"> </w:t>
      </w:r>
      <w:r>
        <w:t xml:space="preserve">“We are building compliance-ready, AI-assisted sourcing infrastructure for Indian coffee exports into US/EU markets,” where you show that your product maps to real regulatory and trade structures (export permits, traceability, and EUDR-ready geolocation).</w:t>
      </w:r>
      <w:r>
        <w:t xml:space="preserve"> </w:t>
      </w:r>
      <w:hyperlink r:id="rId22">
        <w:r>
          <w:rPr>
            <w:rStyle w:val="Hyperlink"/>
          </w:rPr>
          <w:t xml:space="preserve">[47]</w:t>
        </w:r>
      </w:hyperlink>
    </w:p>
    <w:p>
      <w:pPr>
        <w:pStyle w:val="BodyText"/>
      </w:pPr>
      <w:r>
        <w:rPr>
          <w:b/>
          <w:bCs/>
        </w:rPr>
        <w:t xml:space="preserve">Pitch readiness checklist (evidence-based)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“Ready” evidence</w:t>
            </w:r>
          </w:p>
        </w:tc>
        <w:tc>
          <w:tcPr/>
          <w:p>
            <w:pPr>
              <w:pStyle w:val="Compact"/>
            </w:pPr>
            <w:r>
              <w:t xml:space="preserve">Source-tied logic</w:t>
            </w:r>
          </w:p>
        </w:tc>
      </w:tr>
      <w:tr>
        <w:tc>
          <w:tcPr/>
          <w:p>
            <w:pPr>
              <w:pStyle w:val="Compact"/>
            </w:pPr>
            <w:r>
              <w:t xml:space="preserve">Compliance boundary clarity</w:t>
            </w:r>
          </w:p>
        </w:tc>
        <w:tc>
          <w:tcPr/>
          <w:p>
            <w:pPr>
              <w:pStyle w:val="Compact"/>
            </w:pPr>
            <w:r>
              <w:t xml:space="preserve">Diagram showing who is importer/consignee under each model</w:t>
            </w:r>
          </w:p>
        </w:tc>
        <w:tc>
          <w:tcPr/>
          <w:p>
            <w:pPr>
              <w:pStyle w:val="Compact"/>
            </w:pPr>
            <w:r>
              <w:t xml:space="preserve">FSVP importer definition drives U.S. obligations</w:t>
            </w:r>
            <w:r>
              <w:t xml:space="preserve"> </w:t>
            </w:r>
            <w:hyperlink r:id="rId21">
              <w:r>
                <w:rPr>
                  <w:rStyle w:val="Hyperlink"/>
                </w:rPr>
                <w:t xml:space="preserve">[22]</w:t>
              </w:r>
            </w:hyperlink>
          </w:p>
        </w:tc>
      </w:tr>
      <w:tr>
        <w:tc>
          <w:tcPr/>
          <w:p>
            <w:pPr>
              <w:pStyle w:val="Compact"/>
            </w:pPr>
            <w:r>
              <w:t xml:space="preserve">Documentation system</w:t>
            </w:r>
          </w:p>
        </w:tc>
        <w:tc>
          <w:tcPr/>
          <w:p>
            <w:pPr>
              <w:pStyle w:val="Compact"/>
            </w:pPr>
            <w:r>
              <w:t xml:space="preserve">Live compliance pack generation and doc verification</w:t>
            </w:r>
          </w:p>
        </w:tc>
        <w:tc>
          <w:tcPr/>
          <w:p>
            <w:pPr>
              <w:pStyle w:val="Compact"/>
            </w:pPr>
            <w:r>
              <w:t xml:space="preserve">Coffee Board permit/COO and post-shipment docs are core</w:t>
            </w:r>
            <w:r>
              <w:t xml:space="preserve"> </w:t>
            </w:r>
            <w:hyperlink r:id="rId22">
              <w:r>
                <w:rPr>
                  <w:rStyle w:val="Hyperlink"/>
                </w:rPr>
                <w:t xml:space="preserve">[3]</w:t>
              </w:r>
            </w:hyperlink>
          </w:p>
        </w:tc>
      </w:tr>
      <w:tr>
        <w:tc>
          <w:tcPr/>
          <w:p>
            <w:pPr>
              <w:pStyle w:val="Compact"/>
            </w:pPr>
            <w:r>
              <w:t xml:space="preserve">Traceability architecture</w:t>
            </w:r>
          </w:p>
        </w:tc>
        <w:tc>
          <w:tcPr/>
          <w:p>
            <w:pPr>
              <w:pStyle w:val="Compact"/>
            </w:pPr>
            <w:r>
              <w:t xml:space="preserve">Lot ledger supports “one step back/forward” and incident logs</w:t>
            </w:r>
          </w:p>
        </w:tc>
        <w:tc>
          <w:tcPr/>
          <w:p>
            <w:pPr>
              <w:pStyle w:val="Compact"/>
            </w:pPr>
            <w:r>
              <w:t xml:space="preserve">EU traceability and recall duties require systems/procedures</w:t>
            </w:r>
            <w:r>
              <w:t xml:space="preserve"> </w:t>
            </w:r>
            <w:hyperlink r:id="rId34">
              <w:r>
                <w:rPr>
                  <w:rStyle w:val="Hyperlink"/>
                </w:rPr>
                <w:t xml:space="preserve">[11]</w:t>
              </w:r>
            </w:hyperlink>
          </w:p>
        </w:tc>
      </w:tr>
      <w:tr>
        <w:tc>
          <w:tcPr/>
          <w:p>
            <w:pPr>
              <w:pStyle w:val="Compact"/>
            </w:pPr>
            <w:r>
              <w:t xml:space="preserve">EUDR readiness</w:t>
            </w:r>
          </w:p>
        </w:tc>
        <w:tc>
          <w:tcPr/>
          <w:p>
            <w:pPr>
              <w:pStyle w:val="Compact"/>
            </w:pPr>
            <w:r>
              <w:t xml:space="preserve">Geolocation fields + scoring + pilot supplier adoption</w:t>
            </w:r>
          </w:p>
        </w:tc>
        <w:tc>
          <w:tcPr/>
          <w:p>
            <w:pPr>
              <w:pStyle w:val="Compact"/>
            </w:pPr>
            <w:r>
              <w:t xml:space="preserve">EUDR requires geolocation; timeline defined</w:t>
            </w:r>
            <w:r>
              <w:t xml:space="preserve"> </w:t>
            </w:r>
            <w:hyperlink r:id="rId23">
              <w:r>
                <w:rPr>
                  <w:rStyle w:val="Hyperlink"/>
                </w:rPr>
                <w:t xml:space="preserve">[16]</w:t>
              </w:r>
            </w:hyperlink>
          </w:p>
        </w:tc>
      </w:tr>
      <w:tr>
        <w:tc>
          <w:tcPr/>
          <w:p>
            <w:pPr>
              <w:pStyle w:val="Compact"/>
            </w:pPr>
            <w:r>
              <w:t xml:space="preserve">Market proof</w:t>
            </w:r>
          </w:p>
        </w:tc>
        <w:tc>
          <w:tcPr/>
          <w:p>
            <w:pPr>
              <w:pStyle w:val="Compact"/>
            </w:pPr>
            <w:r>
              <w:t xml:space="preserve">Paid pilots, repeat orders, LOIs</w:t>
            </w:r>
          </w:p>
        </w:tc>
        <w:tc>
          <w:tcPr/>
          <w:p>
            <w:pPr>
              <w:pStyle w:val="Compact"/>
            </w:pPr>
            <w:r>
              <w:t xml:space="preserve">Investors fund traction, not catalogs</w:t>
            </w:r>
          </w:p>
        </w:tc>
      </w:tr>
      <w:tr>
        <w:tc>
          <w:tcPr/>
          <w:p>
            <w:pPr>
              <w:pStyle w:val="Compact"/>
            </w:pPr>
            <w:r>
              <w:t xml:space="preserve">Unit economics</w:t>
            </w:r>
          </w:p>
        </w:tc>
        <w:tc>
          <w:tcPr/>
          <w:p>
            <w:pPr>
              <w:pStyle w:val="Compact"/>
            </w:pPr>
            <w:r>
              <w:t xml:space="preserve">Commission and cost-to-serve; cashflow plan by model</w:t>
            </w:r>
          </w:p>
        </w:tc>
        <w:tc>
          <w:tcPr/>
          <w:p>
            <w:pPr>
              <w:pStyle w:val="Compact"/>
            </w:pPr>
            <w:r>
              <w:t xml:space="preserve">EU parcel duty relief removal affects dropship economics</w:t>
            </w:r>
            <w:r>
              <w:t xml:space="preserve"> </w:t>
            </w:r>
            <w:hyperlink r:id="rId46">
              <w:r>
                <w:rPr>
                  <w:rStyle w:val="Hyperlink"/>
                </w:rPr>
                <w:t xml:space="preserve">[24]</w:t>
              </w:r>
            </w:hyperlink>
          </w:p>
        </w:tc>
      </w:tr>
    </w:tbl>
    <w:bookmarkEnd w:id="71"/>
    <w:bookmarkStart w:id="72" w:name="X6903d45b859836b3ca7b80a657aa10b0763f5e0"/>
    <w:p>
      <w:pPr>
        <w:pStyle w:val="Heading3"/>
      </w:pPr>
      <w:r>
        <w:t xml:space="preserve">Supplier onboarding playbook and go-to-market</w:t>
      </w:r>
    </w:p>
    <w:p>
      <w:pPr>
        <w:pStyle w:val="FirstParagraph"/>
      </w:pPr>
      <w:r>
        <w:rPr>
          <w:b/>
          <w:bCs/>
        </w:rPr>
        <w:t xml:space="preserve">Supplier onboarding playbook (practical)</w:t>
      </w:r>
      <w:r>
        <w:t xml:space="preserve"> </w:t>
      </w:r>
      <w:r>
        <w:t xml:space="preserve">1) Start with exporters that can comply with permit/COO workflows and post-shipment documentation.</w:t>
      </w:r>
      <w:r>
        <w:t xml:space="preserve"> </w:t>
      </w:r>
      <w:hyperlink r:id="rId22">
        <w:r>
          <w:rPr>
            <w:rStyle w:val="Hyperlink"/>
          </w:rPr>
          <w:t xml:space="preserve">[3]</w:t>
        </w:r>
      </w:hyperlink>
      <w:r>
        <w:br/>
      </w:r>
      <w:r>
        <w:t xml:space="preserve">2) Offer immediate value: “upload once, sell to many buyers,” with compliance pack automation.</w:t>
      </w:r>
      <w:r>
        <w:t xml:space="preserve"> </w:t>
      </w:r>
      <w:hyperlink r:id="rId22">
        <w:r>
          <w:rPr>
            <w:rStyle w:val="Hyperlink"/>
          </w:rPr>
          <w:t xml:space="preserve">[14]</w:t>
        </w:r>
      </w:hyperlink>
      <w:r>
        <w:br/>
      </w:r>
      <w:r>
        <w:t xml:space="preserve">3) Enforce a minimum lot-data contract: category/type, moisture window, sieve/screen info, docs.</w:t>
      </w:r>
      <w:r>
        <w:t xml:space="preserve"> </w:t>
      </w:r>
      <w:hyperlink r:id="rId36">
        <w:r>
          <w:rPr>
            <w:rStyle w:val="Hyperlink"/>
          </w:rPr>
          <w:t xml:space="preserve">[15]</w:t>
        </w:r>
      </w:hyperlink>
      <w:r>
        <w:br/>
      </w:r>
      <w:r>
        <w:t xml:space="preserve">4) Add optional INDICOFS/EUDR fields (geo coordinates) for premium placement.</w:t>
      </w:r>
      <w:r>
        <w:t xml:space="preserve"> </w:t>
      </w:r>
      <w:hyperlink r:id="rId39">
        <w:r>
          <w:rPr>
            <w:rStyle w:val="Hyperlink"/>
          </w:rPr>
          <w:t xml:space="preserve">[48]</w:t>
        </w:r>
      </w:hyperlink>
      <w:r>
        <w:br/>
      </w:r>
      <w:r>
        <w:t xml:space="preserve">5) Run a “first shipment success” program: assisted documentation, buyer acceptance workflow.</w:t>
      </w:r>
    </w:p>
    <w:p>
      <w:pPr>
        <w:pStyle w:val="BodyText"/>
      </w:pPr>
      <w:r>
        <w:rPr>
          <w:b/>
          <w:bCs/>
        </w:rPr>
        <w:t xml:space="preserve">Go-to-market sequencing</w:t>
      </w:r>
      <w:r>
        <w:t xml:space="preserve"> </w:t>
      </w:r>
      <w:r>
        <w:t xml:space="preserve">- Phase 1: B2B roasters and specialty buyers who already import or work with import agents (they can assume importer responsibilities).</w:t>
      </w:r>
      <w:r>
        <w:t xml:space="preserve"> </w:t>
      </w:r>
      <w:hyperlink r:id="rId21">
        <w:r>
          <w:rPr>
            <w:rStyle w:val="Hyperlink"/>
          </w:rPr>
          <w:t xml:space="preserve">[22]</w:t>
        </w:r>
      </w:hyperlink>
      <w:r>
        <w:br/>
      </w:r>
      <w:r>
        <w:t xml:space="preserve">- Phase 2: EU buyers who explicitly want EUDR-ready sourcing data as timelines approach (30 Dec 2026 for large operators).</w:t>
      </w:r>
      <w:r>
        <w:t xml:space="preserve"> </w:t>
      </w:r>
      <w:hyperlink r:id="rId69">
        <w:r>
          <w:rPr>
            <w:rStyle w:val="Hyperlink"/>
          </w:rPr>
          <w:t xml:space="preserve">[49]</w:t>
        </w:r>
      </w:hyperlink>
      <w:r>
        <w:br/>
      </w:r>
      <w:r>
        <w:t xml:space="preserve">- Phase 3: controlled consumer pilot through in-market fulfillment, not parcel dropship (to avoid per-order VAT/customs and deteriorating parcel economics).</w:t>
      </w:r>
      <w:r>
        <w:t xml:space="preserve"> </w:t>
      </w:r>
      <w:hyperlink r:id="rId31">
        <w:r>
          <w:rPr>
            <w:rStyle w:val="Hyperlink"/>
          </w:rPr>
          <w:t xml:space="preserve">[50]</w:t>
        </w:r>
      </w:hyperlink>
    </w:p>
    <w:bookmarkEnd w:id="72"/>
    <w:bookmarkStart w:id="73" w:name="risks-and-mitigations"/>
    <w:p>
      <w:pPr>
        <w:pStyle w:val="Heading3"/>
      </w:pPr>
      <w:r>
        <w:t xml:space="preserve">Risks and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Accidentally becoming importer-of-record</w:t>
            </w:r>
          </w:p>
        </w:tc>
        <w:tc>
          <w:tcPr/>
          <w:p>
            <w:pPr>
              <w:pStyle w:val="Compact"/>
            </w:pPr>
            <w:r>
              <w:t xml:space="preserve">Triggers FSVP or EU labeling/accountability burdens</w:t>
            </w:r>
          </w:p>
        </w:tc>
        <w:tc>
          <w:tcPr/>
          <w:p>
            <w:pPr>
              <w:pStyle w:val="Compact"/>
            </w:pPr>
            <w:r>
              <w:t xml:space="preserve">Contracts + operational controls to keep buyer as consignee/importer where intended</w:t>
            </w:r>
            <w:r>
              <w:t xml:space="preserve"> </w:t>
            </w:r>
            <w:hyperlink r:id="rId21">
              <w:r>
                <w:rPr>
                  <w:rStyle w:val="Hyperlink"/>
                </w:rPr>
                <w:t xml:space="preserve">[1]</w:t>
              </w:r>
            </w:hyperlink>
          </w:p>
        </w:tc>
      </w:tr>
      <w:tr>
        <w:tc>
          <w:tcPr/>
          <w:p>
            <w:pPr>
              <w:pStyle w:val="Compact"/>
            </w:pPr>
            <w:r>
              <w:t xml:space="preserve">Dropship economics deterioration in EU</w:t>
            </w:r>
          </w:p>
        </w:tc>
        <w:tc>
          <w:tcPr/>
          <w:p>
            <w:pPr>
              <w:pStyle w:val="Compact"/>
            </w:pPr>
            <w:r>
              <w:t xml:space="preserve">EU removing €150 duty relief; VAT/customs overhead remains</w:t>
            </w:r>
          </w:p>
        </w:tc>
        <w:tc>
          <w:tcPr/>
          <w:p>
            <w:pPr>
              <w:pStyle w:val="Compact"/>
            </w:pPr>
            <w:r>
              <w:t xml:space="preserve">Don’t build core business on parcel dropship; treat as limited experiment</w:t>
            </w:r>
            <w:r>
              <w:t xml:space="preserve"> </w:t>
            </w:r>
            <w:hyperlink r:id="rId46">
              <w:r>
                <w:rPr>
                  <w:rStyle w:val="Hyperlink"/>
                </w:rPr>
                <w:t xml:space="preserve">[24]</w:t>
              </w:r>
            </w:hyperlink>
          </w:p>
        </w:tc>
      </w:tr>
      <w:tr>
        <w:tc>
          <w:tcPr/>
          <w:p>
            <w:pPr>
              <w:pStyle w:val="Compact"/>
            </w:pPr>
            <w:r>
              <w:t xml:space="preserve">EUDR data gap</w:t>
            </w:r>
          </w:p>
        </w:tc>
        <w:tc>
          <w:tcPr/>
          <w:p>
            <w:pPr>
              <w:pStyle w:val="Compact"/>
            </w:pPr>
            <w:r>
              <w:t xml:space="preserve">Geolocation and evidence requirements are explicit</w:t>
            </w:r>
          </w:p>
        </w:tc>
        <w:tc>
          <w:tcPr/>
          <w:p>
            <w:pPr>
              <w:pStyle w:val="Compact"/>
            </w:pPr>
            <w:r>
              <w:t xml:space="preserve">Design geolocation fields now; incentivize adoption; align roadmap to 2026/2027</w:t>
            </w:r>
            <w:r>
              <w:t xml:space="preserve"> </w:t>
            </w:r>
            <w:hyperlink r:id="rId23">
              <w:r>
                <w:rPr>
                  <w:rStyle w:val="Hyperlink"/>
                </w:rPr>
                <w:t xml:space="preserve">[16]</w:t>
              </w:r>
            </w:hyperlink>
          </w:p>
        </w:tc>
      </w:tr>
      <w:tr>
        <w:tc>
          <w:tcPr/>
          <w:p>
            <w:pPr>
              <w:pStyle w:val="Compact"/>
            </w:pPr>
            <w:r>
              <w:t xml:space="preserve">Quality inconsistency hurts trust</w:t>
            </w:r>
          </w:p>
        </w:tc>
        <w:tc>
          <w:tcPr/>
          <w:p>
            <w:pPr>
              <w:pStyle w:val="Compact"/>
            </w:pPr>
            <w:r>
              <w:t xml:space="preserve">Coffee quality specs vary by category (e.g., monsooned moisture range)</w:t>
            </w:r>
          </w:p>
        </w:tc>
        <w:tc>
          <w:tcPr/>
          <w:p>
            <w:pPr>
              <w:pStyle w:val="Compact"/>
            </w:pPr>
            <w:r>
              <w:t xml:space="preserve">Enforce Coffee Board moisture windows and grade specs; track disputes by lot/supplier</w:t>
            </w:r>
            <w:r>
              <w:t xml:space="preserve"> </w:t>
            </w:r>
            <w:hyperlink r:id="rId36">
              <w:r>
                <w:rPr>
                  <w:rStyle w:val="Hyperlink"/>
                </w:rPr>
                <w:t xml:space="preserve">[51]</w:t>
              </w:r>
            </w:hyperlink>
          </w:p>
        </w:tc>
      </w:tr>
      <w:tr>
        <w:tc>
          <w:tcPr/>
          <w:p>
            <w:pPr>
              <w:pStyle w:val="Compact"/>
            </w:pPr>
            <w:r>
              <w:t xml:space="preserve">Recall/incident readiness</w:t>
            </w:r>
          </w:p>
        </w:tc>
        <w:tc>
          <w:tcPr/>
          <w:p>
            <w:pPr>
              <w:pStyle w:val="Compact"/>
            </w:pPr>
            <w:r>
              <w:t xml:space="preserve">EU requires withdrawal/recall cooperation</w:t>
            </w:r>
          </w:p>
        </w:tc>
        <w:tc>
          <w:tcPr/>
          <w:p>
            <w:pPr>
              <w:pStyle w:val="Compact"/>
            </w:pPr>
            <w:r>
              <w:t xml:space="preserve">Lot-incident workflow, quarantine, downstream notifications</w:t>
            </w:r>
            <w:r>
              <w:t xml:space="preserve"> </w:t>
            </w:r>
            <w:hyperlink r:id="rId53">
              <w:r>
                <w:rPr>
                  <w:rStyle w:val="Hyperlink"/>
                </w:rPr>
                <w:t xml:space="preserve">[52]</w:t>
              </w:r>
            </w:hyperlink>
          </w:p>
        </w:tc>
      </w:tr>
    </w:tbl>
    <w:bookmarkEnd w:id="73"/>
    <w:bookmarkStart w:id="74" w:name="cashflowtiming-chart"/>
    <w:p>
      <w:pPr>
        <w:pStyle w:val="Heading3"/>
      </w:pPr>
      <w:r>
        <w:t xml:space="preserve">Cashflow/timing chart</w:t>
      </w:r>
    </w:p>
    <w:p>
      <w:pPr>
        <w:pStyle w:val="FirstParagraph"/>
      </w:pPr>
      <w:r>
        <w:t xml:space="preserve">Illustrative (relative) showing why charge-on-order is usually the best “no-inventory, low-cash” starting posture.</w:t>
      </w:r>
    </w:p>
    <w:p>
      <w:pPr>
        <w:pStyle w:val="SourceCode"/>
      </w:pPr>
      <w:r>
        <w:rPr>
          <w:rStyle w:val="VerbatimChar"/>
        </w:rPr>
        <w:t xml:space="preserve">xychart-beta</w:t>
      </w:r>
      <w:r>
        <w:br/>
      </w:r>
      <w:r>
        <w:rPr>
          <w:rStyle w:val="VerbatimChar"/>
        </w:rPr>
        <w:t xml:space="preserve">  title "Illustrative net cash timing by model (relative, not to scale)"</w:t>
      </w:r>
      <w:r>
        <w:br/>
      </w:r>
      <w:r>
        <w:rPr>
          <w:rStyle w:val="VerbatimChar"/>
        </w:rPr>
        <w:t xml:space="preserve">  x-axis ["Order day","Week 1","Week 2","Week 4","Week 8"]</w:t>
      </w:r>
      <w:r>
        <w:br/>
      </w:r>
      <w:r>
        <w:rPr>
          <w:rStyle w:val="VerbatimChar"/>
        </w:rPr>
        <w:t xml:space="preserve">  y-axis "Relative net cash" -10 --&gt; 10</w:t>
      </w:r>
      <w:r>
        <w:br/>
      </w:r>
      <w:r>
        <w:rPr>
          <w:rStyle w:val="VerbatimChar"/>
        </w:rPr>
        <w:t xml:space="preserve">  line "Charge-on-order marketplace" [3,5,5,4,4]</w:t>
      </w:r>
      <w:r>
        <w:br/>
      </w:r>
      <w:r>
        <w:rPr>
          <w:rStyle w:val="VerbatimChar"/>
        </w:rPr>
        <w:t xml:space="preserve">  line "Dropship" [2,-2,-1,1,0]</w:t>
      </w:r>
      <w:r>
        <w:br/>
      </w:r>
      <w:r>
        <w:rPr>
          <w:rStyle w:val="VerbatimChar"/>
        </w:rPr>
        <w:t xml:space="preserve">  line "Consignment/in-market" [-6,-4,-1,2,3]</w:t>
      </w:r>
    </w:p>
    <w:p>
      <w:pPr>
        <w:pStyle w:val="FirstParagraph"/>
      </w:pPr>
      <w:r>
        <w:rPr>
          <w:b/>
          <w:bCs/>
        </w:rPr>
        <w:t xml:space="preserve">Bottom line:</w:t>
      </w:r>
      <w:r>
        <w:t xml:space="preserve"> </w:t>
      </w:r>
      <w:r>
        <w:t xml:space="preserve">the “final app” should look like a</w:t>
      </w:r>
      <w:r>
        <w:t xml:space="preserve"> </w:t>
      </w:r>
      <w:r>
        <w:rPr>
          <w:b/>
          <w:bCs/>
        </w:rPr>
        <w:t xml:space="preserve">three-sided trade network</w:t>
      </w:r>
      <w:r>
        <w:t xml:space="preserve"> </w:t>
      </w:r>
      <w:r>
        <w:t xml:space="preserve">(supplier portal + B2B buyer portal + consumer app later) built on a</w:t>
      </w:r>
      <w:r>
        <w:t xml:space="preserve"> </w:t>
      </w:r>
      <w:r>
        <w:rPr>
          <w:b/>
          <w:bCs/>
        </w:rPr>
        <w:t xml:space="preserve">lot ledger</w:t>
      </w:r>
      <w:r>
        <w:t xml:space="preserve"> </w:t>
      </w:r>
      <w:r>
        <w:t xml:space="preserve">that makes documentation, QC and traceability first-class. You can start with</w:t>
      </w:r>
      <w:r>
        <w:t xml:space="preserve"> </w:t>
      </w:r>
      <w:r>
        <w:rPr>
          <w:b/>
          <w:bCs/>
        </w:rPr>
        <w:t xml:space="preserve">minimal founder cash outlay</w:t>
      </w:r>
      <w:r>
        <w:t xml:space="preserve"> </w:t>
      </w:r>
      <w:r>
        <w:t xml:space="preserve">by launching as a</w:t>
      </w:r>
      <w:r>
        <w:t xml:space="preserve"> </w:t>
      </w:r>
      <w:r>
        <w:rPr>
          <w:b/>
          <w:bCs/>
        </w:rPr>
        <w:t xml:space="preserve">charge-on-order B2B marketplace</w:t>
      </w:r>
      <w:r>
        <w:t xml:space="preserve"> </w:t>
      </w:r>
      <w:r>
        <w:t xml:space="preserve">(commission on executed categories) and avoiding inventory/importer roles; then you add consignment/in-market fulfillment after traction, while treating dropship India→consumer as a constrained experiment rather than the backbone—especially given EU VAT/customs mechanics and the removal of €150 customs duty relief for small parcels.</w:t>
      </w:r>
      <w:r>
        <w:t xml:space="preserve"> </w:t>
      </w:r>
      <w:hyperlink r:id="rId31">
        <w:r>
          <w:rPr>
            <w:rStyle w:val="Hyperlink"/>
          </w:rPr>
          <w:t xml:space="preserve">[53]</w:t>
        </w:r>
      </w:hyperlink>
    </w:p>
    <w:bookmarkEnd w:id="74"/>
    <w:bookmarkEnd w:id="75"/>
    <w:bookmarkEnd w:id="76"/>
    <w:bookmarkEnd w:id="77"/>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[22]</w:t>
        </w:r>
      </w:hyperlink>
      <w:r>
        <w:t xml:space="preserve"> </w:t>
      </w:r>
      <w:r>
        <w:t xml:space="preserve">https://www.fda.gov/food/food-safety-modernization-act-fsma/final-rule-foreign-supplier-verification-programs-fsvp-glance</w:t>
      </w:r>
    </w:p>
    <w:p>
      <w:pPr>
        <w:pStyle w:val="BodyText"/>
      </w:pPr>
      <w:hyperlink r:id="rId21">
        <w:r>
          <w:rPr>
            <w:rStyle w:val="Hyperlink"/>
          </w:rPr>
          <w:t xml:space="preserve">https://www.fda.gov/food/food-safety-modernization-act-fsma/final-rule-foreign-supplier-verification-programs-fsvp-glance</w:t>
        </w:r>
      </w:hyperlink>
    </w:p>
    <w:p>
      <w:pPr>
        <w:pStyle w:val="BodyText"/>
      </w:pPr>
      <w:hyperlink r:id="rId22">
        <w:r>
          <w:rPr>
            <w:rStyle w:val="Hyperlink"/>
          </w:rPr>
          <w:t xml:space="preserve">[3]</w:t>
        </w:r>
      </w:hyperlink>
      <w:r>
        <w:t xml:space="preserve"> </w:t>
      </w:r>
      <w:hyperlink r:id="rId22">
        <w:r>
          <w:rPr>
            <w:rStyle w:val="Hyperlink"/>
          </w:rPr>
          <w:t xml:space="preserve">[9]</w:t>
        </w:r>
      </w:hyperlink>
      <w:r>
        <w:t xml:space="preserve"> </w:t>
      </w:r>
      <w:hyperlink r:id="rId22">
        <w:r>
          <w:rPr>
            <w:rStyle w:val="Hyperlink"/>
          </w:rPr>
          <w:t xml:space="preserve">[12]</w:t>
        </w:r>
      </w:hyperlink>
      <w:r>
        <w:t xml:space="preserve"> </w:t>
      </w:r>
      <w:hyperlink r:id="rId22">
        <w:r>
          <w:rPr>
            <w:rStyle w:val="Hyperlink"/>
          </w:rPr>
          <w:t xml:space="preserve">[14]</w:t>
        </w:r>
      </w:hyperlink>
      <w:r>
        <w:t xml:space="preserve"> </w:t>
      </w:r>
      <w:hyperlink r:id="rId22">
        <w:r>
          <w:rPr>
            <w:rStyle w:val="Hyperlink"/>
          </w:rPr>
          <w:t xml:space="preserve">[39]</w:t>
        </w:r>
      </w:hyperlink>
      <w:r>
        <w:t xml:space="preserve"> </w:t>
      </w:r>
      <w:hyperlink r:id="rId22">
        <w:r>
          <w:rPr>
            <w:rStyle w:val="Hyperlink"/>
          </w:rPr>
          <w:t xml:space="preserve">[41]</w:t>
        </w:r>
      </w:hyperlink>
      <w:r>
        <w:t xml:space="preserve"> </w:t>
      </w:r>
      <w:hyperlink r:id="rId22">
        <w:r>
          <w:rPr>
            <w:rStyle w:val="Hyperlink"/>
          </w:rPr>
          <w:t xml:space="preserve">[45]</w:t>
        </w:r>
      </w:hyperlink>
      <w:r>
        <w:t xml:space="preserve"> </w:t>
      </w:r>
      <w:hyperlink r:id="rId22">
        <w:r>
          <w:rPr>
            <w:rStyle w:val="Hyperlink"/>
          </w:rPr>
          <w:t xml:space="preserve">[47]</w:t>
        </w:r>
      </w:hyperlink>
      <w:r>
        <w:t xml:space="preserve"> </w:t>
      </w:r>
      <w:r>
        <w:t xml:space="preserve">https://coffeeboard.gov.in/Exporter.aspx</w:t>
      </w:r>
    </w:p>
    <w:p>
      <w:pPr>
        <w:pStyle w:val="BodyText"/>
      </w:pPr>
      <w:hyperlink r:id="rId22">
        <w:r>
          <w:rPr>
            <w:rStyle w:val="Hyperlink"/>
          </w:rPr>
          <w:t xml:space="preserve">https://coffeeboard.gov.in/Exporter.aspx</w:t>
        </w:r>
      </w:hyperlink>
    </w:p>
    <w:p>
      <w:pPr>
        <w:pStyle w:val="BodyText"/>
      </w:pPr>
      <w:hyperlink r:id="rId23">
        <w:r>
          <w:rPr>
            <w:rStyle w:val="Hyperlink"/>
          </w:rPr>
          <w:t xml:space="preserve">[4]</w:t>
        </w:r>
      </w:hyperlink>
      <w:r>
        <w:t xml:space="preserve"> </w:t>
      </w:r>
      <w:hyperlink r:id="rId23">
        <w:r>
          <w:rPr>
            <w:rStyle w:val="Hyperlink"/>
          </w:rPr>
          <w:t xml:space="preserve">[7]</w:t>
        </w:r>
      </w:hyperlink>
      <w:r>
        <w:t xml:space="preserve"> </w:t>
      </w:r>
      <w:hyperlink r:id="rId23">
        <w:r>
          <w:rPr>
            <w:rStyle w:val="Hyperlink"/>
          </w:rPr>
          <w:t xml:space="preserve">[16]</w:t>
        </w:r>
      </w:hyperlink>
      <w:r>
        <w:t xml:space="preserve"> </w:t>
      </w:r>
      <w:hyperlink r:id="rId23">
        <w:r>
          <w:rPr>
            <w:rStyle w:val="Hyperlink"/>
          </w:rPr>
          <w:t xml:space="preserve">[20]</w:t>
        </w:r>
      </w:hyperlink>
      <w:r>
        <w:t xml:space="preserve"> </w:t>
      </w:r>
      <w:r>
        <w:t xml:space="preserve">https://eur-lex.europa.eu/legal-content/EN/TXT/PDF/?uri=CELEX%3A32023R1115</w:t>
      </w:r>
    </w:p>
    <w:p>
      <w:pPr>
        <w:pStyle w:val="BodyText"/>
      </w:pPr>
      <w:hyperlink r:id="rId23">
        <w:r>
          <w:rPr>
            <w:rStyle w:val="Hyperlink"/>
          </w:rPr>
          <w:t xml:space="preserve">https://eur-lex.europa.eu/legal-content/EN/TXT/PDF/?uri=CELEX%3A32023R1115</w:t>
        </w:r>
      </w:hyperlink>
    </w:p>
    <w:p>
      <w:pPr>
        <w:pStyle w:val="BodyText"/>
      </w:pPr>
      <w:hyperlink r:id="rId24">
        <w:r>
          <w:rPr>
            <w:rStyle w:val="Hyperlink"/>
          </w:rPr>
          <w:t xml:space="preserve">[5]</w:t>
        </w:r>
      </w:hyperlink>
      <w:r>
        <w:t xml:space="preserve"> </w:t>
      </w:r>
      <w:hyperlink r:id="rId24">
        <w:r>
          <w:rPr>
            <w:rStyle w:val="Hyperlink"/>
          </w:rPr>
          <w:t xml:space="preserve">[23]</w:t>
        </w:r>
      </w:hyperlink>
      <w:r>
        <w:t xml:space="preserve"> </w:t>
      </w:r>
      <w:hyperlink r:id="rId24">
        <w:r>
          <w:rPr>
            <w:rStyle w:val="Hyperlink"/>
          </w:rPr>
          <w:t xml:space="preserve">[26]</w:t>
        </w:r>
      </w:hyperlink>
      <w:r>
        <w:t xml:space="preserve"> </w:t>
      </w:r>
      <w:hyperlink r:id="rId24">
        <w:r>
          <w:rPr>
            <w:rStyle w:val="Hyperlink"/>
          </w:rPr>
          <w:t xml:space="preserve">[42]</w:t>
        </w:r>
      </w:hyperlink>
      <w:r>
        <w:t xml:space="preserve"> </w:t>
      </w:r>
      <w:r>
        <w:t xml:space="preserve">https://www.fda.gov/industry/prior-notice-imported-foods/filing-prior-notice-imported-foods</w:t>
      </w:r>
    </w:p>
    <w:p>
      <w:pPr>
        <w:pStyle w:val="BodyText"/>
      </w:pPr>
      <w:hyperlink r:id="rId24">
        <w:r>
          <w:rPr>
            <w:rStyle w:val="Hyperlink"/>
          </w:rPr>
          <w:t xml:space="preserve">https://www.fda.gov/industry/prior-notice-imported-foods/filing-prior-notice-imported-foods</w:t>
        </w:r>
      </w:hyperlink>
    </w:p>
    <w:p>
      <w:pPr>
        <w:pStyle w:val="BodyText"/>
      </w:pPr>
      <w:hyperlink r:id="rId25">
        <w:r>
          <w:rPr>
            <w:rStyle w:val="Hyperlink"/>
          </w:rPr>
          <w:t xml:space="preserve">[6]</w:t>
        </w:r>
      </w:hyperlink>
      <w:r>
        <w:t xml:space="preserve"> </w:t>
      </w:r>
      <w:hyperlink r:id="rId25">
        <w:r>
          <w:rPr>
            <w:rStyle w:val="Hyperlink"/>
          </w:rPr>
          <w:t xml:space="preserve">[27]</w:t>
        </w:r>
      </w:hyperlink>
      <w:r>
        <w:t xml:space="preserve"> </w:t>
      </w:r>
      <w:r>
        <w:t xml:space="preserve">https://www.fda.gov/food/online-registration-food-facilities/food-facility-registration-user-guide-biennial-registration-renewal</w:t>
      </w:r>
    </w:p>
    <w:p>
      <w:pPr>
        <w:pStyle w:val="BodyText"/>
      </w:pPr>
      <w:hyperlink r:id="rId25">
        <w:r>
          <w:rPr>
            <w:rStyle w:val="Hyperlink"/>
          </w:rPr>
          <w:t xml:space="preserve">https://www.fda.gov/food/online-registration-food-facilities/food-facility-registration-user-guide-biennial-registration-renewal</w:t>
        </w:r>
      </w:hyperlink>
    </w:p>
    <w:p>
      <w:pPr>
        <w:pStyle w:val="BodyText"/>
      </w:pPr>
      <w:hyperlink r:id="rId31">
        <w:r>
          <w:rPr>
            <w:rStyle w:val="Hyperlink"/>
          </w:rPr>
          <w:t xml:space="preserve">[8]</w:t>
        </w:r>
      </w:hyperlink>
      <w:r>
        <w:t xml:space="preserve"> </w:t>
      </w:r>
      <w:hyperlink r:id="rId31">
        <w:r>
          <w:rPr>
            <w:rStyle w:val="Hyperlink"/>
          </w:rPr>
          <w:t xml:space="preserve">[33]</w:t>
        </w:r>
      </w:hyperlink>
      <w:r>
        <w:t xml:space="preserve"> </w:t>
      </w:r>
      <w:hyperlink r:id="rId31">
        <w:r>
          <w:rPr>
            <w:rStyle w:val="Hyperlink"/>
          </w:rPr>
          <w:t xml:space="preserve">[44]</w:t>
        </w:r>
      </w:hyperlink>
      <w:r>
        <w:t xml:space="preserve"> </w:t>
      </w:r>
      <w:hyperlink r:id="rId31">
        <w:r>
          <w:rPr>
            <w:rStyle w:val="Hyperlink"/>
          </w:rPr>
          <w:t xml:space="preserve">[50]</w:t>
        </w:r>
      </w:hyperlink>
      <w:r>
        <w:t xml:space="preserve"> </w:t>
      </w:r>
      <w:hyperlink r:id="rId31">
        <w:r>
          <w:rPr>
            <w:rStyle w:val="Hyperlink"/>
          </w:rPr>
          <w:t xml:space="preserve">[53]</w:t>
        </w:r>
      </w:hyperlink>
      <w:r>
        <w:t xml:space="preserve"> </w:t>
      </w:r>
      <w:r>
        <w:t xml:space="preserve">https://vat-one-stop-shop.ec.europa.eu/index_en</w:t>
      </w:r>
    </w:p>
    <w:p>
      <w:pPr>
        <w:pStyle w:val="BodyText"/>
      </w:pPr>
      <w:hyperlink r:id="rId31">
        <w:r>
          <w:rPr>
            <w:rStyle w:val="Hyperlink"/>
          </w:rPr>
          <w:t xml:space="preserve">https://vat-one-stop-shop.ec.europa.eu/index_en</w:t>
        </w:r>
      </w:hyperlink>
    </w:p>
    <w:p>
      <w:pPr>
        <w:pStyle w:val="BodyText"/>
      </w:pPr>
      <w:hyperlink r:id="rId33">
        <w:r>
          <w:rPr>
            <w:rStyle w:val="Hyperlink"/>
          </w:rPr>
          <w:t xml:space="preserve">[10]</w:t>
        </w:r>
      </w:hyperlink>
      <w:r>
        <w:t xml:space="preserve"> </w:t>
      </w:r>
      <w:r>
        <w:t xml:space="preserve">https://iccwbo.org/business-solutions/incoterms-rules/incoterms-2020/</w:t>
      </w:r>
    </w:p>
    <w:p>
      <w:pPr>
        <w:pStyle w:val="BodyText"/>
      </w:pPr>
      <w:hyperlink r:id="rId33">
        <w:r>
          <w:rPr>
            <w:rStyle w:val="Hyperlink"/>
          </w:rPr>
          <w:t xml:space="preserve">https://iccwbo.org/business-solutions/incoterms-rules/incoterms-2020/</w:t>
        </w:r>
      </w:hyperlink>
    </w:p>
    <w:p>
      <w:pPr>
        <w:pStyle w:val="BodyText"/>
      </w:pPr>
      <w:hyperlink r:id="rId34">
        <w:r>
          <w:rPr>
            <w:rStyle w:val="Hyperlink"/>
          </w:rPr>
          <w:t xml:space="preserve">[11]</w:t>
        </w:r>
      </w:hyperlink>
      <w:r>
        <w:t xml:space="preserve"> </w:t>
      </w:r>
      <w:hyperlink r:id="rId34">
        <w:r>
          <w:rPr>
            <w:rStyle w:val="Hyperlink"/>
          </w:rPr>
          <w:t xml:space="preserve">[28]</w:t>
        </w:r>
      </w:hyperlink>
      <w:r>
        <w:t xml:space="preserve"> </w:t>
      </w:r>
      <w:r>
        <w:t xml:space="preserve">https://www.legislation.gov.uk/eur/2002/178/article/18</w:t>
      </w:r>
    </w:p>
    <w:p>
      <w:pPr>
        <w:pStyle w:val="BodyText"/>
      </w:pPr>
      <w:hyperlink r:id="rId34">
        <w:r>
          <w:rPr>
            <w:rStyle w:val="Hyperlink"/>
          </w:rPr>
          <w:t xml:space="preserve">https://www.legislation.gov.uk/eur/2002/178/article/18</w:t>
        </w:r>
      </w:hyperlink>
    </w:p>
    <w:p>
      <w:pPr>
        <w:pStyle w:val="BodyText"/>
      </w:pPr>
      <w:hyperlink r:id="rId36">
        <w:r>
          <w:rPr>
            <w:rStyle w:val="Hyperlink"/>
          </w:rPr>
          <w:t xml:space="preserve">[13]</w:t>
        </w:r>
      </w:hyperlink>
      <w:r>
        <w:t xml:space="preserve"> </w:t>
      </w:r>
      <w:hyperlink r:id="rId36">
        <w:r>
          <w:rPr>
            <w:rStyle w:val="Hyperlink"/>
          </w:rPr>
          <w:t xml:space="preserve">[15]</w:t>
        </w:r>
      </w:hyperlink>
      <w:r>
        <w:t xml:space="preserve"> </w:t>
      </w:r>
      <w:hyperlink r:id="rId36">
        <w:r>
          <w:rPr>
            <w:rStyle w:val="Hyperlink"/>
          </w:rPr>
          <w:t xml:space="preserve">[17]</w:t>
        </w:r>
      </w:hyperlink>
      <w:r>
        <w:t xml:space="preserve"> </w:t>
      </w:r>
      <w:hyperlink r:id="rId36">
        <w:r>
          <w:rPr>
            <w:rStyle w:val="Hyperlink"/>
          </w:rPr>
          <w:t xml:space="preserve">[36]</w:t>
        </w:r>
      </w:hyperlink>
      <w:r>
        <w:t xml:space="preserve"> </w:t>
      </w:r>
      <w:hyperlink r:id="rId36">
        <w:r>
          <w:rPr>
            <w:rStyle w:val="Hyperlink"/>
          </w:rPr>
          <w:t xml:space="preserve">[38]</w:t>
        </w:r>
      </w:hyperlink>
      <w:r>
        <w:t xml:space="preserve"> </w:t>
      </w:r>
      <w:hyperlink r:id="rId36">
        <w:r>
          <w:rPr>
            <w:rStyle w:val="Hyperlink"/>
          </w:rPr>
          <w:t xml:space="preserve">[51]</w:t>
        </w:r>
      </w:hyperlink>
      <w:r>
        <w:t xml:space="preserve"> </w:t>
      </w:r>
      <w:r>
        <w:t xml:space="preserve">https://coffeeboard.gov.in/Indian%20Coffee/coffee%20karma.pdf</w:t>
      </w:r>
    </w:p>
    <w:p>
      <w:pPr>
        <w:pStyle w:val="BodyText"/>
      </w:pPr>
      <w:hyperlink r:id="rId36">
        <w:r>
          <w:rPr>
            <w:rStyle w:val="Hyperlink"/>
          </w:rPr>
          <w:t xml:space="preserve">https://coffeeboard.gov.in/Indian%20Coffee/coffee%20karma.pdf</w:t>
        </w:r>
      </w:hyperlink>
    </w:p>
    <w:p>
      <w:pPr>
        <w:pStyle w:val="BodyText"/>
      </w:pPr>
      <w:hyperlink r:id="rId39">
        <w:r>
          <w:rPr>
            <w:rStyle w:val="Hyperlink"/>
          </w:rPr>
          <w:t xml:space="preserve">[18]</w:t>
        </w:r>
      </w:hyperlink>
      <w:r>
        <w:t xml:space="preserve"> </w:t>
      </w:r>
      <w:hyperlink r:id="rId39">
        <w:r>
          <w:rPr>
            <w:rStyle w:val="Hyperlink"/>
          </w:rPr>
          <w:t xml:space="preserve">[19]</w:t>
        </w:r>
      </w:hyperlink>
      <w:r>
        <w:t xml:space="preserve"> </w:t>
      </w:r>
      <w:hyperlink r:id="rId39">
        <w:r>
          <w:rPr>
            <w:rStyle w:val="Hyperlink"/>
          </w:rPr>
          <w:t xml:space="preserve">[48]</w:t>
        </w:r>
      </w:hyperlink>
      <w:r>
        <w:t xml:space="preserve"> </w:t>
      </w:r>
      <w:r>
        <w:t xml:space="preserve">https://coffeeboard.gov.in/Indian%20Coffee/Indian%20Coffee%20Sustainability%20Standard%20%20Certification%20Scheme.pdf</w:t>
      </w:r>
    </w:p>
    <w:p>
      <w:pPr>
        <w:pStyle w:val="BodyText"/>
      </w:pPr>
      <w:hyperlink r:id="rId39">
        <w:r>
          <w:rPr>
            <w:rStyle w:val="Hyperlink"/>
          </w:rPr>
          <w:t xml:space="preserve">https://coffeeboard.gov.in/Indian%20Coffee/Indian%20Coffee%20Sustainability%20Standard%20%20Certification%20Scheme.pdf</w:t>
        </w:r>
      </w:hyperlink>
    </w:p>
    <w:p>
      <w:pPr>
        <w:pStyle w:val="BodyText"/>
      </w:pPr>
      <w:hyperlink r:id="rId42">
        <w:r>
          <w:rPr>
            <w:rStyle w:val="Hyperlink"/>
          </w:rPr>
          <w:t xml:space="preserve">[21]</w:t>
        </w:r>
      </w:hyperlink>
      <w:r>
        <w:t xml:space="preserve"> </w:t>
      </w:r>
      <w:hyperlink r:id="rId42">
        <w:r>
          <w:rPr>
            <w:rStyle w:val="Hyperlink"/>
          </w:rPr>
          <w:t xml:space="preserve">[30]</w:t>
        </w:r>
      </w:hyperlink>
      <w:r>
        <w:t xml:space="preserve"> </w:t>
      </w:r>
      <w:r>
        <w:t xml:space="preserve">https://eur-lex.europa.eu/legal-content/EN/TXT/HTML/?uri=CELEX%3A02011R1169-20180101</w:t>
      </w:r>
    </w:p>
    <w:p>
      <w:pPr>
        <w:pStyle w:val="BodyText"/>
      </w:pPr>
      <w:hyperlink r:id="rId42">
        <w:r>
          <w:rPr>
            <w:rStyle w:val="Hyperlink"/>
          </w:rPr>
          <w:t xml:space="preserve">https://eur-lex.europa.eu/legal-content/EN/TXT/HTML/?uri=CELEX%3A02011R1169-20180101</w:t>
        </w:r>
      </w:hyperlink>
    </w:p>
    <w:p>
      <w:pPr>
        <w:pStyle w:val="BodyText"/>
      </w:pPr>
      <w:hyperlink r:id="rId46">
        <w:r>
          <w:rPr>
            <w:rStyle w:val="Hyperlink"/>
          </w:rPr>
          <w:t xml:space="preserve">[24]</w:t>
        </w:r>
      </w:hyperlink>
      <w:r>
        <w:t xml:space="preserve"> </w:t>
      </w:r>
      <w:r>
        <w:t xml:space="preserve">https://taxation-customs.ec.europa.eu/news/e-commerce-150-eur-customs-duty-exemption-threshold-be-removed-2026-2025-11-13_en</w:t>
      </w:r>
    </w:p>
    <w:p>
      <w:pPr>
        <w:pStyle w:val="BodyText"/>
      </w:pPr>
      <w:hyperlink r:id="rId46">
        <w:r>
          <w:rPr>
            <w:rStyle w:val="Hyperlink"/>
          </w:rPr>
          <w:t xml:space="preserve">https://taxation-customs.ec.europa.eu/news/e-commerce-150-eur-customs-duty-exemption-threshold-be-removed-2026-2025-11-13_en</w:t>
        </w:r>
      </w:hyperlink>
    </w:p>
    <w:p>
      <w:pPr>
        <w:pStyle w:val="BodyText"/>
      </w:pPr>
      <w:hyperlink r:id="rId47">
        <w:r>
          <w:rPr>
            <w:rStyle w:val="Hyperlink"/>
          </w:rPr>
          <w:t xml:space="preserve">[25]</w:t>
        </w:r>
      </w:hyperlink>
      <w:r>
        <w:t xml:space="preserve"> </w:t>
      </w:r>
      <w:hyperlink r:id="rId47">
        <w:r>
          <w:rPr>
            <w:rStyle w:val="Hyperlink"/>
          </w:rPr>
          <w:t xml:space="preserve">[35]</w:t>
        </w:r>
      </w:hyperlink>
      <w:r>
        <w:t xml:space="preserve"> </w:t>
      </w:r>
      <w:hyperlink r:id="rId47">
        <w:r>
          <w:rPr>
            <w:rStyle w:val="Hyperlink"/>
          </w:rPr>
          <w:t xml:space="preserve">[43]</w:t>
        </w:r>
      </w:hyperlink>
      <w:r>
        <w:t xml:space="preserve"> </w:t>
      </w:r>
      <w:r>
        <w:t xml:space="preserve">https://taxation-customs.ec.europa.eu/customs/customs-procedures-import-and-export/customs-operations/economic-operators-registration-and-identification-number-eori_en</w:t>
      </w:r>
    </w:p>
    <w:p>
      <w:pPr>
        <w:pStyle w:val="BodyText"/>
      </w:pPr>
      <w:hyperlink r:id="rId47">
        <w:r>
          <w:rPr>
            <w:rStyle w:val="Hyperlink"/>
          </w:rPr>
          <w:t xml:space="preserve">https://taxation-customs.ec.europa.eu/customs/customs-procedures-import-and-export/customs-operations/economic-operators-registration-and-identification-number-eori_en</w:t>
        </w:r>
      </w:hyperlink>
    </w:p>
    <w:p>
      <w:pPr>
        <w:pStyle w:val="BodyText"/>
      </w:pPr>
      <w:hyperlink r:id="rId53">
        <w:r>
          <w:rPr>
            <w:rStyle w:val="Hyperlink"/>
          </w:rPr>
          <w:t xml:space="preserve">[29]</w:t>
        </w:r>
      </w:hyperlink>
      <w:r>
        <w:t xml:space="preserve"> </w:t>
      </w:r>
      <w:hyperlink r:id="rId53">
        <w:r>
          <w:rPr>
            <w:rStyle w:val="Hyperlink"/>
          </w:rPr>
          <w:t xml:space="preserve">[40]</w:t>
        </w:r>
      </w:hyperlink>
      <w:r>
        <w:t xml:space="preserve"> </w:t>
      </w:r>
      <w:hyperlink r:id="rId53">
        <w:r>
          <w:rPr>
            <w:rStyle w:val="Hyperlink"/>
          </w:rPr>
          <w:t xml:space="preserve">[52]</w:t>
        </w:r>
      </w:hyperlink>
      <w:r>
        <w:t xml:space="preserve"> </w:t>
      </w:r>
      <w:r>
        <w:t xml:space="preserve">https://www.legislation.gov.uk/eur/2002/178/article/19</w:t>
      </w:r>
    </w:p>
    <w:p>
      <w:pPr>
        <w:pStyle w:val="BodyText"/>
      </w:pPr>
      <w:hyperlink r:id="rId53">
        <w:r>
          <w:rPr>
            <w:rStyle w:val="Hyperlink"/>
          </w:rPr>
          <w:t xml:space="preserve">https://www.legislation.gov.uk/eur/2002/178/article/19</w:t>
        </w:r>
      </w:hyperlink>
    </w:p>
    <w:p>
      <w:pPr>
        <w:pStyle w:val="BodyText"/>
      </w:pPr>
      <w:hyperlink r:id="rId54">
        <w:r>
          <w:rPr>
            <w:rStyle w:val="Hyperlink"/>
          </w:rPr>
          <w:t xml:space="preserve">[31]</w:t>
        </w:r>
      </w:hyperlink>
      <w:r>
        <w:t xml:space="preserve"> </w:t>
      </w:r>
      <w:r>
        <w:t xml:space="preserve">https://www.legislation.gov.uk/eur/2004/852/article/5</w:t>
      </w:r>
    </w:p>
    <w:p>
      <w:pPr>
        <w:pStyle w:val="BodyText"/>
      </w:pPr>
      <w:hyperlink r:id="rId54">
        <w:r>
          <w:rPr>
            <w:rStyle w:val="Hyperlink"/>
          </w:rPr>
          <w:t xml:space="preserve">https://www.legislation.gov.uk/eur/2004/852/article/5</w:t>
        </w:r>
      </w:hyperlink>
    </w:p>
    <w:p>
      <w:pPr>
        <w:pStyle w:val="BodyText"/>
      </w:pPr>
      <w:hyperlink r:id="rId55">
        <w:r>
          <w:rPr>
            <w:rStyle w:val="Hyperlink"/>
          </w:rPr>
          <w:t xml:space="preserve">[32]</w:t>
        </w:r>
      </w:hyperlink>
      <w:r>
        <w:t xml:space="preserve"> </w:t>
      </w:r>
      <w:r>
        <w:t xml:space="preserve">https://eur-lex.europa.eu/legal-content/EN/TXT/PDF/?uri=CELEX%3A02017R0625-20211028</w:t>
      </w:r>
    </w:p>
    <w:p>
      <w:pPr>
        <w:pStyle w:val="BodyText"/>
      </w:pPr>
      <w:hyperlink r:id="rId55">
        <w:r>
          <w:rPr>
            <w:rStyle w:val="Hyperlink"/>
          </w:rPr>
          <w:t xml:space="preserve">https://eur-lex.europa.eu/legal-content/EN/TXT/PDF/?uri=CELEX%3A02017R0625-20211028</w:t>
        </w:r>
      </w:hyperlink>
    </w:p>
    <w:p>
      <w:pPr>
        <w:pStyle w:val="BodyText"/>
      </w:pPr>
      <w:hyperlink r:id="rId57">
        <w:r>
          <w:rPr>
            <w:rStyle w:val="Hyperlink"/>
          </w:rPr>
          <w:t xml:space="preserve">[34]</w:t>
        </w:r>
      </w:hyperlink>
      <w:r>
        <w:t xml:space="preserve"> </w:t>
      </w:r>
      <w:r>
        <w:t xml:space="preserve">https://vat-one-stop-shop.ec.europa.eu/system/files/2022-01/guidance_on_import_and_export_of_low_value_consignments_en.pdf</w:t>
      </w:r>
    </w:p>
    <w:p>
      <w:pPr>
        <w:pStyle w:val="BodyText"/>
      </w:pPr>
      <w:hyperlink r:id="rId57">
        <w:r>
          <w:rPr>
            <w:rStyle w:val="Hyperlink"/>
          </w:rPr>
          <w:t xml:space="preserve">https://vat-one-stop-shop.ec.europa.eu/system/files/2022-01/guidance_on_import_and_export_of_low_value_consignments_en.pdf</w:t>
        </w:r>
      </w:hyperlink>
    </w:p>
    <w:p>
      <w:pPr>
        <w:pStyle w:val="BodyText"/>
      </w:pPr>
      <w:hyperlink r:id="rId62">
        <w:r>
          <w:rPr>
            <w:rStyle w:val="Hyperlink"/>
          </w:rPr>
          <w:t xml:space="preserve">[37]</w:t>
        </w:r>
      </w:hyperlink>
      <w:r>
        <w:t xml:space="preserve"> </w:t>
      </w:r>
      <w:r>
        <w:t xml:space="preserve">https://sca.coffee/sca-news/sca-new-cva-cupping-standards</w:t>
      </w:r>
    </w:p>
    <w:p>
      <w:pPr>
        <w:pStyle w:val="BodyText"/>
      </w:pPr>
      <w:hyperlink r:id="rId62">
        <w:r>
          <w:rPr>
            <w:rStyle w:val="Hyperlink"/>
          </w:rPr>
          <w:t xml:space="preserve">https://sca.coffee/sca-news/sca-new-cva-cupping-standards</w:t>
        </w:r>
      </w:hyperlink>
    </w:p>
    <w:p>
      <w:pPr>
        <w:pStyle w:val="BodyText"/>
      </w:pPr>
      <w:hyperlink r:id="rId69">
        <w:r>
          <w:rPr>
            <w:rStyle w:val="Hyperlink"/>
          </w:rPr>
          <w:t xml:space="preserve">[46]</w:t>
        </w:r>
      </w:hyperlink>
      <w:r>
        <w:t xml:space="preserve"> </w:t>
      </w:r>
      <w:hyperlink r:id="rId69">
        <w:r>
          <w:rPr>
            <w:rStyle w:val="Hyperlink"/>
          </w:rPr>
          <w:t xml:space="preserve">[49]</w:t>
        </w:r>
      </w:hyperlink>
      <w:r>
        <w:t xml:space="preserve"> </w:t>
      </w:r>
      <w:r>
        <w:t xml:space="preserve">https://trade.ec.europa.eu/access-to-markets/en/news/delay-until-december-2026-and-other-developments-implementation-eudr-regulation</w:t>
      </w:r>
    </w:p>
    <w:p>
      <w:pPr>
        <w:pStyle w:val="BodyText"/>
      </w:pPr>
      <w:hyperlink r:id="rId69">
        <w:r>
          <w:rPr>
            <w:rStyle w:val="Hyperlink"/>
          </w:rPr>
          <w:t xml:space="preserve">https://trade.ec.europa.eu/access-to-markets/en/news/delay-until-december-2026-and-other-developments-implementation-eudr-regulation</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offeeboard.gov.in/Exporter.aspx" TargetMode="External" /><Relationship Type="http://schemas.openxmlformats.org/officeDocument/2006/relationships/hyperlink" Id="rId39" Target="https://coffeeboard.gov.in/Indian%20Coffee/Indian%20Coffee%20Sustainability%20Standard%20%20Certification%20Scheme.pdf" TargetMode="External" /><Relationship Type="http://schemas.openxmlformats.org/officeDocument/2006/relationships/hyperlink" Id="rId36" Target="https://coffeeboard.gov.in/Indian%20Coffee/coffee%20karma.pdf" TargetMode="External" /><Relationship Type="http://schemas.openxmlformats.org/officeDocument/2006/relationships/hyperlink" Id="rId42" Target="https://eur-lex.europa.eu/legal-content/EN/TXT/HTML/?uri=CELEX%3A02011R1169-20180101" TargetMode="External" /><Relationship Type="http://schemas.openxmlformats.org/officeDocument/2006/relationships/hyperlink" Id="rId55" Target="https://eur-lex.europa.eu/legal-content/EN/TXT/PDF/?uri=CELEX%3A02017R0625-20211028" TargetMode="External" /><Relationship Type="http://schemas.openxmlformats.org/officeDocument/2006/relationships/hyperlink" Id="rId23" Target="https://eur-lex.europa.eu/legal-content/EN/TXT/PDF/?uri=CELEX%3A32023R1115" TargetMode="External" /><Relationship Type="http://schemas.openxmlformats.org/officeDocument/2006/relationships/hyperlink" Id="rId33" Target="https://iccwbo.org/business-solutions/incoterms-rules/incoterms-2020/" TargetMode="External" /><Relationship Type="http://schemas.openxmlformats.org/officeDocument/2006/relationships/hyperlink" Id="rId62" Target="https://sca.coffee/sca-news/sca-new-cva-cupping-standards" TargetMode="External" /><Relationship Type="http://schemas.openxmlformats.org/officeDocument/2006/relationships/hyperlink" Id="rId47" Target="https://taxation-customs.ec.europa.eu/customs/customs-procedures-import-and-export/customs-operations/economic-operators-registration-and-identification-number-eori_en" TargetMode="External" /><Relationship Type="http://schemas.openxmlformats.org/officeDocument/2006/relationships/hyperlink" Id="rId46" Target="https://taxation-customs.ec.europa.eu/news/e-commerce-150-eur-customs-duty-exemption-threshold-be-removed-2026-2025-11-13_en" TargetMode="External" /><Relationship Type="http://schemas.openxmlformats.org/officeDocument/2006/relationships/hyperlink" Id="rId69" Target="https://trade.ec.europa.eu/access-to-markets/en/news/delay-until-december-2026-and-other-developments-implementation-eudr-regulation" TargetMode="External" /><Relationship Type="http://schemas.openxmlformats.org/officeDocument/2006/relationships/hyperlink" Id="rId31" Target="https://vat-one-stop-shop.ec.europa.eu/index_en" TargetMode="External" /><Relationship Type="http://schemas.openxmlformats.org/officeDocument/2006/relationships/hyperlink" Id="rId57" Target="https://vat-one-stop-shop.ec.europa.eu/system/files/2022-01/guidance_on_import_and_export_of_low_value_consignments_en.pdf" TargetMode="External" /><Relationship Type="http://schemas.openxmlformats.org/officeDocument/2006/relationships/hyperlink" Id="rId21" Target="https://www.fda.gov/food/food-safety-modernization-act-fsma/final-rule-foreign-supplier-verification-programs-fsvp-glance" TargetMode="External" /><Relationship Type="http://schemas.openxmlformats.org/officeDocument/2006/relationships/hyperlink" Id="rId25" Target="https://www.fda.gov/food/online-registration-food-facilities/food-facility-registration-user-guide-biennial-registration-renewal" TargetMode="External" /><Relationship Type="http://schemas.openxmlformats.org/officeDocument/2006/relationships/hyperlink" Id="rId24" Target="https://www.fda.gov/industry/prior-notice-imported-foods/filing-prior-notice-imported-foods" TargetMode="External" /><Relationship Type="http://schemas.openxmlformats.org/officeDocument/2006/relationships/hyperlink" Id="rId34" Target="https://www.legislation.gov.uk/eur/2002/178/article/18" TargetMode="External" /><Relationship Type="http://schemas.openxmlformats.org/officeDocument/2006/relationships/hyperlink" Id="rId53" Target="https://www.legislation.gov.uk/eur/2002/178/article/19" TargetMode="External" /><Relationship Type="http://schemas.openxmlformats.org/officeDocument/2006/relationships/hyperlink" Id="rId54" Target="https://www.legislation.gov.uk/eur/2004/852/article/5" TargetMode="External" /></Relationships>
</file>

<file path=word/_rels/footnotes.xml.rels><?xml version="1.0" encoding="UTF-8"?><Relationships xmlns="http://schemas.openxmlformats.org/package/2006/relationships"><Relationship Type="http://schemas.openxmlformats.org/officeDocument/2006/relationships/hyperlink" Id="rId22" Target="https://coffeeboard.gov.in/Exporter.aspx" TargetMode="External" /><Relationship Type="http://schemas.openxmlformats.org/officeDocument/2006/relationships/hyperlink" Id="rId39" Target="https://coffeeboard.gov.in/Indian%20Coffee/Indian%20Coffee%20Sustainability%20Standard%20%20Certification%20Scheme.pdf" TargetMode="External" /><Relationship Type="http://schemas.openxmlformats.org/officeDocument/2006/relationships/hyperlink" Id="rId36" Target="https://coffeeboard.gov.in/Indian%20Coffee/coffee%20karma.pdf" TargetMode="External" /><Relationship Type="http://schemas.openxmlformats.org/officeDocument/2006/relationships/hyperlink" Id="rId42" Target="https://eur-lex.europa.eu/legal-content/EN/TXT/HTML/?uri=CELEX%3A02011R1169-20180101" TargetMode="External" /><Relationship Type="http://schemas.openxmlformats.org/officeDocument/2006/relationships/hyperlink" Id="rId55" Target="https://eur-lex.europa.eu/legal-content/EN/TXT/PDF/?uri=CELEX%3A02017R0625-20211028" TargetMode="External" /><Relationship Type="http://schemas.openxmlformats.org/officeDocument/2006/relationships/hyperlink" Id="rId23" Target="https://eur-lex.europa.eu/legal-content/EN/TXT/PDF/?uri=CELEX%3A32023R1115" TargetMode="External" /><Relationship Type="http://schemas.openxmlformats.org/officeDocument/2006/relationships/hyperlink" Id="rId33" Target="https://iccwbo.org/business-solutions/incoterms-rules/incoterms-2020/" TargetMode="External" /><Relationship Type="http://schemas.openxmlformats.org/officeDocument/2006/relationships/hyperlink" Id="rId62" Target="https://sca.coffee/sca-news/sca-new-cva-cupping-standards" TargetMode="External" /><Relationship Type="http://schemas.openxmlformats.org/officeDocument/2006/relationships/hyperlink" Id="rId47" Target="https://taxation-customs.ec.europa.eu/customs/customs-procedures-import-and-export/customs-operations/economic-operators-registration-and-identification-number-eori_en" TargetMode="External" /><Relationship Type="http://schemas.openxmlformats.org/officeDocument/2006/relationships/hyperlink" Id="rId46" Target="https://taxation-customs.ec.europa.eu/news/e-commerce-150-eur-customs-duty-exemption-threshold-be-removed-2026-2025-11-13_en" TargetMode="External" /><Relationship Type="http://schemas.openxmlformats.org/officeDocument/2006/relationships/hyperlink" Id="rId69" Target="https://trade.ec.europa.eu/access-to-markets/en/news/delay-until-december-2026-and-other-developments-implementation-eudr-regulation" TargetMode="External" /><Relationship Type="http://schemas.openxmlformats.org/officeDocument/2006/relationships/hyperlink" Id="rId31" Target="https://vat-one-stop-shop.ec.europa.eu/index_en" TargetMode="External" /><Relationship Type="http://schemas.openxmlformats.org/officeDocument/2006/relationships/hyperlink" Id="rId57" Target="https://vat-one-stop-shop.ec.europa.eu/system/files/2022-01/guidance_on_import_and_export_of_low_value_consignments_en.pdf" TargetMode="External" /><Relationship Type="http://schemas.openxmlformats.org/officeDocument/2006/relationships/hyperlink" Id="rId21" Target="https://www.fda.gov/food/food-safety-modernization-act-fsma/final-rule-foreign-supplier-verification-programs-fsvp-glance" TargetMode="External" /><Relationship Type="http://schemas.openxmlformats.org/officeDocument/2006/relationships/hyperlink" Id="rId25" Target="https://www.fda.gov/food/online-registration-food-facilities/food-facility-registration-user-guide-biennial-registration-renewal" TargetMode="External" /><Relationship Type="http://schemas.openxmlformats.org/officeDocument/2006/relationships/hyperlink" Id="rId24" Target="https://www.fda.gov/industry/prior-notice-imported-foods/filing-prior-notice-imported-foods" TargetMode="External" /><Relationship Type="http://schemas.openxmlformats.org/officeDocument/2006/relationships/hyperlink" Id="rId34" Target="https://www.legislation.gov.uk/eur/2002/178/article/18" TargetMode="External" /><Relationship Type="http://schemas.openxmlformats.org/officeDocument/2006/relationships/hyperlink" Id="rId53" Target="https://www.legislation.gov.uk/eur/2002/178/article/19" TargetMode="External" /><Relationship Type="http://schemas.openxmlformats.org/officeDocument/2006/relationships/hyperlink" Id="rId54" Target="https://www.legislation.gov.uk/eur/2004/852/article/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2026-03-17T00:43:40Z</dcterms:created>
  <dcterms:modified xsi:type="dcterms:W3CDTF">2026-03-17T00:43:40Z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