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E283" w14:textId="77777777" w:rsidR="00FD320A" w:rsidRPr="00FD320A" w:rsidRDefault="00FD320A" w:rsidP="00FD320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</w:pPr>
      <w:r w:rsidRPr="00FD320A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begin"/>
      </w:r>
      <w:r w:rsidRPr="00FD320A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instrText xml:space="preserve"> HYPERLINK "https://wiki.eisgroup.com/display/GRC/Saga+Usage+Conventions" </w:instrText>
      </w:r>
      <w:r w:rsidRPr="00FD320A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separate"/>
      </w:r>
      <w:r w:rsidRPr="00FD320A">
        <w:rPr>
          <w:rFonts w:ascii="Roboto" w:eastAsia="Times New Roman" w:hAnsi="Roboto" w:cs="Times New Roman"/>
          <w:color w:val="65656A"/>
          <w:spacing w:val="-2"/>
          <w:kern w:val="36"/>
          <w:sz w:val="48"/>
          <w:szCs w:val="48"/>
          <w:u w:val="single"/>
          <w:lang w:eastAsia="en-IN"/>
        </w:rPr>
        <w:t>Saga Usage Conventions</w:t>
      </w:r>
      <w:r w:rsidRPr="00FD320A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end"/>
      </w:r>
    </w:p>
    <w:p w14:paraId="015613F3" w14:textId="084E4E1C" w:rsidR="00495624" w:rsidRDefault="00000000"/>
    <w:p w14:paraId="07BA10D1" w14:textId="77777777" w:rsidR="00FD320A" w:rsidRDefault="00FD320A" w:rsidP="00FD320A">
      <w:pPr>
        <w:pStyle w:val="NormalWeb"/>
        <w:shd w:val="clear" w:color="auto" w:fill="FFFFFF"/>
        <w:spacing w:before="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Saga usage has performance </w:t>
      </w:r>
      <w:proofErr w:type="gramStart"/>
      <w:r>
        <w:rPr>
          <w:rFonts w:ascii="Roboto" w:hAnsi="Roboto"/>
          <w:color w:val="323C47"/>
          <w:sz w:val="21"/>
          <w:szCs w:val="21"/>
        </w:rPr>
        <w:t>impact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and this page describes Saga usage conventions that must be followed when developing in Genesis project. This page is focusing on remote Saga usage Cases. Local Saga may be considered.</w:t>
      </w:r>
    </w:p>
    <w:p w14:paraId="0823E584" w14:textId="77777777" w:rsidR="00FD320A" w:rsidRDefault="00FD320A" w:rsidP="00FD320A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6428A648" w14:textId="77777777" w:rsidR="00FD320A" w:rsidRDefault="00FD320A" w:rsidP="00FD320A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General information</w:t>
      </w:r>
    </w:p>
    <w:p w14:paraId="0680143E" w14:textId="77777777" w:rsidR="00FD320A" w:rsidRDefault="00FD320A" w:rsidP="00FD320A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Command stream ensures durability, order, retry on failure.</w:t>
      </w:r>
    </w:p>
    <w:p w14:paraId="7A953A34" w14:textId="77777777" w:rsidR="00FD320A" w:rsidRDefault="00FD320A" w:rsidP="00FD320A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Command handler should be idempotent and should be able to execute same command multiple times and get to the same state.</w:t>
      </w:r>
    </w:p>
    <w:p w14:paraId="49E6D91F" w14:textId="77777777" w:rsidR="00FD320A" w:rsidRDefault="00FD320A" w:rsidP="00FD320A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Command for same entity </w:t>
      </w:r>
      <w:proofErr w:type="gramStart"/>
      <w:r>
        <w:rPr>
          <w:rFonts w:ascii="Roboto" w:hAnsi="Roboto"/>
          <w:color w:val="323C47"/>
          <w:sz w:val="21"/>
          <w:szCs w:val="21"/>
        </w:rPr>
        <w:t>are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ordered and executed in sequence therefore there is no performance gain (e.g.no parallel processing) to use remote Saga for single entity.</w:t>
      </w:r>
    </w:p>
    <w:p w14:paraId="38245A65" w14:textId="77777777" w:rsidR="00FD320A" w:rsidRDefault="00FD320A" w:rsidP="00FD320A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Local Saga may provide fork join performance optimization however performance penalty of executing state transition check, validation and etc may exist. </w:t>
      </w:r>
      <w:proofErr w:type="gramStart"/>
      <w:r>
        <w:rPr>
          <w:rFonts w:ascii="Roboto" w:hAnsi="Roboto"/>
          <w:color w:val="323C47"/>
          <w:sz w:val="21"/>
          <w:szCs w:val="21"/>
        </w:rPr>
        <w:t>Therefore</w:t>
      </w:r>
      <w:proofErr w:type="gramEnd"/>
      <w:r>
        <w:rPr>
          <w:rFonts w:ascii="Roboto" w:hAnsi="Roboto"/>
          <w:color w:val="323C47"/>
          <w:sz w:val="21"/>
          <w:szCs w:val="21"/>
        </w:rPr>
        <w:t xml:space="preserve"> it is recommended to reuse business logic by reusing service beans but not chaining commands to Saga.</w:t>
      </w:r>
    </w:p>
    <w:p w14:paraId="65ACB040" w14:textId="77777777" w:rsidR="00FD320A" w:rsidRDefault="00FD320A" w:rsidP="00FD320A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2CF2861B" w14:textId="77777777" w:rsidR="00FD320A" w:rsidRDefault="00FD320A" w:rsidP="00FD320A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Do not use Saga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4201"/>
        <w:gridCol w:w="1413"/>
      </w:tblGrid>
      <w:tr w:rsidR="00FD320A" w14:paraId="78084BA0" w14:textId="77777777" w:rsidTr="00FD32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6F0F8123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40DA18EC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09FADD4B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FD320A" w14:paraId="45267202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A40F8" w14:textId="77777777" w:rsidR="00FD320A" w:rsidRDefault="00FD320A">
            <w:pPr>
              <w:pStyle w:val="NormalWeb"/>
              <w:spacing w:before="0" w:beforeAutospacing="0" w:after="0" w:afterAutospacing="0"/>
              <w:ind w:right="6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Business transaction affects single entity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B5012" w14:textId="77777777" w:rsidR="00FD320A" w:rsidRDefault="00FD320A" w:rsidP="00FD320A">
            <w:pPr>
              <w:numPr>
                <w:ilvl w:val="0"/>
                <w:numId w:val="2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Business logic handled by single command should not start Saga</w:t>
            </w:r>
          </w:p>
          <w:p w14:paraId="6F2BA49E" w14:textId="77777777" w:rsidR="00FD320A" w:rsidRDefault="00FD320A" w:rsidP="00FD320A">
            <w:pPr>
              <w:numPr>
                <w:ilvl w:val="0"/>
                <w:numId w:val="2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Do not use Saga to chain existing commands for business logic reusability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738AE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  <w:tr w:rsidR="00FD320A" w14:paraId="4B2FE90E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087DF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Business scenario requires validation / check using other Service. Second service does not have logic which involves persistence.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996B5A" w14:textId="77777777" w:rsidR="00FD320A" w:rsidRDefault="00FD320A" w:rsidP="00FD320A">
            <w:pPr>
              <w:numPr>
                <w:ilvl w:val="0"/>
                <w:numId w:val="3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Validation / Check is mandatory before returning response</w:t>
            </w:r>
          </w:p>
          <w:p w14:paraId="44B8208E" w14:textId="77777777" w:rsidR="00FD320A" w:rsidRDefault="00FD320A" w:rsidP="00FD320A">
            <w:pPr>
              <w:numPr>
                <w:ilvl w:val="0"/>
                <w:numId w:val="3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Use direct call if data which affects validation is changed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5BEA7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  <w:tr w:rsidR="00FD320A" w14:paraId="71ECB62C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C9681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Centralized Service coordinates business logic execution cross multiple Services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6933A" w14:textId="77777777" w:rsidR="00FD320A" w:rsidRDefault="00FD320A" w:rsidP="00FD320A">
            <w:pPr>
              <w:numPr>
                <w:ilvl w:val="0"/>
                <w:numId w:val="4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If business logic is orchestrated by centralize </w:t>
            </w:r>
            <w:proofErr w:type="gramStart"/>
            <w:r>
              <w:rPr>
                <w:rFonts w:ascii="Roboto" w:hAnsi="Roboto"/>
                <w:color w:val="323C47"/>
                <w:sz w:val="18"/>
                <w:szCs w:val="18"/>
              </w:rPr>
              <w:t>service</w:t>
            </w:r>
            <w:proofErr w:type="gramEnd"/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 then this service may coordinate invocations and failure without starting Saga</w:t>
            </w:r>
          </w:p>
          <w:p w14:paraId="3F7AF309" w14:textId="77777777" w:rsidR="00FD320A" w:rsidRDefault="00FD320A" w:rsidP="00FD320A">
            <w:pPr>
              <w:numPr>
                <w:ilvl w:val="0"/>
                <w:numId w:val="4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Other orchestration mechanism is already used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CA6760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proofErr w:type="gramStart"/>
            <w:r>
              <w:rPr>
                <w:rFonts w:ascii="Roboto" w:hAnsi="Roboto"/>
                <w:color w:val="323C47"/>
                <w:sz w:val="18"/>
                <w:szCs w:val="18"/>
              </w:rPr>
              <w:t>E.g.</w:t>
            </w:r>
            <w:proofErr w:type="gramEnd"/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 Purchase service</w:t>
            </w:r>
          </w:p>
        </w:tc>
      </w:tr>
      <w:tr w:rsidR="00FD320A" w14:paraId="2E645E92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5B032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Entities from other domain can be updated eventually after business transaction execution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152B87" w14:textId="77777777" w:rsidR="00FD320A" w:rsidRDefault="00FD320A" w:rsidP="00FD320A">
            <w:pPr>
              <w:numPr>
                <w:ilvl w:val="0"/>
                <w:numId w:val="5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Async </w:t>
            </w:r>
            <w:proofErr w:type="spellStart"/>
            <w:r>
              <w:rPr>
                <w:rFonts w:ascii="Roboto" w:hAnsi="Roboto"/>
                <w:color w:val="323C47"/>
                <w:sz w:val="18"/>
                <w:szCs w:val="18"/>
              </w:rPr>
              <w:t>behavior</w:t>
            </w:r>
            <w:proofErr w:type="spellEnd"/>
            <w:r>
              <w:rPr>
                <w:rFonts w:ascii="Roboto" w:hAnsi="Roboto"/>
                <w:color w:val="323C47"/>
                <w:sz w:val="18"/>
                <w:szCs w:val="18"/>
              </w:rPr>
              <w:t>. It is not required to update other entity before returning response</w:t>
            </w:r>
          </w:p>
          <w:p w14:paraId="3F33D12E" w14:textId="77777777" w:rsidR="00FD320A" w:rsidRDefault="00FD320A" w:rsidP="00FD320A">
            <w:pPr>
              <w:numPr>
                <w:ilvl w:val="0"/>
                <w:numId w:val="5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One service reacts to other service business events and compensation is not 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CA435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  <w:tr w:rsidR="00FD320A" w14:paraId="45A1C9E1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CCE4B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lastRenderedPageBreak/>
              <w:t>Other Service/ System can be invoked eventually after business transaction execution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3097C" w14:textId="77777777" w:rsidR="00FD320A" w:rsidRDefault="00FD320A" w:rsidP="00FD320A">
            <w:pPr>
              <w:numPr>
                <w:ilvl w:val="0"/>
                <w:numId w:val="6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Async </w:t>
            </w:r>
            <w:proofErr w:type="spellStart"/>
            <w:r>
              <w:rPr>
                <w:rFonts w:ascii="Roboto" w:hAnsi="Roboto"/>
                <w:color w:val="323C47"/>
                <w:sz w:val="18"/>
                <w:szCs w:val="18"/>
              </w:rPr>
              <w:t>behavior</w:t>
            </w:r>
            <w:proofErr w:type="spellEnd"/>
            <w:r>
              <w:rPr>
                <w:rFonts w:ascii="Roboto" w:hAnsi="Roboto"/>
                <w:color w:val="323C47"/>
                <w:sz w:val="18"/>
                <w:szCs w:val="18"/>
              </w:rPr>
              <w:t>. It is not required to call other Service/ System before returning response</w:t>
            </w:r>
          </w:p>
          <w:p w14:paraId="121FA5A7" w14:textId="77777777" w:rsidR="00FD320A" w:rsidRDefault="00FD320A" w:rsidP="00FD320A">
            <w:pPr>
              <w:numPr>
                <w:ilvl w:val="0"/>
                <w:numId w:val="6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One service reacts to other service business events and compensation is not required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2B5B5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</w:tbl>
    <w:p w14:paraId="6ACA9081" w14:textId="77777777" w:rsidR="00FD320A" w:rsidRDefault="00FD320A" w:rsidP="00FD320A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7816A7E9" w14:textId="77777777" w:rsidR="00FD320A" w:rsidRDefault="00FD320A" w:rsidP="00FD320A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Use Saga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4458"/>
        <w:gridCol w:w="1258"/>
      </w:tblGrid>
      <w:tr w:rsidR="00FD320A" w14:paraId="774D9AB0" w14:textId="77777777" w:rsidTr="00FD32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18348A03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329F4C03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60" w:type="dxa"/>
              <w:left w:w="150" w:type="dxa"/>
              <w:bottom w:w="60" w:type="dxa"/>
              <w:right w:w="225" w:type="dxa"/>
            </w:tcMar>
            <w:hideMark/>
          </w:tcPr>
          <w:p w14:paraId="2433EE67" w14:textId="77777777" w:rsidR="00FD320A" w:rsidRDefault="00FD320A" w:rsidP="00FD320A">
            <w:pPr>
              <w:spacing w:before="60" w:after="45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FD320A" w14:paraId="1B95FD10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457C2" w14:textId="77777777" w:rsidR="00FD320A" w:rsidRDefault="00FD320A">
            <w:pPr>
              <w:pStyle w:val="NormalWeb"/>
              <w:spacing w:before="0" w:beforeAutospacing="0" w:after="0" w:afterAutospacing="0"/>
              <w:ind w:right="6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Business transaction affects multiple entities of the same domain.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79734" w14:textId="77777777" w:rsidR="00FD320A" w:rsidRDefault="00FD320A" w:rsidP="00FD320A">
            <w:pPr>
              <w:numPr>
                <w:ilvl w:val="0"/>
                <w:numId w:val="7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Local Saga and fork/join during single command execution is preferred.</w:t>
            </w:r>
          </w:p>
          <w:p w14:paraId="5A1064C1" w14:textId="77777777" w:rsidR="00FD320A" w:rsidRDefault="00FD320A" w:rsidP="00FD320A">
            <w:pPr>
              <w:numPr>
                <w:ilvl w:val="0"/>
                <w:numId w:val="7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Use Distributed Saga if Entities with different IDs should be updated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F6292A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  <w:tr w:rsidR="00FD320A" w14:paraId="172A306E" w14:textId="77777777" w:rsidTr="00FD320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A0941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Entities from multiple domains must be updated in a single business transaction.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1F687" w14:textId="77777777" w:rsidR="00FD320A" w:rsidRDefault="00FD320A" w:rsidP="00FD320A">
            <w:pPr>
              <w:numPr>
                <w:ilvl w:val="0"/>
                <w:numId w:val="8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 xml:space="preserve">Sync </w:t>
            </w:r>
            <w:proofErr w:type="spellStart"/>
            <w:r>
              <w:rPr>
                <w:rFonts w:ascii="Roboto" w:hAnsi="Roboto"/>
                <w:color w:val="323C47"/>
                <w:sz w:val="18"/>
                <w:szCs w:val="18"/>
              </w:rPr>
              <w:t>behavior</w:t>
            </w:r>
            <w:proofErr w:type="spellEnd"/>
            <w:r>
              <w:rPr>
                <w:rFonts w:ascii="Roboto" w:hAnsi="Roboto"/>
                <w:color w:val="323C47"/>
                <w:sz w:val="18"/>
                <w:szCs w:val="18"/>
              </w:rPr>
              <w:t>. Multiple entities should be updated or reverted before returning response</w:t>
            </w:r>
          </w:p>
          <w:p w14:paraId="58BB72CE" w14:textId="77777777" w:rsidR="00FD320A" w:rsidRDefault="00FD320A" w:rsidP="00FD320A">
            <w:pPr>
              <w:numPr>
                <w:ilvl w:val="0"/>
                <w:numId w:val="8"/>
              </w:numPr>
              <w:spacing w:before="60" w:after="0" w:line="240" w:lineRule="auto"/>
              <w:ind w:right="120"/>
              <w:rPr>
                <w:rFonts w:ascii="Roboto" w:hAnsi="Roboto"/>
                <w:color w:val="323C47"/>
                <w:sz w:val="18"/>
                <w:szCs w:val="18"/>
              </w:rPr>
            </w:pPr>
            <w:r>
              <w:rPr>
                <w:rFonts w:ascii="Roboto" w:hAnsi="Roboto"/>
                <w:color w:val="323C47"/>
                <w:sz w:val="18"/>
                <w:szCs w:val="18"/>
              </w:rPr>
              <w:t>Sophisticated compensation logic on Failure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3039E8" w14:textId="77777777" w:rsidR="00FD320A" w:rsidRDefault="00FD320A">
            <w:pPr>
              <w:rPr>
                <w:rFonts w:ascii="Roboto" w:hAnsi="Roboto"/>
                <w:color w:val="323C47"/>
                <w:sz w:val="18"/>
                <w:szCs w:val="18"/>
              </w:rPr>
            </w:pPr>
          </w:p>
        </w:tc>
      </w:tr>
    </w:tbl>
    <w:p w14:paraId="3F1734D4" w14:textId="77777777" w:rsidR="00FD320A" w:rsidRDefault="00FD320A"/>
    <w:sectPr w:rsidR="00FD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E88"/>
    <w:multiLevelType w:val="multilevel"/>
    <w:tmpl w:val="3B0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B7C00"/>
    <w:multiLevelType w:val="multilevel"/>
    <w:tmpl w:val="BC5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2410A"/>
    <w:multiLevelType w:val="multilevel"/>
    <w:tmpl w:val="ACF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545F7"/>
    <w:multiLevelType w:val="multilevel"/>
    <w:tmpl w:val="A89C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178C2"/>
    <w:multiLevelType w:val="multilevel"/>
    <w:tmpl w:val="0F5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00368"/>
    <w:multiLevelType w:val="multilevel"/>
    <w:tmpl w:val="A260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AA01A2"/>
    <w:multiLevelType w:val="multilevel"/>
    <w:tmpl w:val="9D6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4A217A"/>
    <w:multiLevelType w:val="multilevel"/>
    <w:tmpl w:val="F43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426228">
    <w:abstractNumId w:val="2"/>
  </w:num>
  <w:num w:numId="2" w16cid:durableId="1517842381">
    <w:abstractNumId w:val="5"/>
  </w:num>
  <w:num w:numId="3" w16cid:durableId="1370884440">
    <w:abstractNumId w:val="3"/>
  </w:num>
  <w:num w:numId="4" w16cid:durableId="411128622">
    <w:abstractNumId w:val="1"/>
  </w:num>
  <w:num w:numId="5" w16cid:durableId="1570185860">
    <w:abstractNumId w:val="0"/>
  </w:num>
  <w:num w:numId="6" w16cid:durableId="1400206115">
    <w:abstractNumId w:val="4"/>
  </w:num>
  <w:num w:numId="7" w16cid:durableId="1766534309">
    <w:abstractNumId w:val="7"/>
  </w:num>
  <w:num w:numId="8" w16cid:durableId="1875267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0A"/>
    <w:rsid w:val="000A090E"/>
    <w:rsid w:val="0090682C"/>
    <w:rsid w:val="00CA26B3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720C"/>
  <w15:chartTrackingRefBased/>
  <w15:docId w15:val="{972D806F-2DCA-47CA-94D5-75974F61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2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320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627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073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59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43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052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126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97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59">
              <w:marLeft w:val="0"/>
              <w:marRight w:val="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2022-12-31T12:55:00Z</dcterms:created>
  <dcterms:modified xsi:type="dcterms:W3CDTF">2022-12-31T13:06:00Z</dcterms:modified>
</cp:coreProperties>
</file>