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D9F" w:rsidRPr="00B86D9F" w:rsidRDefault="00B86D9F" w:rsidP="00B86D9F">
      <w:pPr>
        <w:shd w:val="clear" w:color="auto" w:fill="FFFFFF"/>
        <w:spacing w:before="316" w:after="105" w:line="360" w:lineRule="atLeast"/>
        <w:textAlignment w:val="baseline"/>
        <w:outlineLvl w:val="1"/>
        <w:rPr>
          <w:rFonts w:ascii="Arial Unicode MS" w:eastAsia="Arial Unicode MS" w:hAnsi="Arial Unicode MS" w:cs="Arial Unicode MS"/>
          <w:color w:val="5C5C5C"/>
          <w:sz w:val="29"/>
          <w:szCs w:val="29"/>
          <w:lang w:eastAsia="en-NZ"/>
        </w:rPr>
      </w:pPr>
      <w:r w:rsidRPr="00B86D9F">
        <w:rPr>
          <w:rFonts w:ascii="Arial Unicode MS" w:eastAsia="Arial Unicode MS" w:hAnsi="Arial Unicode MS" w:cs="Arial Unicode MS" w:hint="eastAsia"/>
          <w:color w:val="5C5C5C"/>
          <w:sz w:val="29"/>
          <w:szCs w:val="29"/>
          <w:lang w:eastAsia="en-NZ"/>
        </w:rPr>
        <w:t>2. Choice of vertical axis in funnel plots: case study</w:t>
      </w:r>
    </w:p>
    <w:p w:rsidR="00B86D9F" w:rsidRPr="00B86D9F" w:rsidRDefault="00B86D9F" w:rsidP="00B86D9F">
      <w:pPr>
        <w:shd w:val="clear" w:color="auto" w:fill="FFFFFF"/>
        <w:spacing w:after="0" w:line="351" w:lineRule="atLeast"/>
        <w:jc w:val="both"/>
        <w:textAlignment w:val="baseline"/>
        <w:rPr>
          <w:rFonts w:ascii="Arial Unicode MS" w:eastAsia="Arial Unicode MS" w:hAnsi="Arial Unicode MS" w:cs="Arial Unicode MS" w:hint="eastAsia"/>
          <w:color w:val="2E2E2E"/>
          <w:sz w:val="23"/>
          <w:szCs w:val="23"/>
          <w:lang w:eastAsia="en-NZ"/>
        </w:rPr>
      </w:pPr>
      <w:r w:rsidRPr="00B86D9F">
        <w:rPr>
          <w:rFonts w:ascii="Arial Unicode MS" w:eastAsia="Arial Unicode MS" w:hAnsi="Arial Unicode MS" w:cs="Arial Unicode MS" w:hint="eastAsia"/>
          <w:color w:val="2E2E2E"/>
          <w:sz w:val="23"/>
          <w:szCs w:val="23"/>
          <w:lang w:eastAsia="en-NZ"/>
        </w:rPr>
        <w:t>The randomized controlled trials of magnesium treatment in the prevention of death following myocardial infarction</w:t>
      </w:r>
      <w:r w:rsidRPr="00B86D9F">
        <w:rPr>
          <w:rFonts w:ascii="Arial Unicode MS" w:eastAsia="Arial Unicode MS" w:hAnsi="Arial Unicode MS" w:cs="Arial Unicode MS" w:hint="eastAsia"/>
          <w:color w:val="2E2E2E"/>
          <w:sz w:val="23"/>
          <w:lang w:eastAsia="en-NZ"/>
        </w:rPr>
        <w:t> </w:t>
      </w:r>
      <w:hyperlink r:id="rId4" w:anchor="TBL1" w:history="1">
        <w:r w:rsidRPr="00B86D9F">
          <w:rPr>
            <w:rFonts w:ascii="Arial Unicode MS" w:eastAsia="Arial Unicode MS" w:hAnsi="Arial Unicode MS" w:cs="Arial Unicode MS" w:hint="eastAsia"/>
            <w:color w:val="316C9D"/>
            <w:sz w:val="23"/>
            <w:lang w:eastAsia="en-NZ"/>
          </w:rPr>
          <w:t>(Table 1)</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are a well known example where publication bias, demonstrated by an asymmetrical funnel plot</w:t>
      </w:r>
      <w:r w:rsidRPr="00B86D9F">
        <w:rPr>
          <w:rFonts w:ascii="Arial Unicode MS" w:eastAsia="Arial Unicode MS" w:hAnsi="Arial Unicode MS" w:cs="Arial Unicode MS" w:hint="eastAsia"/>
          <w:color w:val="2E2E2E"/>
          <w:sz w:val="23"/>
          <w:lang w:eastAsia="en-NZ"/>
        </w:rPr>
        <w:t> </w:t>
      </w:r>
      <w:hyperlink r:id="rId5" w:anchor="BIB5" w:history="1">
        <w:r w:rsidRPr="00B86D9F">
          <w:rPr>
            <w:rFonts w:ascii="Arial Unicode MS" w:eastAsia="Arial Unicode MS" w:hAnsi="Arial Unicode MS" w:cs="Arial Unicode MS" w:hint="eastAsia"/>
            <w:color w:val="316C9D"/>
            <w:sz w:val="23"/>
            <w:lang w:eastAsia="en-NZ"/>
          </w:rPr>
          <w:t>[5]</w:t>
        </w:r>
      </w:hyperlink>
      <w:r w:rsidRPr="00B86D9F">
        <w:rPr>
          <w:rFonts w:ascii="Arial Unicode MS" w:eastAsia="Arial Unicode MS" w:hAnsi="Arial Unicode MS" w:cs="Arial Unicode MS" w:hint="eastAsia"/>
          <w:color w:val="2E2E2E"/>
          <w:sz w:val="23"/>
          <w:szCs w:val="23"/>
          <w:lang w:eastAsia="en-NZ"/>
        </w:rPr>
        <w:t> and </w:t>
      </w:r>
      <w:hyperlink r:id="rId6" w:anchor="BIB6" w:history="1">
        <w:r w:rsidRPr="00B86D9F">
          <w:rPr>
            <w:rFonts w:ascii="Arial Unicode MS" w:eastAsia="Arial Unicode MS" w:hAnsi="Arial Unicode MS" w:cs="Arial Unicode MS" w:hint="eastAsia"/>
            <w:color w:val="316C9D"/>
            <w:sz w:val="23"/>
            <w:lang w:eastAsia="en-NZ"/>
          </w:rPr>
          <w:t>[6]</w:t>
        </w:r>
      </w:hyperlink>
      <w:r w:rsidRPr="00B86D9F">
        <w:rPr>
          <w:rFonts w:ascii="Arial Unicode MS" w:eastAsia="Arial Unicode MS" w:hAnsi="Arial Unicode MS" w:cs="Arial Unicode MS" w:hint="eastAsia"/>
          <w:color w:val="2E2E2E"/>
          <w:sz w:val="23"/>
          <w:szCs w:val="23"/>
          <w:lang w:eastAsia="en-NZ"/>
        </w:rPr>
        <w:t>, has been suggested as an explanation for the discrepancy between meta-analyses which showed a clear beneficial effect of magnesium therapy on mortality</w:t>
      </w:r>
      <w:r w:rsidRPr="00B86D9F">
        <w:rPr>
          <w:rFonts w:ascii="Arial Unicode MS" w:eastAsia="Arial Unicode MS" w:hAnsi="Arial Unicode MS" w:cs="Arial Unicode MS" w:hint="eastAsia"/>
          <w:color w:val="2E2E2E"/>
          <w:sz w:val="23"/>
          <w:lang w:eastAsia="en-NZ"/>
        </w:rPr>
        <w:t> </w:t>
      </w:r>
      <w:hyperlink r:id="rId7" w:anchor="BIB11" w:history="1">
        <w:r w:rsidRPr="00B86D9F">
          <w:rPr>
            <w:rFonts w:ascii="Arial Unicode MS" w:eastAsia="Arial Unicode MS" w:hAnsi="Arial Unicode MS" w:cs="Arial Unicode MS" w:hint="eastAsia"/>
            <w:color w:val="316C9D"/>
            <w:sz w:val="23"/>
            <w:lang w:eastAsia="en-NZ"/>
          </w:rPr>
          <w:t>[11]</w:t>
        </w:r>
      </w:hyperlink>
      <w:r w:rsidRPr="00B86D9F">
        <w:rPr>
          <w:rFonts w:ascii="Arial Unicode MS" w:eastAsia="Arial Unicode MS" w:hAnsi="Arial Unicode MS" w:cs="Arial Unicode MS" w:hint="eastAsia"/>
          <w:color w:val="2E2E2E"/>
          <w:sz w:val="23"/>
          <w:szCs w:val="23"/>
          <w:lang w:eastAsia="en-NZ"/>
        </w:rPr>
        <w:t> and </w:t>
      </w:r>
      <w:hyperlink r:id="rId8" w:anchor="BIB12" w:history="1">
        <w:r w:rsidRPr="00B86D9F">
          <w:rPr>
            <w:rFonts w:ascii="Arial Unicode MS" w:eastAsia="Arial Unicode MS" w:hAnsi="Arial Unicode MS" w:cs="Arial Unicode MS" w:hint="eastAsia"/>
            <w:color w:val="316C9D"/>
            <w:sz w:val="23"/>
            <w:lang w:eastAsia="en-NZ"/>
          </w:rPr>
          <w:t>[12]</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and a subsequent large trial which showed no effect</w:t>
      </w:r>
      <w:r w:rsidRPr="00B86D9F">
        <w:rPr>
          <w:rFonts w:ascii="Arial Unicode MS" w:eastAsia="Arial Unicode MS" w:hAnsi="Arial Unicode MS" w:cs="Arial Unicode MS" w:hint="eastAsia"/>
          <w:color w:val="2E2E2E"/>
          <w:sz w:val="23"/>
          <w:lang w:eastAsia="en-NZ"/>
        </w:rPr>
        <w:t> </w:t>
      </w:r>
      <w:hyperlink r:id="rId9" w:anchor="BIB13" w:history="1">
        <w:r w:rsidRPr="00B86D9F">
          <w:rPr>
            <w:rFonts w:ascii="Arial Unicode MS" w:eastAsia="Arial Unicode MS" w:hAnsi="Arial Unicode MS" w:cs="Arial Unicode MS" w:hint="eastAsia"/>
            <w:color w:val="316C9D"/>
            <w:sz w:val="23"/>
            <w:lang w:eastAsia="en-NZ"/>
          </w:rPr>
          <w:t>[13]</w:t>
        </w:r>
      </w:hyperlink>
      <w:r w:rsidRPr="00B86D9F">
        <w:rPr>
          <w:rFonts w:ascii="Arial Unicode MS" w:eastAsia="Arial Unicode MS" w:hAnsi="Arial Unicode MS" w:cs="Arial Unicode MS" w:hint="eastAsia"/>
          <w:color w:val="2E2E2E"/>
          <w:sz w:val="23"/>
          <w:szCs w:val="23"/>
          <w:lang w:eastAsia="en-NZ"/>
        </w:rPr>
        <w:t>.</w:t>
      </w:r>
      <w:r w:rsidRPr="00B86D9F">
        <w:rPr>
          <w:rFonts w:ascii="Arial Unicode MS" w:eastAsia="Arial Unicode MS" w:hAnsi="Arial Unicode MS" w:cs="Arial Unicode MS" w:hint="eastAsia"/>
          <w:color w:val="2E2E2E"/>
          <w:sz w:val="23"/>
          <w:lang w:eastAsia="en-NZ"/>
        </w:rPr>
        <w:t> </w:t>
      </w:r>
      <w:hyperlink r:id="rId10" w:anchor="FIG1" w:history="1">
        <w:r w:rsidRPr="00B86D9F">
          <w:rPr>
            <w:rFonts w:ascii="Arial Unicode MS" w:eastAsia="Arial Unicode MS" w:hAnsi="Arial Unicode MS" w:cs="Arial Unicode MS" w:hint="eastAsia"/>
            <w:color w:val="316C9D"/>
            <w:sz w:val="23"/>
            <w:lang w:eastAsia="en-NZ"/>
          </w:rPr>
          <w:t>Fig. 1</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shows funnel plots for these 16 trials, using six different choices of vertical axis. In each case, the horizontal axis is the log odds ratio, and the vertical line shows the summary log odds ratio calculated using fixed effects meta-analysis. Calculation of the summary log odds ratio using fixed rather than random-effects meta-analysis is preferable because the random-effects estimate gives greater relative weight to smaller studies, and will therefore be more affected if publication bias is present</w:t>
      </w:r>
      <w:r w:rsidRPr="00B86D9F">
        <w:rPr>
          <w:rFonts w:ascii="Arial Unicode MS" w:eastAsia="Arial Unicode MS" w:hAnsi="Arial Unicode MS" w:cs="Arial Unicode MS" w:hint="eastAsia"/>
          <w:color w:val="2E2E2E"/>
          <w:sz w:val="23"/>
          <w:lang w:eastAsia="en-NZ"/>
        </w:rPr>
        <w:t> </w:t>
      </w:r>
      <w:hyperlink r:id="rId11" w:anchor="BIB14" w:history="1">
        <w:r w:rsidRPr="00B86D9F">
          <w:rPr>
            <w:rFonts w:ascii="Arial Unicode MS" w:eastAsia="Arial Unicode MS" w:hAnsi="Arial Unicode MS" w:cs="Arial Unicode MS" w:hint="eastAsia"/>
            <w:color w:val="316C9D"/>
            <w:sz w:val="23"/>
            <w:lang w:eastAsia="en-NZ"/>
          </w:rPr>
          <w:t>[14]</w:t>
        </w:r>
      </w:hyperlink>
      <w:r w:rsidRPr="00B86D9F">
        <w:rPr>
          <w:rFonts w:ascii="Arial Unicode MS" w:eastAsia="Arial Unicode MS" w:hAnsi="Arial Unicode MS" w:cs="Arial Unicode MS" w:hint="eastAsia"/>
          <w:color w:val="2E2E2E"/>
          <w:sz w:val="23"/>
          <w:szCs w:val="23"/>
          <w:lang w:eastAsia="en-NZ"/>
        </w:rPr>
        <w:t>.</w:t>
      </w:r>
    </w:p>
    <w:p w:rsidR="00B86D9F" w:rsidRPr="00B86D9F" w:rsidRDefault="00B86D9F" w:rsidP="00B86D9F">
      <w:pPr>
        <w:shd w:val="clear" w:color="auto" w:fill="FFFFFF"/>
        <w:spacing w:after="176" w:line="351" w:lineRule="atLeast"/>
        <w:ind w:left="720"/>
        <w:jc w:val="both"/>
        <w:textAlignment w:val="baseline"/>
        <w:rPr>
          <w:rFonts w:ascii="Arial Unicode MS" w:eastAsia="Arial Unicode MS" w:hAnsi="Arial Unicode MS" w:cs="Arial Unicode MS" w:hint="eastAsia"/>
          <w:color w:val="5C5C5C"/>
          <w:sz w:val="19"/>
          <w:szCs w:val="19"/>
          <w:lang w:eastAsia="en-NZ"/>
        </w:rPr>
      </w:pPr>
      <w:proofErr w:type="gramStart"/>
      <w:r w:rsidRPr="00B86D9F">
        <w:rPr>
          <w:rFonts w:ascii="Arial Unicode MS" w:eastAsia="Arial Unicode MS" w:hAnsi="Arial Unicode MS" w:cs="Arial Unicode MS" w:hint="eastAsia"/>
          <w:color w:val="5C5C5C"/>
          <w:sz w:val="19"/>
          <w:lang w:eastAsia="en-NZ"/>
        </w:rPr>
        <w:t>Table 1.</w:t>
      </w:r>
      <w:proofErr w:type="gramEnd"/>
      <w:r w:rsidRPr="00B86D9F">
        <w:rPr>
          <w:rFonts w:ascii="Arial Unicode MS" w:eastAsia="Arial Unicode MS" w:hAnsi="Arial Unicode MS" w:cs="Arial Unicode MS" w:hint="eastAsia"/>
          <w:color w:val="5C5C5C"/>
          <w:sz w:val="19"/>
          <w:lang w:eastAsia="en-NZ"/>
        </w:rPr>
        <w:t> </w:t>
      </w:r>
      <w:r w:rsidRPr="00B86D9F">
        <w:rPr>
          <w:rFonts w:ascii="Arial Unicode MS" w:eastAsia="Arial Unicode MS" w:hAnsi="Arial Unicode MS" w:cs="Arial Unicode MS" w:hint="eastAsia"/>
          <w:color w:val="5C5C5C"/>
          <w:sz w:val="19"/>
          <w:szCs w:val="19"/>
          <w:lang w:eastAsia="en-NZ"/>
        </w:rPr>
        <w:t>Mortality results from 16 trials of intravenous magnesium in acute myocardial infarction</w:t>
      </w:r>
    </w:p>
    <w:tbl>
      <w:tblPr>
        <w:tblW w:w="0" w:type="auto"/>
        <w:tblInd w:w="720" w:type="dxa"/>
        <w:tblCellMar>
          <w:left w:w="0" w:type="dxa"/>
          <w:right w:w="0" w:type="dxa"/>
        </w:tblCellMar>
        <w:tblLook w:val="04A0"/>
      </w:tblPr>
      <w:tblGrid>
        <w:gridCol w:w="1861"/>
        <w:gridCol w:w="678"/>
        <w:gridCol w:w="840"/>
        <w:gridCol w:w="1937"/>
        <w:gridCol w:w="840"/>
        <w:gridCol w:w="1937"/>
      </w:tblGrid>
      <w:tr w:rsidR="00B86D9F" w:rsidRPr="00B86D9F" w:rsidTr="00B86D9F">
        <w:trPr>
          <w:tblHeader/>
        </w:trPr>
        <w:tc>
          <w:tcPr>
            <w:tcW w:w="0" w:type="auto"/>
            <w:tcBorders>
              <w:top w:val="single" w:sz="6" w:space="0" w:color="F9FBFC"/>
              <w:left w:val="single" w:sz="6" w:space="0" w:color="F9FBFC"/>
              <w:bottom w:val="single" w:sz="6" w:space="0" w:color="F9FBFC"/>
              <w:right w:val="single" w:sz="6" w:space="0" w:color="F9FBFC"/>
            </w:tcBorders>
            <w:shd w:val="clear" w:color="auto" w:fill="F9FBFC"/>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Study (first author)</w:t>
            </w:r>
          </w:p>
        </w:tc>
        <w:tc>
          <w:tcPr>
            <w:tcW w:w="0" w:type="auto"/>
            <w:tcBorders>
              <w:top w:val="single" w:sz="6" w:space="0" w:color="F9FBFC"/>
              <w:left w:val="single" w:sz="6" w:space="0" w:color="F9FBFC"/>
              <w:bottom w:val="single" w:sz="6" w:space="0" w:color="F9FBFC"/>
              <w:right w:val="single" w:sz="6" w:space="0" w:color="F9FBFC"/>
            </w:tcBorders>
            <w:shd w:val="clear" w:color="auto" w:fill="F9FBFC"/>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Year</w:t>
            </w:r>
          </w:p>
        </w:tc>
        <w:tc>
          <w:tcPr>
            <w:tcW w:w="0" w:type="auto"/>
            <w:gridSpan w:val="2"/>
            <w:tcBorders>
              <w:top w:val="single" w:sz="6" w:space="0" w:color="F9FBFC"/>
              <w:left w:val="single" w:sz="6" w:space="0" w:color="F9FBFC"/>
              <w:bottom w:val="single" w:sz="6" w:space="0" w:color="F9FBFC"/>
              <w:right w:val="single" w:sz="6" w:space="0" w:color="F9FBFC"/>
            </w:tcBorders>
            <w:shd w:val="clear" w:color="auto" w:fill="F9FBFC"/>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Magnesium</w:t>
            </w:r>
          </w:p>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pict>
                <v:rect id="_x0000_i1025" style="width:0;height:.9pt" o:hralign="center" o:hrstd="t" o:hr="t" fillcolor="#a0a0a0" stroked="f"/>
              </w:pict>
            </w:r>
          </w:p>
        </w:tc>
        <w:tc>
          <w:tcPr>
            <w:tcW w:w="0" w:type="auto"/>
            <w:gridSpan w:val="2"/>
            <w:tcBorders>
              <w:top w:val="single" w:sz="6" w:space="0" w:color="F9FBFC"/>
              <w:left w:val="single" w:sz="6" w:space="0" w:color="F9FBFC"/>
              <w:bottom w:val="single" w:sz="6" w:space="0" w:color="F9FBFC"/>
              <w:right w:val="single" w:sz="6" w:space="0" w:color="F9FBFC"/>
            </w:tcBorders>
            <w:shd w:val="clear" w:color="auto" w:fill="F9FBFC"/>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Control</w:t>
            </w:r>
          </w:p>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pict>
                <v:rect id="_x0000_i1026" style="width:0;height:.9pt" o:hralign="center" o:hrstd="t" o:hr="t" fillcolor="#a0a0a0" stroked="f"/>
              </w:pict>
            </w:r>
          </w:p>
        </w:tc>
      </w:tr>
      <w:tr w:rsidR="00B86D9F" w:rsidRPr="00B86D9F" w:rsidTr="00B86D9F">
        <w:trPr>
          <w:tblHeader/>
        </w:trPr>
        <w:tc>
          <w:tcPr>
            <w:tcW w:w="0" w:type="auto"/>
            <w:tcBorders>
              <w:top w:val="single" w:sz="6" w:space="0" w:color="F9FBFC"/>
              <w:left w:val="single" w:sz="6" w:space="0" w:color="F9FBFC"/>
              <w:bottom w:val="single" w:sz="6" w:space="0" w:color="F9FBFC"/>
              <w:right w:val="single" w:sz="6" w:space="0" w:color="F9FBFC"/>
            </w:tcBorders>
            <w:shd w:val="clear" w:color="auto" w:fill="F9FBFC"/>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p>
        </w:tc>
        <w:tc>
          <w:tcPr>
            <w:tcW w:w="0" w:type="auto"/>
            <w:tcBorders>
              <w:top w:val="single" w:sz="6" w:space="0" w:color="F9FBFC"/>
              <w:left w:val="single" w:sz="6" w:space="0" w:color="F9FBFC"/>
              <w:bottom w:val="single" w:sz="6" w:space="0" w:color="F9FBFC"/>
              <w:right w:val="single" w:sz="6" w:space="0" w:color="F9FBFC"/>
            </w:tcBorders>
            <w:shd w:val="clear" w:color="auto" w:fill="F9FBFC"/>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p>
        </w:tc>
        <w:tc>
          <w:tcPr>
            <w:tcW w:w="0" w:type="auto"/>
            <w:tcBorders>
              <w:top w:val="single" w:sz="6" w:space="0" w:color="F9FBFC"/>
              <w:left w:val="single" w:sz="6" w:space="0" w:color="F9FBFC"/>
              <w:bottom w:val="single" w:sz="6" w:space="0" w:color="F9FBFC"/>
              <w:right w:val="single" w:sz="6" w:space="0" w:color="F9FBFC"/>
            </w:tcBorders>
            <w:shd w:val="clear" w:color="auto" w:fill="F9FBFC"/>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Deaths</w:t>
            </w:r>
          </w:p>
        </w:tc>
        <w:tc>
          <w:tcPr>
            <w:tcW w:w="0" w:type="auto"/>
            <w:tcBorders>
              <w:top w:val="single" w:sz="6" w:space="0" w:color="F9FBFC"/>
              <w:left w:val="single" w:sz="6" w:space="0" w:color="F9FBFC"/>
              <w:bottom w:val="single" w:sz="6" w:space="0" w:color="F9FBFC"/>
              <w:right w:val="single" w:sz="6" w:space="0" w:color="F9FBFC"/>
            </w:tcBorders>
            <w:shd w:val="clear" w:color="auto" w:fill="F9FBFC"/>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Total no. of patients</w:t>
            </w:r>
          </w:p>
        </w:tc>
        <w:tc>
          <w:tcPr>
            <w:tcW w:w="0" w:type="auto"/>
            <w:tcBorders>
              <w:top w:val="single" w:sz="6" w:space="0" w:color="F9FBFC"/>
              <w:left w:val="single" w:sz="6" w:space="0" w:color="F9FBFC"/>
              <w:bottom w:val="single" w:sz="6" w:space="0" w:color="F9FBFC"/>
              <w:right w:val="single" w:sz="6" w:space="0" w:color="F9FBFC"/>
            </w:tcBorders>
            <w:shd w:val="clear" w:color="auto" w:fill="F9FBFC"/>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Deaths</w:t>
            </w:r>
          </w:p>
        </w:tc>
        <w:tc>
          <w:tcPr>
            <w:tcW w:w="0" w:type="auto"/>
            <w:tcBorders>
              <w:top w:val="single" w:sz="6" w:space="0" w:color="F9FBFC"/>
              <w:left w:val="single" w:sz="6" w:space="0" w:color="F9FBFC"/>
              <w:bottom w:val="single" w:sz="6" w:space="0" w:color="F9FBFC"/>
              <w:right w:val="single" w:sz="6" w:space="0" w:color="F9FBFC"/>
            </w:tcBorders>
            <w:shd w:val="clear" w:color="auto" w:fill="F9FBFC"/>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Total no. of patients</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Morton</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1984</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40</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36</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Rasmussen</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1986</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9</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135</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23</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135</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Smith</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1986</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200</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7</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200</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Abraham</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1987</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48</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46</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proofErr w:type="spellStart"/>
            <w:r w:rsidRPr="00B86D9F">
              <w:rPr>
                <w:rFonts w:ascii="Times New Roman" w:eastAsia="Times New Roman" w:hAnsi="Times New Roman" w:cs="Times New Roman"/>
                <w:sz w:val="19"/>
                <w:szCs w:val="19"/>
                <w:lang w:eastAsia="en-NZ"/>
              </w:rPr>
              <w:t>Feldstedt</w:t>
            </w:r>
            <w:proofErr w:type="spellEnd"/>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1988</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10</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150</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8</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148</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Schechter</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1989</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59</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9</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56</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proofErr w:type="spellStart"/>
            <w:r w:rsidRPr="00B86D9F">
              <w:rPr>
                <w:rFonts w:ascii="Times New Roman" w:eastAsia="Times New Roman" w:hAnsi="Times New Roman" w:cs="Times New Roman"/>
                <w:sz w:val="19"/>
                <w:szCs w:val="19"/>
                <w:lang w:eastAsia="en-NZ"/>
              </w:rPr>
              <w:t>Ceremuzynski</w:t>
            </w:r>
            <w:proofErr w:type="spellEnd"/>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1989</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25</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3</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23</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proofErr w:type="spellStart"/>
            <w:r w:rsidRPr="00B86D9F">
              <w:rPr>
                <w:rFonts w:ascii="Times New Roman" w:eastAsia="Times New Roman" w:hAnsi="Times New Roman" w:cs="Times New Roman"/>
                <w:sz w:val="19"/>
                <w:szCs w:val="19"/>
                <w:lang w:eastAsia="en-NZ"/>
              </w:rPr>
              <w:t>Bertschat</w:t>
            </w:r>
            <w:proofErr w:type="spellEnd"/>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1989</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0</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22</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21</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Singh</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1990</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6</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76</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75</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Pereira</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1990</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27</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7</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27</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 xml:space="preserve">Schechter &amp; </w:t>
            </w:r>
            <w:proofErr w:type="spellStart"/>
            <w:r w:rsidRPr="00B86D9F">
              <w:rPr>
                <w:rFonts w:ascii="Times New Roman" w:eastAsia="Times New Roman" w:hAnsi="Times New Roman" w:cs="Times New Roman"/>
                <w:sz w:val="19"/>
                <w:szCs w:val="19"/>
                <w:lang w:eastAsia="en-NZ"/>
              </w:rPr>
              <w:t>Hod</w:t>
            </w:r>
            <w:proofErr w:type="spellEnd"/>
            <w:r w:rsidRPr="00B86D9F">
              <w:rPr>
                <w:rFonts w:ascii="Times New Roman" w:eastAsia="Times New Roman" w:hAnsi="Times New Roman" w:cs="Times New Roman"/>
                <w:sz w:val="19"/>
                <w:szCs w:val="19"/>
                <w:lang w:eastAsia="en-NZ"/>
              </w:rPr>
              <w:t xml:space="preserve"> 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1991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89</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12</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80</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Golf</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1991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5</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23</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13</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33</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proofErr w:type="spellStart"/>
            <w:r w:rsidRPr="00B86D9F">
              <w:rPr>
                <w:rFonts w:ascii="Times New Roman" w:eastAsia="Times New Roman" w:hAnsi="Times New Roman" w:cs="Times New Roman"/>
                <w:sz w:val="19"/>
                <w:szCs w:val="19"/>
                <w:lang w:eastAsia="en-NZ"/>
              </w:rPr>
              <w:t>Thögersen</w:t>
            </w:r>
            <w:proofErr w:type="spellEnd"/>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1991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4</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130</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8</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122</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LIMIT-2</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1992</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90</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1159</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118</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1157</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 xml:space="preserve">Schechter &amp; </w:t>
            </w:r>
            <w:proofErr w:type="spellStart"/>
            <w:r w:rsidRPr="00B86D9F">
              <w:rPr>
                <w:rFonts w:ascii="Times New Roman" w:eastAsia="Times New Roman" w:hAnsi="Times New Roman" w:cs="Times New Roman"/>
                <w:sz w:val="19"/>
                <w:szCs w:val="19"/>
                <w:lang w:eastAsia="en-NZ"/>
              </w:rPr>
              <w:t>Hod</w:t>
            </w:r>
            <w:proofErr w:type="spellEnd"/>
            <w:r w:rsidRPr="00B86D9F">
              <w:rPr>
                <w:rFonts w:ascii="Times New Roman" w:eastAsia="Times New Roman" w:hAnsi="Times New Roman" w:cs="Times New Roman"/>
                <w:sz w:val="19"/>
                <w:szCs w:val="19"/>
                <w:lang w:eastAsia="en-NZ"/>
              </w:rPr>
              <w:t xml:space="preserve"> 2</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1995</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4</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107</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17</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108</w:t>
            </w:r>
          </w:p>
        </w:tc>
      </w:tr>
      <w:tr w:rsidR="00B86D9F" w:rsidRPr="00B86D9F" w:rsidTr="00B86D9F">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ISIS-4</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1995</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2216</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29011</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2103</w:t>
            </w:r>
          </w:p>
        </w:tc>
        <w:tc>
          <w:tcPr>
            <w:tcW w:w="0" w:type="auto"/>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29039</w:t>
            </w:r>
          </w:p>
        </w:tc>
      </w:tr>
      <w:tr w:rsidR="00B86D9F" w:rsidRPr="00B86D9F" w:rsidTr="00B86D9F">
        <w:tc>
          <w:tcPr>
            <w:tcW w:w="0" w:type="auto"/>
            <w:gridSpan w:val="6"/>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ISIS-4: Fourth International Study of Infarct Survival.</w:t>
            </w:r>
          </w:p>
        </w:tc>
      </w:tr>
      <w:tr w:rsidR="00B86D9F" w:rsidRPr="00B86D9F" w:rsidTr="00B86D9F">
        <w:tc>
          <w:tcPr>
            <w:tcW w:w="0" w:type="auto"/>
            <w:gridSpan w:val="6"/>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 xml:space="preserve">0.5 was added to all cells in the 2 × 2 table to allow calculation of the odds ratio for the </w:t>
            </w:r>
            <w:proofErr w:type="spellStart"/>
            <w:r w:rsidRPr="00B86D9F">
              <w:rPr>
                <w:rFonts w:ascii="Times New Roman" w:eastAsia="Times New Roman" w:hAnsi="Times New Roman" w:cs="Times New Roman"/>
                <w:sz w:val="19"/>
                <w:szCs w:val="19"/>
                <w:lang w:eastAsia="en-NZ"/>
              </w:rPr>
              <w:t>Bertschart</w:t>
            </w:r>
            <w:proofErr w:type="spellEnd"/>
            <w:r w:rsidRPr="00B86D9F">
              <w:rPr>
                <w:rFonts w:ascii="Times New Roman" w:eastAsia="Times New Roman" w:hAnsi="Times New Roman" w:cs="Times New Roman"/>
                <w:sz w:val="19"/>
                <w:szCs w:val="19"/>
                <w:lang w:eastAsia="en-NZ"/>
              </w:rPr>
              <w:t xml:space="preserve"> trial.</w:t>
            </w:r>
          </w:p>
        </w:tc>
      </w:tr>
      <w:tr w:rsidR="00B86D9F" w:rsidRPr="00B86D9F" w:rsidTr="00B86D9F">
        <w:tc>
          <w:tcPr>
            <w:tcW w:w="0" w:type="auto"/>
            <w:gridSpan w:val="6"/>
            <w:tcBorders>
              <w:top w:val="single" w:sz="6" w:space="0" w:color="ECF2F6"/>
              <w:left w:val="single" w:sz="6" w:space="0" w:color="ECF2F6"/>
              <w:bottom w:val="single" w:sz="6" w:space="0" w:color="ECF2F6"/>
              <w:right w:val="single" w:sz="6" w:space="0" w:color="ECF2F6"/>
            </w:tcBorders>
            <w:shd w:val="clear" w:color="auto" w:fill="FFFFFF"/>
            <w:tcMar>
              <w:top w:w="24" w:type="dxa"/>
              <w:left w:w="120" w:type="dxa"/>
              <w:bottom w:w="24" w:type="dxa"/>
              <w:right w:w="120" w:type="dxa"/>
            </w:tcMar>
            <w:hideMark/>
          </w:tcPr>
          <w:p w:rsidR="00B86D9F" w:rsidRPr="00B86D9F" w:rsidRDefault="00B86D9F" w:rsidP="00B86D9F">
            <w:pPr>
              <w:spacing w:after="0" w:line="240" w:lineRule="auto"/>
              <w:rPr>
                <w:rFonts w:ascii="Times New Roman" w:eastAsia="Times New Roman" w:hAnsi="Times New Roman" w:cs="Times New Roman"/>
                <w:sz w:val="19"/>
                <w:szCs w:val="19"/>
                <w:lang w:eastAsia="en-NZ"/>
              </w:rPr>
            </w:pPr>
            <w:r w:rsidRPr="00B86D9F">
              <w:rPr>
                <w:rFonts w:ascii="Times New Roman" w:eastAsia="Times New Roman" w:hAnsi="Times New Roman" w:cs="Times New Roman"/>
                <w:sz w:val="19"/>
                <w:szCs w:val="19"/>
                <w:lang w:eastAsia="en-NZ"/>
              </w:rPr>
              <w:t>Bibliographic references are available from the authors on request.</w:t>
            </w:r>
          </w:p>
        </w:tc>
      </w:tr>
    </w:tbl>
    <w:p w:rsidR="00B86D9F" w:rsidRPr="00B86D9F" w:rsidRDefault="00B86D9F" w:rsidP="00B86D9F">
      <w:pPr>
        <w:shd w:val="clear" w:color="auto" w:fill="F1F2F2"/>
        <w:spacing w:after="176" w:line="351" w:lineRule="atLeast"/>
        <w:ind w:left="720"/>
        <w:jc w:val="right"/>
        <w:textAlignment w:val="baseline"/>
        <w:rPr>
          <w:rFonts w:ascii="Arial Unicode MS" w:eastAsia="Arial Unicode MS" w:hAnsi="Arial Unicode MS" w:cs="Arial Unicode MS" w:hint="eastAsia"/>
          <w:color w:val="2E2E2E"/>
          <w:sz w:val="18"/>
          <w:szCs w:val="18"/>
          <w:lang w:eastAsia="en-NZ"/>
        </w:rPr>
      </w:pPr>
      <w:hyperlink r:id="rId12" w:history="1">
        <w:r w:rsidRPr="00B86D9F">
          <w:rPr>
            <w:rFonts w:ascii="Arial Unicode MS" w:eastAsia="Arial Unicode MS" w:hAnsi="Arial Unicode MS" w:cs="Arial Unicode MS" w:hint="eastAsia"/>
            <w:color w:val="2E2E2E"/>
            <w:sz w:val="19"/>
            <w:lang w:eastAsia="en-NZ"/>
          </w:rPr>
          <w:t>Table options</w:t>
        </w:r>
      </w:hyperlink>
    </w:p>
    <w:p w:rsidR="00B86D9F" w:rsidRPr="00B86D9F" w:rsidRDefault="00B86D9F" w:rsidP="00B86D9F">
      <w:pPr>
        <w:shd w:val="clear" w:color="auto" w:fill="FFFFFF"/>
        <w:spacing w:after="0" w:line="351" w:lineRule="atLeast"/>
        <w:textAlignment w:val="baseline"/>
        <w:rPr>
          <w:rFonts w:ascii="Arial Unicode MS" w:eastAsia="Arial Unicode MS" w:hAnsi="Arial Unicode MS" w:cs="Arial Unicode MS" w:hint="eastAsia"/>
          <w:color w:val="2E2E2E"/>
          <w:sz w:val="23"/>
          <w:szCs w:val="23"/>
          <w:lang w:eastAsia="en-NZ"/>
        </w:rPr>
      </w:pPr>
      <w:r>
        <w:rPr>
          <w:rFonts w:ascii="Arial Unicode MS" w:eastAsia="Arial Unicode MS" w:hAnsi="Arial Unicode MS" w:cs="Arial Unicode MS"/>
          <w:noProof/>
          <w:color w:val="316C9D"/>
          <w:sz w:val="23"/>
          <w:szCs w:val="23"/>
          <w:bdr w:val="none" w:sz="0" w:space="0" w:color="auto" w:frame="1"/>
          <w:lang w:eastAsia="en-NZ"/>
        </w:rPr>
        <w:lastRenderedPageBreak/>
        <w:drawing>
          <wp:inline distT="0" distB="0" distL="0" distR="0">
            <wp:extent cx="5731510" cy="5642610"/>
            <wp:effectExtent l="19050" t="0" r="2540" b="0"/>
            <wp:docPr id="3" name="Picture 3" descr="Full-size image (19 K)">
              <a:hlinkClick xmlns:a="http://schemas.openxmlformats.org/drawingml/2006/main" r:id="rId13" tooltip="&quot;Full-size image (19 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19 K)">
                      <a:hlinkClick r:id="rId13" tooltip="&quot;Full-size image (19 K)&quot;"/>
                    </pic:cNvPr>
                    <pic:cNvPicPr>
                      <a:picLocks noChangeAspect="1" noChangeArrowheads="1"/>
                    </pic:cNvPicPr>
                  </pic:nvPicPr>
                  <pic:blipFill>
                    <a:blip r:embed="rId14" cstate="print"/>
                    <a:srcRect/>
                    <a:stretch>
                      <a:fillRect/>
                    </a:stretch>
                  </pic:blipFill>
                  <pic:spPr bwMode="auto">
                    <a:xfrm>
                      <a:off x="0" y="0"/>
                      <a:ext cx="5731510" cy="5642610"/>
                    </a:xfrm>
                    <a:prstGeom prst="rect">
                      <a:avLst/>
                    </a:prstGeom>
                    <a:noFill/>
                    <a:ln w="9525">
                      <a:noFill/>
                      <a:miter lim="800000"/>
                      <a:headEnd/>
                      <a:tailEnd/>
                    </a:ln>
                  </pic:spPr>
                </pic:pic>
              </a:graphicData>
            </a:graphic>
          </wp:inline>
        </w:drawing>
      </w:r>
    </w:p>
    <w:p w:rsidR="00B86D9F" w:rsidRPr="00B86D9F" w:rsidRDefault="00B86D9F" w:rsidP="00B86D9F">
      <w:pPr>
        <w:shd w:val="clear" w:color="auto" w:fill="FFFFFF"/>
        <w:spacing w:after="0" w:line="351" w:lineRule="atLeast"/>
        <w:ind w:left="720"/>
        <w:jc w:val="both"/>
        <w:textAlignment w:val="baseline"/>
        <w:rPr>
          <w:rFonts w:ascii="Arial Unicode MS" w:eastAsia="Arial Unicode MS" w:hAnsi="Arial Unicode MS" w:cs="Arial Unicode MS" w:hint="eastAsia"/>
          <w:color w:val="5C5C5C"/>
          <w:sz w:val="19"/>
          <w:szCs w:val="19"/>
          <w:lang w:eastAsia="en-NZ"/>
        </w:rPr>
      </w:pPr>
      <w:proofErr w:type="gramStart"/>
      <w:r w:rsidRPr="00B86D9F">
        <w:rPr>
          <w:rFonts w:ascii="Arial Unicode MS" w:eastAsia="Arial Unicode MS" w:hAnsi="Arial Unicode MS" w:cs="Arial Unicode MS" w:hint="eastAsia"/>
          <w:color w:val="5C5C5C"/>
          <w:sz w:val="19"/>
          <w:szCs w:val="19"/>
          <w:lang w:eastAsia="en-NZ"/>
        </w:rPr>
        <w:t>Fig. 1.</w:t>
      </w:r>
      <w:proofErr w:type="gramEnd"/>
      <w:r w:rsidRPr="00B86D9F">
        <w:rPr>
          <w:rFonts w:ascii="Arial Unicode MS" w:eastAsia="Arial Unicode MS" w:hAnsi="Arial Unicode MS" w:cs="Arial Unicode MS" w:hint="eastAsia"/>
          <w:color w:val="5C5C5C"/>
          <w:sz w:val="19"/>
          <w:szCs w:val="19"/>
          <w:lang w:eastAsia="en-NZ"/>
        </w:rPr>
        <w:t> </w:t>
      </w:r>
      <w:r w:rsidRPr="00B86D9F">
        <w:rPr>
          <w:rFonts w:ascii="Arial Unicode MS" w:eastAsia="Arial Unicode MS" w:hAnsi="Arial Unicode MS" w:cs="Arial Unicode MS" w:hint="eastAsia"/>
          <w:color w:val="5C5C5C"/>
          <w:sz w:val="19"/>
          <w:szCs w:val="19"/>
          <w:bdr w:val="none" w:sz="0" w:space="0" w:color="auto" w:frame="1"/>
          <w:lang w:eastAsia="en-NZ"/>
        </w:rPr>
        <w:t>Funnel plots for the magnesium trials with different vertical axes. The points correspond to the treatment effects from individual trials, and the diagonal or curved lines show the expected 95% confidence intervals around the summary estimate. Odds ratios are plotted on a logarithmic scale, to ensure that effects of the same magnitude but opposite directions are equidistant from 1.0</w:t>
      </w:r>
    </w:p>
    <w:p w:rsidR="00B86D9F" w:rsidRPr="00B86D9F" w:rsidRDefault="00B86D9F" w:rsidP="00B86D9F">
      <w:pPr>
        <w:shd w:val="clear" w:color="auto" w:fill="F1F2F2"/>
        <w:spacing w:after="176" w:line="351" w:lineRule="atLeast"/>
        <w:ind w:left="720"/>
        <w:jc w:val="right"/>
        <w:textAlignment w:val="baseline"/>
        <w:rPr>
          <w:rFonts w:ascii="Arial Unicode MS" w:eastAsia="Arial Unicode MS" w:hAnsi="Arial Unicode MS" w:cs="Arial Unicode MS" w:hint="eastAsia"/>
          <w:color w:val="2E2E2E"/>
          <w:sz w:val="18"/>
          <w:szCs w:val="18"/>
          <w:lang w:eastAsia="en-NZ"/>
        </w:rPr>
      </w:pPr>
      <w:hyperlink r:id="rId15" w:history="1">
        <w:r w:rsidRPr="00B86D9F">
          <w:rPr>
            <w:rFonts w:ascii="Arial Unicode MS" w:eastAsia="Arial Unicode MS" w:hAnsi="Arial Unicode MS" w:cs="Arial Unicode MS" w:hint="eastAsia"/>
            <w:color w:val="2E2E2E"/>
            <w:sz w:val="19"/>
            <w:lang w:eastAsia="en-NZ"/>
          </w:rPr>
          <w:t>Figure options</w:t>
        </w:r>
      </w:hyperlink>
    </w:p>
    <w:p w:rsidR="00B86D9F" w:rsidRPr="00B86D9F" w:rsidRDefault="00B86D9F" w:rsidP="00B86D9F">
      <w:pPr>
        <w:shd w:val="clear" w:color="auto" w:fill="FFFFFF"/>
        <w:spacing w:after="0" w:line="351" w:lineRule="atLeast"/>
        <w:jc w:val="both"/>
        <w:textAlignment w:val="baseline"/>
        <w:rPr>
          <w:rFonts w:ascii="Arial Unicode MS" w:eastAsia="Arial Unicode MS" w:hAnsi="Arial Unicode MS" w:cs="Arial Unicode MS" w:hint="eastAsia"/>
          <w:color w:val="2E2E2E"/>
          <w:sz w:val="23"/>
          <w:szCs w:val="23"/>
          <w:lang w:eastAsia="en-NZ"/>
        </w:rPr>
      </w:pPr>
      <w:hyperlink r:id="rId16" w:anchor="FIG1" w:history="1">
        <w:r w:rsidRPr="00B86D9F">
          <w:rPr>
            <w:rFonts w:ascii="Arial Unicode MS" w:eastAsia="Arial Unicode MS" w:hAnsi="Arial Unicode MS" w:cs="Arial Unicode MS" w:hint="eastAsia"/>
            <w:color w:val="316C9D"/>
            <w:sz w:val="23"/>
            <w:lang w:eastAsia="en-NZ"/>
          </w:rPr>
          <w:t>Fig. 1A</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 xml:space="preserve">uses standard error (SE) as the vertical axis. The largest studies have the smallest standard errors, so to place the largest trials at the top of the </w:t>
      </w:r>
      <w:proofErr w:type="gramStart"/>
      <w:r w:rsidRPr="00B86D9F">
        <w:rPr>
          <w:rFonts w:ascii="Arial Unicode MS" w:eastAsia="Arial Unicode MS" w:hAnsi="Arial Unicode MS" w:cs="Arial Unicode MS" w:hint="eastAsia"/>
          <w:color w:val="2E2E2E"/>
          <w:sz w:val="23"/>
          <w:szCs w:val="23"/>
          <w:lang w:eastAsia="en-NZ"/>
        </w:rPr>
        <w:t>graph,</w:t>
      </w:r>
      <w:proofErr w:type="gramEnd"/>
      <w:r w:rsidRPr="00B86D9F">
        <w:rPr>
          <w:rFonts w:ascii="Arial Unicode MS" w:eastAsia="Arial Unicode MS" w:hAnsi="Arial Unicode MS" w:cs="Arial Unicode MS" w:hint="eastAsia"/>
          <w:color w:val="2E2E2E"/>
          <w:sz w:val="23"/>
          <w:szCs w:val="23"/>
          <w:lang w:eastAsia="en-NZ"/>
        </w:rPr>
        <w:t xml:space="preserve"> the axis has to be inverted (standard error 0 at the top). The diagonal lines show the expected 95% confidence intervals around the summary estimate, i.e. [summary effect estimate − (1.96 × SE)] and [summary effect estimate + (1.96 × SE)] for each SE on the vertical axis. They indicate the extent of between-trial heterogeneity: in the absence of </w:t>
      </w:r>
      <w:r w:rsidRPr="00B86D9F">
        <w:rPr>
          <w:rFonts w:ascii="Arial Unicode MS" w:eastAsia="Arial Unicode MS" w:hAnsi="Arial Unicode MS" w:cs="Arial Unicode MS" w:hint="eastAsia"/>
          <w:color w:val="2E2E2E"/>
          <w:sz w:val="23"/>
          <w:szCs w:val="23"/>
          <w:lang w:eastAsia="en-NZ"/>
        </w:rPr>
        <w:lastRenderedPageBreak/>
        <w:t>heterogeneity 95% of the trials should lie within the funnel defined by these straight lines.</w:t>
      </w:r>
    </w:p>
    <w:p w:rsidR="00B86D9F" w:rsidRPr="00B86D9F" w:rsidRDefault="00B86D9F" w:rsidP="00B86D9F">
      <w:pPr>
        <w:shd w:val="clear" w:color="auto" w:fill="FFFFFF"/>
        <w:spacing w:after="0" w:line="351" w:lineRule="atLeast"/>
        <w:jc w:val="both"/>
        <w:textAlignment w:val="baseline"/>
        <w:rPr>
          <w:rFonts w:ascii="Arial Unicode MS" w:eastAsia="Arial Unicode MS" w:hAnsi="Arial Unicode MS" w:cs="Arial Unicode MS" w:hint="eastAsia"/>
          <w:color w:val="2E2E2E"/>
          <w:sz w:val="23"/>
          <w:szCs w:val="23"/>
          <w:lang w:eastAsia="en-NZ"/>
        </w:rPr>
      </w:pPr>
      <w:hyperlink r:id="rId17" w:anchor="FIG1" w:history="1">
        <w:r w:rsidRPr="00B86D9F">
          <w:rPr>
            <w:rFonts w:ascii="Arial Unicode MS" w:eastAsia="Arial Unicode MS" w:hAnsi="Arial Unicode MS" w:cs="Arial Unicode MS" w:hint="eastAsia"/>
            <w:color w:val="316C9D"/>
            <w:sz w:val="23"/>
            <w:lang w:eastAsia="en-NZ"/>
          </w:rPr>
          <w:t>Fig. 1B</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uses precision (defined as 1/SE) as the vertical axis. No inversion of the axis is required, because the larger the study the smaller the standard error and hence the larger the precision. The lines showing expected 95% confidence intervals are derived by calculating the standard error corresponding to the value of the precision on the vertical axis. They are sharply curved and the plot emphasises the difference between the largest studies while smaller studies are compressed at the bottom.</w:t>
      </w:r>
      <w:r w:rsidRPr="00B86D9F">
        <w:rPr>
          <w:rFonts w:ascii="Arial Unicode MS" w:eastAsia="Arial Unicode MS" w:hAnsi="Arial Unicode MS" w:cs="Arial Unicode MS" w:hint="eastAsia"/>
          <w:color w:val="2E2E2E"/>
          <w:sz w:val="23"/>
          <w:lang w:eastAsia="en-NZ"/>
        </w:rPr>
        <w:t> </w:t>
      </w:r>
      <w:hyperlink r:id="rId18" w:anchor="FIG1" w:history="1">
        <w:r w:rsidRPr="00B86D9F">
          <w:rPr>
            <w:rFonts w:ascii="Arial Unicode MS" w:eastAsia="Arial Unicode MS" w:hAnsi="Arial Unicode MS" w:cs="Arial Unicode MS" w:hint="eastAsia"/>
            <w:color w:val="316C9D"/>
            <w:sz w:val="23"/>
            <w:lang w:eastAsia="en-NZ"/>
          </w:rPr>
          <w:t>Fig. 1C and D</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use variance (= SE</w:t>
      </w:r>
      <w:r w:rsidRPr="00B86D9F">
        <w:rPr>
          <w:rFonts w:ascii="Arial Unicode MS" w:eastAsia="Arial Unicode MS" w:hAnsi="Arial Unicode MS" w:cs="Arial Unicode MS" w:hint="eastAsia"/>
          <w:color w:val="2E2E2E"/>
          <w:sz w:val="17"/>
          <w:szCs w:val="17"/>
          <w:bdr w:val="none" w:sz="0" w:space="0" w:color="auto" w:frame="1"/>
          <w:vertAlign w:val="superscript"/>
          <w:lang w:eastAsia="en-NZ"/>
        </w:rPr>
        <w:t>2</w:t>
      </w:r>
      <w:r w:rsidRPr="00B86D9F">
        <w:rPr>
          <w:rFonts w:ascii="Arial Unicode MS" w:eastAsia="Arial Unicode MS" w:hAnsi="Arial Unicode MS" w:cs="Arial Unicode MS" w:hint="eastAsia"/>
          <w:color w:val="2E2E2E"/>
          <w:sz w:val="23"/>
          <w:szCs w:val="23"/>
          <w:lang w:eastAsia="en-NZ"/>
        </w:rPr>
        <w:t>) and inverse variance (1/variance) respectively for the vertical axis. In</w:t>
      </w:r>
      <w:r w:rsidRPr="00B86D9F">
        <w:rPr>
          <w:rFonts w:ascii="Arial Unicode MS" w:eastAsia="Arial Unicode MS" w:hAnsi="Arial Unicode MS" w:cs="Arial Unicode MS" w:hint="eastAsia"/>
          <w:color w:val="2E2E2E"/>
          <w:sz w:val="23"/>
          <w:lang w:eastAsia="en-NZ"/>
        </w:rPr>
        <w:t> </w:t>
      </w:r>
      <w:hyperlink r:id="rId19" w:anchor="FIG1" w:history="1">
        <w:r w:rsidRPr="00B86D9F">
          <w:rPr>
            <w:rFonts w:ascii="Arial Unicode MS" w:eastAsia="Arial Unicode MS" w:hAnsi="Arial Unicode MS" w:cs="Arial Unicode MS" w:hint="eastAsia"/>
            <w:color w:val="316C9D"/>
            <w:sz w:val="23"/>
            <w:lang w:eastAsia="en-NZ"/>
          </w:rPr>
          <w:t>Fig. 1C</w:t>
        </w:r>
      </w:hyperlink>
      <w:r w:rsidRPr="00B86D9F">
        <w:rPr>
          <w:rFonts w:ascii="Arial Unicode MS" w:eastAsia="Arial Unicode MS" w:hAnsi="Arial Unicode MS" w:cs="Arial Unicode MS" w:hint="eastAsia"/>
          <w:color w:val="2E2E2E"/>
          <w:sz w:val="23"/>
          <w:szCs w:val="23"/>
          <w:lang w:eastAsia="en-NZ"/>
        </w:rPr>
        <w:t xml:space="preserve">, the smaller studies are further apart and the larger studies closer together than for standard error, so that the funnel is flattened at the </w:t>
      </w:r>
      <w:proofErr w:type="spellStart"/>
      <w:r w:rsidRPr="00B86D9F">
        <w:rPr>
          <w:rFonts w:ascii="Arial Unicode MS" w:eastAsia="Arial Unicode MS" w:hAnsi="Arial Unicode MS" w:cs="Arial Unicode MS" w:hint="eastAsia"/>
          <w:color w:val="2E2E2E"/>
          <w:sz w:val="23"/>
          <w:szCs w:val="23"/>
          <w:lang w:eastAsia="en-NZ"/>
        </w:rPr>
        <w:t>top.</w:t>
      </w:r>
      <w:hyperlink r:id="rId20" w:anchor="FIG1" w:history="1">
        <w:r w:rsidRPr="00B86D9F">
          <w:rPr>
            <w:rFonts w:ascii="Arial Unicode MS" w:eastAsia="Arial Unicode MS" w:hAnsi="Arial Unicode MS" w:cs="Arial Unicode MS" w:hint="eastAsia"/>
            <w:color w:val="316C9D"/>
            <w:sz w:val="23"/>
            <w:lang w:eastAsia="en-NZ"/>
          </w:rPr>
          <w:t>Fig</w:t>
        </w:r>
        <w:proofErr w:type="spellEnd"/>
        <w:r w:rsidRPr="00B86D9F">
          <w:rPr>
            <w:rFonts w:ascii="Arial Unicode MS" w:eastAsia="Arial Unicode MS" w:hAnsi="Arial Unicode MS" w:cs="Arial Unicode MS" w:hint="eastAsia"/>
            <w:color w:val="316C9D"/>
            <w:sz w:val="23"/>
            <w:lang w:eastAsia="en-NZ"/>
          </w:rPr>
          <w:t>. 1D</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might be thought informative since the weights in fixed-effects meta-analysis are proportional to the inverse variance. However this plot compresses the smaller studies together even more than</w:t>
      </w:r>
      <w:r w:rsidRPr="00B86D9F">
        <w:rPr>
          <w:rFonts w:ascii="Arial Unicode MS" w:eastAsia="Arial Unicode MS" w:hAnsi="Arial Unicode MS" w:cs="Arial Unicode MS" w:hint="eastAsia"/>
          <w:color w:val="2E2E2E"/>
          <w:sz w:val="23"/>
          <w:lang w:eastAsia="en-NZ"/>
        </w:rPr>
        <w:t> </w:t>
      </w:r>
      <w:hyperlink r:id="rId21" w:anchor="FIG1" w:history="1">
        <w:r w:rsidRPr="00B86D9F">
          <w:rPr>
            <w:rFonts w:ascii="Arial Unicode MS" w:eastAsia="Arial Unicode MS" w:hAnsi="Arial Unicode MS" w:cs="Arial Unicode MS" w:hint="eastAsia"/>
            <w:color w:val="316C9D"/>
            <w:sz w:val="23"/>
            <w:lang w:eastAsia="en-NZ"/>
          </w:rPr>
          <w:t>Fig. 1B</w:t>
        </w:r>
      </w:hyperlink>
      <w:r w:rsidRPr="00B86D9F">
        <w:rPr>
          <w:rFonts w:ascii="Arial Unicode MS" w:eastAsia="Arial Unicode MS" w:hAnsi="Arial Unicode MS" w:cs="Arial Unicode MS" w:hint="eastAsia"/>
          <w:color w:val="2E2E2E"/>
          <w:sz w:val="23"/>
          <w:szCs w:val="23"/>
          <w:lang w:eastAsia="en-NZ"/>
        </w:rPr>
        <w:t>, so that the expected 95% confidence intervals are even more sharply curved.</w:t>
      </w:r>
    </w:p>
    <w:p w:rsidR="00B86D9F" w:rsidRPr="00B86D9F" w:rsidRDefault="00B86D9F" w:rsidP="00B86D9F">
      <w:pPr>
        <w:shd w:val="clear" w:color="auto" w:fill="FFFFFF"/>
        <w:spacing w:after="0" w:line="351" w:lineRule="atLeast"/>
        <w:jc w:val="both"/>
        <w:textAlignment w:val="baseline"/>
        <w:rPr>
          <w:rFonts w:ascii="Arial Unicode MS" w:eastAsia="Arial Unicode MS" w:hAnsi="Arial Unicode MS" w:cs="Arial Unicode MS" w:hint="eastAsia"/>
          <w:color w:val="2E2E2E"/>
          <w:sz w:val="23"/>
          <w:szCs w:val="23"/>
          <w:lang w:eastAsia="en-NZ"/>
        </w:rPr>
      </w:pPr>
      <w:hyperlink r:id="rId22" w:anchor="FIG1" w:history="1">
        <w:r w:rsidRPr="00B86D9F">
          <w:rPr>
            <w:rFonts w:ascii="Arial Unicode MS" w:eastAsia="Arial Unicode MS" w:hAnsi="Arial Unicode MS" w:cs="Arial Unicode MS" w:hint="eastAsia"/>
            <w:color w:val="316C9D"/>
            <w:sz w:val="23"/>
            <w:lang w:eastAsia="en-NZ"/>
          </w:rPr>
          <w:t>Fig. 1E and F</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use sample size and log sample size, respectively, for the vertical axis. While</w:t>
      </w:r>
      <w:r w:rsidRPr="00B86D9F">
        <w:rPr>
          <w:rFonts w:ascii="Arial Unicode MS" w:eastAsia="Arial Unicode MS" w:hAnsi="Arial Unicode MS" w:cs="Arial Unicode MS" w:hint="eastAsia"/>
          <w:color w:val="2E2E2E"/>
          <w:sz w:val="23"/>
          <w:lang w:eastAsia="en-NZ"/>
        </w:rPr>
        <w:t> </w:t>
      </w:r>
      <w:hyperlink r:id="rId23" w:anchor="FIG1" w:history="1">
        <w:r w:rsidRPr="00B86D9F">
          <w:rPr>
            <w:rFonts w:ascii="Arial Unicode MS" w:eastAsia="Arial Unicode MS" w:hAnsi="Arial Unicode MS" w:cs="Arial Unicode MS" w:hint="eastAsia"/>
            <w:color w:val="316C9D"/>
            <w:sz w:val="23"/>
            <w:lang w:eastAsia="en-NZ"/>
          </w:rPr>
          <w:t>Fig. 1F</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gives a similar impression of asymmetry as</w:t>
      </w:r>
      <w:r w:rsidRPr="00B86D9F">
        <w:rPr>
          <w:rFonts w:ascii="Arial Unicode MS" w:eastAsia="Arial Unicode MS" w:hAnsi="Arial Unicode MS" w:cs="Arial Unicode MS" w:hint="eastAsia"/>
          <w:color w:val="2E2E2E"/>
          <w:sz w:val="23"/>
          <w:lang w:eastAsia="en-NZ"/>
        </w:rPr>
        <w:t> </w:t>
      </w:r>
      <w:hyperlink r:id="rId24" w:anchor="FIG1" w:history="1">
        <w:r w:rsidRPr="00B86D9F">
          <w:rPr>
            <w:rFonts w:ascii="Arial Unicode MS" w:eastAsia="Arial Unicode MS" w:hAnsi="Arial Unicode MS" w:cs="Arial Unicode MS" w:hint="eastAsia"/>
            <w:color w:val="316C9D"/>
            <w:sz w:val="23"/>
            <w:lang w:eastAsia="en-NZ"/>
          </w:rPr>
          <w:t>Fig. 1A, Fig. 1E</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compresses the smaller studies at the bottom to an even greater degree than</w:t>
      </w:r>
      <w:r w:rsidRPr="00B86D9F">
        <w:rPr>
          <w:rFonts w:ascii="Arial Unicode MS" w:eastAsia="Arial Unicode MS" w:hAnsi="Arial Unicode MS" w:cs="Arial Unicode MS" w:hint="eastAsia"/>
          <w:color w:val="2E2E2E"/>
          <w:sz w:val="23"/>
          <w:lang w:eastAsia="en-NZ"/>
        </w:rPr>
        <w:t> </w:t>
      </w:r>
      <w:hyperlink r:id="rId25" w:anchor="FIG1" w:history="1">
        <w:r w:rsidRPr="00B86D9F">
          <w:rPr>
            <w:rFonts w:ascii="Arial Unicode MS" w:eastAsia="Arial Unicode MS" w:hAnsi="Arial Unicode MS" w:cs="Arial Unicode MS" w:hint="eastAsia"/>
            <w:color w:val="316C9D"/>
            <w:sz w:val="23"/>
            <w:lang w:eastAsia="en-NZ"/>
          </w:rPr>
          <w:t>Fig. 1B</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and in a similar manner to</w:t>
      </w:r>
      <w:r w:rsidRPr="00B86D9F">
        <w:rPr>
          <w:rFonts w:ascii="Arial Unicode MS" w:eastAsia="Arial Unicode MS" w:hAnsi="Arial Unicode MS" w:cs="Arial Unicode MS" w:hint="eastAsia"/>
          <w:color w:val="2E2E2E"/>
          <w:sz w:val="23"/>
          <w:lang w:eastAsia="en-NZ"/>
        </w:rPr>
        <w:t> </w:t>
      </w:r>
      <w:hyperlink r:id="rId26" w:anchor="FIG1" w:history="1">
        <w:r w:rsidRPr="00B86D9F">
          <w:rPr>
            <w:rFonts w:ascii="Arial Unicode MS" w:eastAsia="Arial Unicode MS" w:hAnsi="Arial Unicode MS" w:cs="Arial Unicode MS" w:hint="eastAsia"/>
            <w:color w:val="316C9D"/>
            <w:sz w:val="23"/>
            <w:lang w:eastAsia="en-NZ"/>
          </w:rPr>
          <w:t>Fig. 1D</w:t>
        </w:r>
      </w:hyperlink>
      <w:r w:rsidRPr="00B86D9F">
        <w:rPr>
          <w:rFonts w:ascii="Arial Unicode MS" w:eastAsia="Arial Unicode MS" w:hAnsi="Arial Unicode MS" w:cs="Arial Unicode MS" w:hint="eastAsia"/>
          <w:color w:val="2E2E2E"/>
          <w:sz w:val="23"/>
          <w:szCs w:val="23"/>
          <w:lang w:eastAsia="en-NZ"/>
        </w:rPr>
        <w:t>. Because the standard error of the log odds ratio depends on the number of events in each group as well as on the number of patients, it is not possible to calculate expected 95% confidence intervals.</w:t>
      </w:r>
    </w:p>
    <w:p w:rsidR="00B86D9F" w:rsidRPr="00B86D9F" w:rsidRDefault="00B86D9F" w:rsidP="00B86D9F">
      <w:pPr>
        <w:shd w:val="clear" w:color="auto" w:fill="FFFFFF"/>
        <w:spacing w:after="0" w:line="351" w:lineRule="atLeast"/>
        <w:jc w:val="both"/>
        <w:textAlignment w:val="baseline"/>
        <w:rPr>
          <w:rFonts w:ascii="Arial Unicode MS" w:eastAsia="Arial Unicode MS" w:hAnsi="Arial Unicode MS" w:cs="Arial Unicode MS" w:hint="eastAsia"/>
          <w:color w:val="2E2E2E"/>
          <w:sz w:val="23"/>
          <w:szCs w:val="23"/>
          <w:lang w:eastAsia="en-NZ"/>
        </w:rPr>
      </w:pPr>
      <w:r w:rsidRPr="00B86D9F">
        <w:rPr>
          <w:rFonts w:ascii="Arial Unicode MS" w:eastAsia="Arial Unicode MS" w:hAnsi="Arial Unicode MS" w:cs="Arial Unicode MS" w:hint="eastAsia"/>
          <w:color w:val="2E2E2E"/>
          <w:sz w:val="23"/>
          <w:szCs w:val="23"/>
          <w:lang w:eastAsia="en-NZ"/>
        </w:rPr>
        <w:t>The magnesium trials are unusual in that they include an extremely large trial, the Fourth International Study of Infarct Survival (ISIS-4) which enrolled 58,040 patients</w:t>
      </w:r>
      <w:r w:rsidRPr="00B86D9F">
        <w:rPr>
          <w:rFonts w:ascii="Arial Unicode MS" w:eastAsia="Arial Unicode MS" w:hAnsi="Arial Unicode MS" w:cs="Arial Unicode MS" w:hint="eastAsia"/>
          <w:color w:val="2E2E2E"/>
          <w:sz w:val="23"/>
          <w:lang w:eastAsia="en-NZ"/>
        </w:rPr>
        <w:t> </w:t>
      </w:r>
      <w:hyperlink r:id="rId27" w:anchor="BIB13" w:history="1">
        <w:r w:rsidRPr="00B86D9F">
          <w:rPr>
            <w:rFonts w:ascii="Arial Unicode MS" w:eastAsia="Arial Unicode MS" w:hAnsi="Arial Unicode MS" w:cs="Arial Unicode MS" w:hint="eastAsia"/>
            <w:color w:val="316C9D"/>
            <w:sz w:val="23"/>
            <w:lang w:eastAsia="en-NZ"/>
          </w:rPr>
          <w:t>[13]</w:t>
        </w:r>
      </w:hyperlink>
      <w:r w:rsidRPr="00B86D9F">
        <w:rPr>
          <w:rFonts w:ascii="Arial Unicode MS" w:eastAsia="Arial Unicode MS" w:hAnsi="Arial Unicode MS" w:cs="Arial Unicode MS" w:hint="eastAsia"/>
          <w:color w:val="2E2E2E"/>
          <w:sz w:val="23"/>
          <w:szCs w:val="23"/>
          <w:lang w:eastAsia="en-NZ"/>
        </w:rPr>
        <w:t xml:space="preserve">. This trial is omitted from the funnel plots </w:t>
      </w:r>
      <w:proofErr w:type="spellStart"/>
      <w:r w:rsidRPr="00B86D9F">
        <w:rPr>
          <w:rFonts w:ascii="Arial Unicode MS" w:eastAsia="Arial Unicode MS" w:hAnsi="Arial Unicode MS" w:cs="Arial Unicode MS" w:hint="eastAsia"/>
          <w:color w:val="2E2E2E"/>
          <w:sz w:val="23"/>
          <w:szCs w:val="23"/>
          <w:lang w:eastAsia="en-NZ"/>
        </w:rPr>
        <w:t>in</w:t>
      </w:r>
      <w:hyperlink r:id="rId28" w:anchor="FIG2" w:history="1">
        <w:r w:rsidRPr="00B86D9F">
          <w:rPr>
            <w:rFonts w:ascii="Arial Unicode MS" w:eastAsia="Arial Unicode MS" w:hAnsi="Arial Unicode MS" w:cs="Arial Unicode MS" w:hint="eastAsia"/>
            <w:color w:val="316C9D"/>
            <w:sz w:val="23"/>
            <w:lang w:eastAsia="en-NZ"/>
          </w:rPr>
          <w:t>Fig</w:t>
        </w:r>
        <w:proofErr w:type="spellEnd"/>
        <w:r w:rsidRPr="00B86D9F">
          <w:rPr>
            <w:rFonts w:ascii="Arial Unicode MS" w:eastAsia="Arial Unicode MS" w:hAnsi="Arial Unicode MS" w:cs="Arial Unicode MS" w:hint="eastAsia"/>
            <w:color w:val="316C9D"/>
            <w:sz w:val="23"/>
            <w:lang w:eastAsia="en-NZ"/>
          </w:rPr>
          <w:t>. 2</w:t>
        </w:r>
      </w:hyperlink>
      <w:r w:rsidRPr="00B86D9F">
        <w:rPr>
          <w:rFonts w:ascii="Arial Unicode MS" w:eastAsia="Arial Unicode MS" w:hAnsi="Arial Unicode MS" w:cs="Arial Unicode MS" w:hint="eastAsia"/>
          <w:color w:val="2E2E2E"/>
          <w:sz w:val="23"/>
          <w:szCs w:val="23"/>
          <w:lang w:eastAsia="en-NZ"/>
        </w:rPr>
        <w:t>. However</w:t>
      </w:r>
      <w:r w:rsidRPr="00B86D9F">
        <w:rPr>
          <w:rFonts w:ascii="Arial Unicode MS" w:eastAsia="Arial Unicode MS" w:hAnsi="Arial Unicode MS" w:cs="Arial Unicode MS" w:hint="eastAsia"/>
          <w:color w:val="2E2E2E"/>
          <w:sz w:val="23"/>
          <w:lang w:eastAsia="en-NZ"/>
        </w:rPr>
        <w:t> </w:t>
      </w:r>
      <w:hyperlink r:id="rId29" w:anchor="FIG2" w:history="1">
        <w:r w:rsidRPr="00B86D9F">
          <w:rPr>
            <w:rFonts w:ascii="Arial Unicode MS" w:eastAsia="Arial Unicode MS" w:hAnsi="Arial Unicode MS" w:cs="Arial Unicode MS" w:hint="eastAsia"/>
            <w:color w:val="316C9D"/>
            <w:sz w:val="23"/>
            <w:lang w:eastAsia="en-NZ"/>
          </w:rPr>
          <w:t>Fig. 2B</w:t>
        </w:r>
      </w:hyperlink>
      <w:r w:rsidRPr="00B86D9F">
        <w:rPr>
          <w:rFonts w:ascii="Arial Unicode MS" w:eastAsia="Arial Unicode MS" w:hAnsi="Arial Unicode MS" w:cs="Arial Unicode MS" w:hint="eastAsia"/>
          <w:color w:val="2E2E2E"/>
          <w:sz w:val="23"/>
          <w:szCs w:val="23"/>
          <w:lang w:eastAsia="en-NZ"/>
        </w:rPr>
        <w:t>, using precision as the vertical axis, still emphasises the differences between the second Leicester Intravenous Magnesium Intervention Trial (LIMIT-2)</w:t>
      </w:r>
      <w:r w:rsidRPr="00B86D9F">
        <w:rPr>
          <w:rFonts w:ascii="Arial Unicode MS" w:eastAsia="Arial Unicode MS" w:hAnsi="Arial Unicode MS" w:cs="Arial Unicode MS" w:hint="eastAsia"/>
          <w:color w:val="2E2E2E"/>
          <w:sz w:val="23"/>
          <w:lang w:eastAsia="en-NZ"/>
        </w:rPr>
        <w:t> </w:t>
      </w:r>
      <w:hyperlink r:id="rId30" w:anchor="BIB15" w:history="1">
        <w:r w:rsidRPr="00B86D9F">
          <w:rPr>
            <w:rFonts w:ascii="Arial Unicode MS" w:eastAsia="Arial Unicode MS" w:hAnsi="Arial Unicode MS" w:cs="Arial Unicode MS" w:hint="eastAsia"/>
            <w:color w:val="316C9D"/>
            <w:sz w:val="23"/>
            <w:lang w:eastAsia="en-NZ"/>
          </w:rPr>
          <w:t>[15]</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(2316 patients) and the remaining trials, and the lines denoting expected 95% confidence limits are still curved. The funnel in</w:t>
      </w:r>
      <w:r w:rsidRPr="00B86D9F">
        <w:rPr>
          <w:rFonts w:ascii="Arial Unicode MS" w:eastAsia="Arial Unicode MS" w:hAnsi="Arial Unicode MS" w:cs="Arial Unicode MS" w:hint="eastAsia"/>
          <w:color w:val="2E2E2E"/>
          <w:sz w:val="23"/>
          <w:lang w:eastAsia="en-NZ"/>
        </w:rPr>
        <w:t> </w:t>
      </w:r>
      <w:hyperlink r:id="rId31" w:anchor="FIG2" w:history="1">
        <w:r w:rsidRPr="00B86D9F">
          <w:rPr>
            <w:rFonts w:ascii="Arial Unicode MS" w:eastAsia="Arial Unicode MS" w:hAnsi="Arial Unicode MS" w:cs="Arial Unicode MS" w:hint="eastAsia"/>
            <w:color w:val="316C9D"/>
            <w:sz w:val="23"/>
            <w:lang w:eastAsia="en-NZ"/>
          </w:rPr>
          <w:t>Fig. 2C</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is again rather flattened at its top, while</w:t>
      </w:r>
      <w:r w:rsidRPr="00B86D9F">
        <w:rPr>
          <w:rFonts w:ascii="Arial Unicode MS" w:eastAsia="Arial Unicode MS" w:hAnsi="Arial Unicode MS" w:cs="Arial Unicode MS" w:hint="eastAsia"/>
          <w:color w:val="2E2E2E"/>
          <w:sz w:val="23"/>
          <w:lang w:eastAsia="en-NZ"/>
        </w:rPr>
        <w:t> </w:t>
      </w:r>
      <w:hyperlink r:id="rId32" w:anchor="FIG2" w:history="1">
        <w:r w:rsidRPr="00B86D9F">
          <w:rPr>
            <w:rFonts w:ascii="Arial Unicode MS" w:eastAsia="Arial Unicode MS" w:hAnsi="Arial Unicode MS" w:cs="Arial Unicode MS" w:hint="eastAsia"/>
            <w:color w:val="316C9D"/>
            <w:sz w:val="23"/>
            <w:lang w:eastAsia="en-NZ"/>
          </w:rPr>
          <w:t>Fig. 2D and E</w:t>
        </w:r>
      </w:hyperlink>
      <w:r w:rsidRPr="00B86D9F">
        <w:rPr>
          <w:rFonts w:ascii="Arial Unicode MS" w:eastAsia="Arial Unicode MS" w:hAnsi="Arial Unicode MS" w:cs="Arial Unicode MS" w:hint="eastAsia"/>
          <w:color w:val="2E2E2E"/>
          <w:sz w:val="23"/>
          <w:lang w:eastAsia="en-NZ"/>
        </w:rPr>
        <w:t> </w:t>
      </w:r>
      <w:r w:rsidRPr="00B86D9F">
        <w:rPr>
          <w:rFonts w:ascii="Arial Unicode MS" w:eastAsia="Arial Unicode MS" w:hAnsi="Arial Unicode MS" w:cs="Arial Unicode MS" w:hint="eastAsia"/>
          <w:color w:val="2E2E2E"/>
          <w:sz w:val="23"/>
          <w:szCs w:val="23"/>
          <w:lang w:eastAsia="en-NZ"/>
        </w:rPr>
        <w:t>again compress all the other studies at the bottom of the plot. Even when the LIMIT-2 trial is also omitted, the 95% confidence lines for the funnel plot using precision as the vertical axis remain curved</w:t>
      </w:r>
      <w:r w:rsidRPr="00B86D9F">
        <w:rPr>
          <w:rFonts w:ascii="Arial Unicode MS" w:eastAsia="Arial Unicode MS" w:hAnsi="Arial Unicode MS" w:cs="Arial Unicode MS" w:hint="eastAsia"/>
          <w:color w:val="2E2E2E"/>
          <w:sz w:val="23"/>
          <w:lang w:eastAsia="en-NZ"/>
        </w:rPr>
        <w:t> </w:t>
      </w:r>
      <w:hyperlink r:id="rId33" w:anchor="FIG3" w:history="1">
        <w:r w:rsidRPr="00B86D9F">
          <w:rPr>
            <w:rFonts w:ascii="Arial Unicode MS" w:eastAsia="Arial Unicode MS" w:hAnsi="Arial Unicode MS" w:cs="Arial Unicode MS" w:hint="eastAsia"/>
            <w:color w:val="316C9D"/>
            <w:sz w:val="23"/>
            <w:lang w:eastAsia="en-NZ"/>
          </w:rPr>
          <w:t>(Fig. 3)</w:t>
        </w:r>
      </w:hyperlink>
      <w:r w:rsidRPr="00B86D9F">
        <w:rPr>
          <w:rFonts w:ascii="Arial Unicode MS" w:eastAsia="Arial Unicode MS" w:hAnsi="Arial Unicode MS" w:cs="Arial Unicode MS" w:hint="eastAsia"/>
          <w:color w:val="2E2E2E"/>
          <w:sz w:val="23"/>
          <w:szCs w:val="23"/>
          <w:lang w:eastAsia="en-NZ"/>
        </w:rPr>
        <w:t>.</w:t>
      </w:r>
    </w:p>
    <w:p w:rsidR="00B86D9F" w:rsidRPr="00B86D9F" w:rsidRDefault="00B86D9F" w:rsidP="00B86D9F">
      <w:pPr>
        <w:shd w:val="clear" w:color="auto" w:fill="FFFFFF"/>
        <w:spacing w:after="0" w:line="351" w:lineRule="atLeast"/>
        <w:textAlignment w:val="baseline"/>
        <w:rPr>
          <w:rFonts w:ascii="Arial Unicode MS" w:eastAsia="Arial Unicode MS" w:hAnsi="Arial Unicode MS" w:cs="Arial Unicode MS" w:hint="eastAsia"/>
          <w:color w:val="2E2E2E"/>
          <w:sz w:val="23"/>
          <w:szCs w:val="23"/>
          <w:lang w:eastAsia="en-NZ"/>
        </w:rPr>
      </w:pPr>
      <w:r>
        <w:rPr>
          <w:rFonts w:ascii="Arial Unicode MS" w:eastAsia="Arial Unicode MS" w:hAnsi="Arial Unicode MS" w:cs="Arial Unicode MS"/>
          <w:noProof/>
          <w:color w:val="316C9D"/>
          <w:sz w:val="23"/>
          <w:szCs w:val="23"/>
          <w:bdr w:val="none" w:sz="0" w:space="0" w:color="auto" w:frame="1"/>
          <w:lang w:eastAsia="en-NZ"/>
        </w:rPr>
        <w:lastRenderedPageBreak/>
        <w:drawing>
          <wp:inline distT="0" distB="0" distL="0" distR="0">
            <wp:extent cx="5731510" cy="5631180"/>
            <wp:effectExtent l="19050" t="0" r="2540" b="0"/>
            <wp:docPr id="4" name="Picture 4" descr="Full-size image (20 K)">
              <a:hlinkClick xmlns:a="http://schemas.openxmlformats.org/drawingml/2006/main" r:id="rId34" tooltip="&quot;Full-size image (20 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ize image (20 K)">
                      <a:hlinkClick r:id="rId34" tooltip="&quot;Full-size image (20 K)&quot;"/>
                    </pic:cNvPr>
                    <pic:cNvPicPr>
                      <a:picLocks noChangeAspect="1" noChangeArrowheads="1"/>
                    </pic:cNvPicPr>
                  </pic:nvPicPr>
                  <pic:blipFill>
                    <a:blip r:embed="rId35" cstate="print"/>
                    <a:srcRect/>
                    <a:stretch>
                      <a:fillRect/>
                    </a:stretch>
                  </pic:blipFill>
                  <pic:spPr bwMode="auto">
                    <a:xfrm>
                      <a:off x="0" y="0"/>
                      <a:ext cx="5731510" cy="5631180"/>
                    </a:xfrm>
                    <a:prstGeom prst="rect">
                      <a:avLst/>
                    </a:prstGeom>
                    <a:noFill/>
                    <a:ln w="9525">
                      <a:noFill/>
                      <a:miter lim="800000"/>
                      <a:headEnd/>
                      <a:tailEnd/>
                    </a:ln>
                  </pic:spPr>
                </pic:pic>
              </a:graphicData>
            </a:graphic>
          </wp:inline>
        </w:drawing>
      </w:r>
    </w:p>
    <w:p w:rsidR="00B86D9F" w:rsidRPr="00B86D9F" w:rsidRDefault="00B86D9F" w:rsidP="00B86D9F">
      <w:pPr>
        <w:shd w:val="clear" w:color="auto" w:fill="FFFFFF"/>
        <w:spacing w:after="0" w:line="351" w:lineRule="atLeast"/>
        <w:ind w:left="720"/>
        <w:jc w:val="both"/>
        <w:textAlignment w:val="baseline"/>
        <w:rPr>
          <w:rFonts w:ascii="Arial Unicode MS" w:eastAsia="Arial Unicode MS" w:hAnsi="Arial Unicode MS" w:cs="Arial Unicode MS" w:hint="eastAsia"/>
          <w:color w:val="5C5C5C"/>
          <w:sz w:val="19"/>
          <w:szCs w:val="19"/>
          <w:lang w:eastAsia="en-NZ"/>
        </w:rPr>
      </w:pPr>
      <w:proofErr w:type="gramStart"/>
      <w:r w:rsidRPr="00B86D9F">
        <w:rPr>
          <w:rFonts w:ascii="Arial Unicode MS" w:eastAsia="Arial Unicode MS" w:hAnsi="Arial Unicode MS" w:cs="Arial Unicode MS" w:hint="eastAsia"/>
          <w:color w:val="5C5C5C"/>
          <w:sz w:val="19"/>
          <w:szCs w:val="19"/>
          <w:lang w:eastAsia="en-NZ"/>
        </w:rPr>
        <w:t>Fig. 2.</w:t>
      </w:r>
      <w:proofErr w:type="gramEnd"/>
      <w:r w:rsidRPr="00B86D9F">
        <w:rPr>
          <w:rFonts w:ascii="Arial Unicode MS" w:eastAsia="Arial Unicode MS" w:hAnsi="Arial Unicode MS" w:cs="Arial Unicode MS" w:hint="eastAsia"/>
          <w:color w:val="5C5C5C"/>
          <w:sz w:val="19"/>
          <w:szCs w:val="19"/>
          <w:lang w:eastAsia="en-NZ"/>
        </w:rPr>
        <w:t> </w:t>
      </w:r>
      <w:r w:rsidRPr="00B86D9F">
        <w:rPr>
          <w:rFonts w:ascii="Arial Unicode MS" w:eastAsia="Arial Unicode MS" w:hAnsi="Arial Unicode MS" w:cs="Arial Unicode MS" w:hint="eastAsia"/>
          <w:color w:val="5C5C5C"/>
          <w:sz w:val="19"/>
          <w:szCs w:val="19"/>
          <w:bdr w:val="none" w:sz="0" w:space="0" w:color="auto" w:frame="1"/>
          <w:lang w:eastAsia="en-NZ"/>
        </w:rPr>
        <w:t>Funnel plots for the magnesium trials, excluding the fourth International Study of Infarct Survival (ISIS-4), with different vertical axes. The points correspond to the treatment effects from individual trials, and the diagonal or curved lines show the expected 95% confidence intervals around the summary estimate</w:t>
      </w:r>
    </w:p>
    <w:p w:rsidR="00B86D9F" w:rsidRPr="00B86D9F" w:rsidRDefault="00B86D9F" w:rsidP="00B86D9F">
      <w:pPr>
        <w:shd w:val="clear" w:color="auto" w:fill="F1F2F2"/>
        <w:spacing w:after="176" w:line="351" w:lineRule="atLeast"/>
        <w:ind w:left="720"/>
        <w:jc w:val="right"/>
        <w:textAlignment w:val="baseline"/>
        <w:rPr>
          <w:rFonts w:ascii="Arial Unicode MS" w:eastAsia="Arial Unicode MS" w:hAnsi="Arial Unicode MS" w:cs="Arial Unicode MS" w:hint="eastAsia"/>
          <w:color w:val="2E2E2E"/>
          <w:sz w:val="18"/>
          <w:szCs w:val="18"/>
          <w:lang w:eastAsia="en-NZ"/>
        </w:rPr>
      </w:pPr>
      <w:hyperlink r:id="rId36" w:history="1">
        <w:r w:rsidRPr="00B86D9F">
          <w:rPr>
            <w:rFonts w:ascii="Arial Unicode MS" w:eastAsia="Arial Unicode MS" w:hAnsi="Arial Unicode MS" w:cs="Arial Unicode MS" w:hint="eastAsia"/>
            <w:color w:val="2E2E2E"/>
            <w:sz w:val="19"/>
            <w:lang w:eastAsia="en-NZ"/>
          </w:rPr>
          <w:t>Figure options</w:t>
        </w:r>
      </w:hyperlink>
    </w:p>
    <w:p w:rsidR="00B86D9F" w:rsidRPr="00B86D9F" w:rsidRDefault="00B86D9F" w:rsidP="00B86D9F">
      <w:pPr>
        <w:shd w:val="clear" w:color="auto" w:fill="FFFFFF"/>
        <w:spacing w:after="0" w:line="351" w:lineRule="atLeast"/>
        <w:textAlignment w:val="baseline"/>
        <w:rPr>
          <w:rFonts w:ascii="Arial Unicode MS" w:eastAsia="Arial Unicode MS" w:hAnsi="Arial Unicode MS" w:cs="Arial Unicode MS" w:hint="eastAsia"/>
          <w:color w:val="2E2E2E"/>
          <w:sz w:val="23"/>
          <w:szCs w:val="23"/>
          <w:lang w:eastAsia="en-NZ"/>
        </w:rPr>
      </w:pPr>
      <w:r>
        <w:rPr>
          <w:rFonts w:ascii="Arial Unicode MS" w:eastAsia="Arial Unicode MS" w:hAnsi="Arial Unicode MS" w:cs="Arial Unicode MS"/>
          <w:noProof/>
          <w:color w:val="316C9D"/>
          <w:sz w:val="23"/>
          <w:szCs w:val="23"/>
          <w:bdr w:val="none" w:sz="0" w:space="0" w:color="auto" w:frame="1"/>
          <w:lang w:eastAsia="en-NZ"/>
        </w:rPr>
        <w:lastRenderedPageBreak/>
        <w:drawing>
          <wp:inline distT="0" distB="0" distL="0" distR="0">
            <wp:extent cx="3568700" cy="2386330"/>
            <wp:effectExtent l="19050" t="0" r="0" b="0"/>
            <wp:docPr id="5" name="Picture 5" descr="Full-size image (5 K)">
              <a:hlinkClick xmlns:a="http://schemas.openxmlformats.org/drawingml/2006/main" r:id="rId37" tooltip="&quot;Full-size image (5 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size image (5 K)">
                      <a:hlinkClick r:id="rId37" tooltip="&quot;Full-size image (5 K)&quot;"/>
                    </pic:cNvPr>
                    <pic:cNvPicPr>
                      <a:picLocks noChangeAspect="1" noChangeArrowheads="1"/>
                    </pic:cNvPicPr>
                  </pic:nvPicPr>
                  <pic:blipFill>
                    <a:blip r:embed="rId38" cstate="print"/>
                    <a:srcRect/>
                    <a:stretch>
                      <a:fillRect/>
                    </a:stretch>
                  </pic:blipFill>
                  <pic:spPr bwMode="auto">
                    <a:xfrm>
                      <a:off x="0" y="0"/>
                      <a:ext cx="3568700" cy="2386330"/>
                    </a:xfrm>
                    <a:prstGeom prst="rect">
                      <a:avLst/>
                    </a:prstGeom>
                    <a:noFill/>
                    <a:ln w="9525">
                      <a:noFill/>
                      <a:miter lim="800000"/>
                      <a:headEnd/>
                      <a:tailEnd/>
                    </a:ln>
                  </pic:spPr>
                </pic:pic>
              </a:graphicData>
            </a:graphic>
          </wp:inline>
        </w:drawing>
      </w:r>
    </w:p>
    <w:p w:rsidR="00B86D9F" w:rsidRPr="00B86D9F" w:rsidRDefault="00B86D9F" w:rsidP="00B86D9F">
      <w:pPr>
        <w:shd w:val="clear" w:color="auto" w:fill="FFFFFF"/>
        <w:spacing w:after="176" w:line="351" w:lineRule="atLeast"/>
        <w:ind w:left="720"/>
        <w:jc w:val="both"/>
        <w:textAlignment w:val="baseline"/>
        <w:rPr>
          <w:rFonts w:ascii="Arial Unicode MS" w:eastAsia="Arial Unicode MS" w:hAnsi="Arial Unicode MS" w:cs="Arial Unicode MS" w:hint="eastAsia"/>
          <w:color w:val="5C5C5C"/>
          <w:sz w:val="19"/>
          <w:szCs w:val="19"/>
          <w:lang w:eastAsia="en-NZ"/>
        </w:rPr>
      </w:pPr>
      <w:proofErr w:type="gramStart"/>
      <w:r w:rsidRPr="00B86D9F">
        <w:rPr>
          <w:rFonts w:ascii="Arial Unicode MS" w:eastAsia="Arial Unicode MS" w:hAnsi="Arial Unicode MS" w:cs="Arial Unicode MS" w:hint="eastAsia"/>
          <w:color w:val="5C5C5C"/>
          <w:sz w:val="19"/>
          <w:szCs w:val="19"/>
          <w:lang w:eastAsia="en-NZ"/>
        </w:rPr>
        <w:t>Fig. 3.</w:t>
      </w:r>
      <w:proofErr w:type="gramEnd"/>
      <w:r w:rsidRPr="00B86D9F">
        <w:rPr>
          <w:rFonts w:ascii="Arial Unicode MS" w:eastAsia="Arial Unicode MS" w:hAnsi="Arial Unicode MS" w:cs="Arial Unicode MS" w:hint="eastAsia"/>
          <w:color w:val="5C5C5C"/>
          <w:sz w:val="19"/>
          <w:szCs w:val="19"/>
          <w:lang w:eastAsia="en-NZ"/>
        </w:rPr>
        <w:t> </w:t>
      </w:r>
      <w:r w:rsidRPr="00B86D9F">
        <w:rPr>
          <w:rFonts w:ascii="Arial Unicode MS" w:eastAsia="Arial Unicode MS" w:hAnsi="Arial Unicode MS" w:cs="Arial Unicode MS" w:hint="eastAsia"/>
          <w:color w:val="5C5C5C"/>
          <w:sz w:val="19"/>
          <w:szCs w:val="19"/>
          <w:bdr w:val="none" w:sz="0" w:space="0" w:color="auto" w:frame="1"/>
          <w:lang w:eastAsia="en-NZ"/>
        </w:rPr>
        <w:t>Funnel plot for the magnesium trials, using precision as the vertical axis and excluding the fourth International Study of Infarct Survival (ISIS-4) and the second Leicester Intravenous Magnesium Intervention Trial (LIMIT-2). The points correspond to the treatment effects from individual trials, and the diagonal or curved lines show the expected 95% confidence intervals around the summary estimate</w:t>
      </w:r>
    </w:p>
    <w:p w:rsidR="008B1A90" w:rsidRDefault="00584E4C"/>
    <w:sectPr w:rsidR="008B1A90" w:rsidSect="00FE66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B86D9F"/>
    <w:rsid w:val="000415C0"/>
    <w:rsid w:val="002264C7"/>
    <w:rsid w:val="00584E4C"/>
    <w:rsid w:val="00671E2A"/>
    <w:rsid w:val="00B86D9F"/>
    <w:rsid w:val="00EB017C"/>
    <w:rsid w:val="00F50104"/>
    <w:rsid w:val="00FE667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679"/>
  </w:style>
  <w:style w:type="paragraph" w:styleId="Heading2">
    <w:name w:val="heading 2"/>
    <w:basedOn w:val="Normal"/>
    <w:link w:val="Heading2Char"/>
    <w:uiPriority w:val="9"/>
    <w:qFormat/>
    <w:rsid w:val="00B86D9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D9F"/>
    <w:rPr>
      <w:rFonts w:ascii="Times New Roman" w:eastAsia="Times New Roman" w:hAnsi="Times New Roman" w:cs="Times New Roman"/>
      <w:b/>
      <w:bCs/>
      <w:sz w:val="36"/>
      <w:szCs w:val="36"/>
      <w:lang w:eastAsia="en-NZ"/>
    </w:rPr>
  </w:style>
  <w:style w:type="paragraph" w:customStyle="1" w:styleId="svarticle">
    <w:name w:val="svarticle"/>
    <w:basedOn w:val="Normal"/>
    <w:rsid w:val="00B86D9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B86D9F"/>
  </w:style>
  <w:style w:type="character" w:styleId="Hyperlink">
    <w:name w:val="Hyperlink"/>
    <w:basedOn w:val="DefaultParagraphFont"/>
    <w:uiPriority w:val="99"/>
    <w:semiHidden/>
    <w:unhideWhenUsed/>
    <w:rsid w:val="00B86D9F"/>
    <w:rPr>
      <w:color w:val="0000FF"/>
      <w:u w:val="single"/>
    </w:rPr>
  </w:style>
  <w:style w:type="paragraph" w:customStyle="1" w:styleId="caption">
    <w:name w:val="caption"/>
    <w:basedOn w:val="Normal"/>
    <w:rsid w:val="00B86D9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bel">
    <w:name w:val="label"/>
    <w:basedOn w:val="DefaultParagraphFont"/>
    <w:rsid w:val="00B86D9F"/>
  </w:style>
  <w:style w:type="paragraph" w:styleId="BalloonText">
    <w:name w:val="Balloon Text"/>
    <w:basedOn w:val="Normal"/>
    <w:link w:val="BalloonTextChar"/>
    <w:uiPriority w:val="99"/>
    <w:semiHidden/>
    <w:unhideWhenUsed/>
    <w:rsid w:val="00B86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D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904494">
      <w:bodyDiv w:val="1"/>
      <w:marLeft w:val="0"/>
      <w:marRight w:val="0"/>
      <w:marTop w:val="0"/>
      <w:marBottom w:val="0"/>
      <w:divBdr>
        <w:top w:val="none" w:sz="0" w:space="0" w:color="auto"/>
        <w:left w:val="none" w:sz="0" w:space="0" w:color="auto"/>
        <w:bottom w:val="none" w:sz="0" w:space="0" w:color="auto"/>
        <w:right w:val="none" w:sz="0" w:space="0" w:color="auto"/>
      </w:divBdr>
      <w:divsChild>
        <w:div w:id="1108817796">
          <w:marLeft w:val="0"/>
          <w:marRight w:val="0"/>
          <w:marTop w:val="0"/>
          <w:marBottom w:val="0"/>
          <w:divBdr>
            <w:top w:val="none" w:sz="0" w:space="0" w:color="auto"/>
            <w:left w:val="none" w:sz="0" w:space="0" w:color="auto"/>
            <w:bottom w:val="none" w:sz="0" w:space="0" w:color="auto"/>
            <w:right w:val="none" w:sz="0" w:space="0" w:color="auto"/>
          </w:divBdr>
          <w:divsChild>
            <w:div w:id="849175017">
              <w:marLeft w:val="0"/>
              <w:marRight w:val="0"/>
              <w:marTop w:val="176"/>
              <w:marBottom w:val="176"/>
              <w:divBdr>
                <w:top w:val="single" w:sz="6" w:space="9" w:color="DFDFDF"/>
                <w:left w:val="single" w:sz="6" w:space="9" w:color="DFDFDF"/>
                <w:bottom w:val="single" w:sz="6" w:space="9" w:color="DFDFDF"/>
                <w:right w:val="single" w:sz="6" w:space="9" w:color="DFDFDF"/>
              </w:divBdr>
              <w:divsChild>
                <w:div w:id="431239856">
                  <w:marLeft w:val="0"/>
                  <w:marRight w:val="0"/>
                  <w:marTop w:val="0"/>
                  <w:marBottom w:val="0"/>
                  <w:divBdr>
                    <w:top w:val="single" w:sz="6" w:space="0" w:color="7E8992"/>
                    <w:left w:val="single" w:sz="6" w:space="11" w:color="7E8992"/>
                    <w:bottom w:val="single" w:sz="6" w:space="0" w:color="7E8992"/>
                    <w:right w:val="single" w:sz="6" w:space="18" w:color="7E8992"/>
                  </w:divBdr>
                </w:div>
              </w:divsChild>
            </w:div>
          </w:divsChild>
        </w:div>
        <w:div w:id="220214298">
          <w:marLeft w:val="0"/>
          <w:marRight w:val="0"/>
          <w:marTop w:val="0"/>
          <w:marBottom w:val="0"/>
          <w:divBdr>
            <w:top w:val="none" w:sz="0" w:space="0" w:color="auto"/>
            <w:left w:val="none" w:sz="0" w:space="0" w:color="auto"/>
            <w:bottom w:val="none" w:sz="0" w:space="0" w:color="auto"/>
            <w:right w:val="none" w:sz="0" w:space="0" w:color="auto"/>
          </w:divBdr>
          <w:divsChild>
            <w:div w:id="2132437950">
              <w:marLeft w:val="0"/>
              <w:marRight w:val="0"/>
              <w:marTop w:val="176"/>
              <w:marBottom w:val="176"/>
              <w:divBdr>
                <w:top w:val="single" w:sz="6" w:space="9" w:color="DFDFDF"/>
                <w:left w:val="single" w:sz="6" w:space="9" w:color="DFDFDF"/>
                <w:bottom w:val="single" w:sz="6" w:space="9" w:color="DFDFDF"/>
                <w:right w:val="single" w:sz="6" w:space="9" w:color="DFDFDF"/>
              </w:divBdr>
              <w:divsChild>
                <w:div w:id="1804034318">
                  <w:marLeft w:val="0"/>
                  <w:marRight w:val="0"/>
                  <w:marTop w:val="0"/>
                  <w:marBottom w:val="0"/>
                  <w:divBdr>
                    <w:top w:val="single" w:sz="6" w:space="0" w:color="7E8992"/>
                    <w:left w:val="single" w:sz="6" w:space="11" w:color="7E8992"/>
                    <w:bottom w:val="single" w:sz="6" w:space="0" w:color="7E8992"/>
                    <w:right w:val="single" w:sz="6" w:space="18" w:color="7E8992"/>
                  </w:divBdr>
                </w:div>
              </w:divsChild>
            </w:div>
          </w:divsChild>
        </w:div>
        <w:div w:id="959265652">
          <w:marLeft w:val="0"/>
          <w:marRight w:val="0"/>
          <w:marTop w:val="0"/>
          <w:marBottom w:val="0"/>
          <w:divBdr>
            <w:top w:val="none" w:sz="0" w:space="0" w:color="auto"/>
            <w:left w:val="none" w:sz="0" w:space="0" w:color="auto"/>
            <w:bottom w:val="none" w:sz="0" w:space="0" w:color="auto"/>
            <w:right w:val="none" w:sz="0" w:space="0" w:color="auto"/>
          </w:divBdr>
          <w:divsChild>
            <w:div w:id="417137772">
              <w:marLeft w:val="0"/>
              <w:marRight w:val="0"/>
              <w:marTop w:val="176"/>
              <w:marBottom w:val="176"/>
              <w:divBdr>
                <w:top w:val="single" w:sz="6" w:space="9" w:color="DFDFDF"/>
                <w:left w:val="single" w:sz="6" w:space="9" w:color="DFDFDF"/>
                <w:bottom w:val="single" w:sz="6" w:space="9" w:color="DFDFDF"/>
                <w:right w:val="single" w:sz="6" w:space="9" w:color="DFDFDF"/>
              </w:divBdr>
              <w:divsChild>
                <w:div w:id="1384448281">
                  <w:marLeft w:val="0"/>
                  <w:marRight w:val="0"/>
                  <w:marTop w:val="0"/>
                  <w:marBottom w:val="0"/>
                  <w:divBdr>
                    <w:top w:val="single" w:sz="6" w:space="0" w:color="7E8992"/>
                    <w:left w:val="single" w:sz="6" w:space="11" w:color="7E8992"/>
                    <w:bottom w:val="single" w:sz="6" w:space="0" w:color="7E8992"/>
                    <w:right w:val="single" w:sz="6" w:space="18" w:color="7E8992"/>
                  </w:divBdr>
                </w:div>
              </w:divsChild>
            </w:div>
          </w:divsChild>
        </w:div>
        <w:div w:id="1846749395">
          <w:marLeft w:val="0"/>
          <w:marRight w:val="0"/>
          <w:marTop w:val="0"/>
          <w:marBottom w:val="0"/>
          <w:divBdr>
            <w:top w:val="none" w:sz="0" w:space="0" w:color="auto"/>
            <w:left w:val="none" w:sz="0" w:space="0" w:color="auto"/>
            <w:bottom w:val="none" w:sz="0" w:space="0" w:color="auto"/>
            <w:right w:val="none" w:sz="0" w:space="0" w:color="auto"/>
          </w:divBdr>
          <w:divsChild>
            <w:div w:id="1573925828">
              <w:marLeft w:val="0"/>
              <w:marRight w:val="0"/>
              <w:marTop w:val="176"/>
              <w:marBottom w:val="176"/>
              <w:divBdr>
                <w:top w:val="single" w:sz="6" w:space="9" w:color="DFDFDF"/>
                <w:left w:val="single" w:sz="6" w:space="9" w:color="DFDFDF"/>
                <w:bottom w:val="single" w:sz="6" w:space="9" w:color="DFDFDF"/>
                <w:right w:val="single" w:sz="6" w:space="9" w:color="DFDFDF"/>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ezproxy.waikato.ac.nz/science/article/pii/S0895435601003778" TargetMode="External"/><Relationship Id="rId13" Type="http://schemas.openxmlformats.org/officeDocument/2006/relationships/hyperlink" Target="http://www.sciencedirect.com.ezproxy.waikato.ac.nz/science/article/pii/S0895435601003778#gr1" TargetMode="External"/><Relationship Id="rId18" Type="http://schemas.openxmlformats.org/officeDocument/2006/relationships/hyperlink" Target="http://www.sciencedirect.com.ezproxy.waikato.ac.nz/science/article/pii/S0895435601003778" TargetMode="External"/><Relationship Id="rId26" Type="http://schemas.openxmlformats.org/officeDocument/2006/relationships/hyperlink" Target="http://www.sciencedirect.com.ezproxy.waikato.ac.nz/science/article/pii/S0895435601003778"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sciencedirect.com.ezproxy.waikato.ac.nz/science/article/pii/S0895435601003778" TargetMode="External"/><Relationship Id="rId34" Type="http://schemas.openxmlformats.org/officeDocument/2006/relationships/hyperlink" Target="http://www.sciencedirect.com.ezproxy.waikato.ac.nz/science/article/pii/S0895435601003778#gr2" TargetMode="External"/><Relationship Id="rId7" Type="http://schemas.openxmlformats.org/officeDocument/2006/relationships/hyperlink" Target="http://www.sciencedirect.com.ezproxy.waikato.ac.nz/science/article/pii/S0895435601003778" TargetMode="External"/><Relationship Id="rId12" Type="http://schemas.openxmlformats.org/officeDocument/2006/relationships/hyperlink" Target="http://www.sciencedirect.com.ezproxy.waikato.ac.nz/science/article/pii/S0895435601003778" TargetMode="External"/><Relationship Id="rId17" Type="http://schemas.openxmlformats.org/officeDocument/2006/relationships/hyperlink" Target="http://www.sciencedirect.com.ezproxy.waikato.ac.nz/science/article/pii/S0895435601003778" TargetMode="External"/><Relationship Id="rId25" Type="http://schemas.openxmlformats.org/officeDocument/2006/relationships/hyperlink" Target="http://www.sciencedirect.com.ezproxy.waikato.ac.nz/science/article/pii/S0895435601003778" TargetMode="External"/><Relationship Id="rId33" Type="http://schemas.openxmlformats.org/officeDocument/2006/relationships/hyperlink" Target="http://www.sciencedirect.com.ezproxy.waikato.ac.nz/science/article/pii/S0895435601003778" TargetMode="External"/><Relationship Id="rId38" Type="http://schemas.openxmlformats.org/officeDocument/2006/relationships/image" Target="media/image3.gif"/><Relationship Id="rId2" Type="http://schemas.openxmlformats.org/officeDocument/2006/relationships/settings" Target="settings.xml"/><Relationship Id="rId16" Type="http://schemas.openxmlformats.org/officeDocument/2006/relationships/hyperlink" Target="http://www.sciencedirect.com.ezproxy.waikato.ac.nz/science/article/pii/S0895435601003778" TargetMode="External"/><Relationship Id="rId20" Type="http://schemas.openxmlformats.org/officeDocument/2006/relationships/hyperlink" Target="http://www.sciencedirect.com.ezproxy.waikato.ac.nz/science/article/pii/S0895435601003778" TargetMode="External"/><Relationship Id="rId29" Type="http://schemas.openxmlformats.org/officeDocument/2006/relationships/hyperlink" Target="http://www.sciencedirect.com.ezproxy.waikato.ac.nz/science/article/pii/S0895435601003778" TargetMode="External"/><Relationship Id="rId1" Type="http://schemas.openxmlformats.org/officeDocument/2006/relationships/styles" Target="styles.xml"/><Relationship Id="rId6" Type="http://schemas.openxmlformats.org/officeDocument/2006/relationships/hyperlink" Target="http://www.sciencedirect.com.ezproxy.waikato.ac.nz/science/article/pii/S0895435601003778" TargetMode="External"/><Relationship Id="rId11" Type="http://schemas.openxmlformats.org/officeDocument/2006/relationships/hyperlink" Target="http://www.sciencedirect.com.ezproxy.waikato.ac.nz/science/article/pii/S0895435601003778" TargetMode="External"/><Relationship Id="rId24" Type="http://schemas.openxmlformats.org/officeDocument/2006/relationships/hyperlink" Target="http://www.sciencedirect.com.ezproxy.waikato.ac.nz/science/article/pii/S0895435601003778" TargetMode="External"/><Relationship Id="rId32" Type="http://schemas.openxmlformats.org/officeDocument/2006/relationships/hyperlink" Target="http://www.sciencedirect.com.ezproxy.waikato.ac.nz/science/article/pii/S0895435601003778" TargetMode="External"/><Relationship Id="rId37" Type="http://schemas.openxmlformats.org/officeDocument/2006/relationships/hyperlink" Target="http://www.sciencedirect.com.ezproxy.waikato.ac.nz/science/article/pii/S0895435601003778#gr3" TargetMode="External"/><Relationship Id="rId40" Type="http://schemas.openxmlformats.org/officeDocument/2006/relationships/theme" Target="theme/theme1.xml"/><Relationship Id="rId5" Type="http://schemas.openxmlformats.org/officeDocument/2006/relationships/hyperlink" Target="http://www.sciencedirect.com.ezproxy.waikato.ac.nz/science/article/pii/S0895435601003778" TargetMode="External"/><Relationship Id="rId15" Type="http://schemas.openxmlformats.org/officeDocument/2006/relationships/hyperlink" Target="http://www.sciencedirect.com.ezproxy.waikato.ac.nz/science/article/pii/S0895435601003778" TargetMode="External"/><Relationship Id="rId23" Type="http://schemas.openxmlformats.org/officeDocument/2006/relationships/hyperlink" Target="http://www.sciencedirect.com.ezproxy.waikato.ac.nz/science/article/pii/S0895435601003778" TargetMode="External"/><Relationship Id="rId28" Type="http://schemas.openxmlformats.org/officeDocument/2006/relationships/hyperlink" Target="http://www.sciencedirect.com.ezproxy.waikato.ac.nz/science/article/pii/S0895435601003778" TargetMode="External"/><Relationship Id="rId36" Type="http://schemas.openxmlformats.org/officeDocument/2006/relationships/hyperlink" Target="http://www.sciencedirect.com.ezproxy.waikato.ac.nz/science/article/pii/S0895435601003778" TargetMode="External"/><Relationship Id="rId10" Type="http://schemas.openxmlformats.org/officeDocument/2006/relationships/hyperlink" Target="http://www.sciencedirect.com.ezproxy.waikato.ac.nz/science/article/pii/S0895435601003778" TargetMode="External"/><Relationship Id="rId19" Type="http://schemas.openxmlformats.org/officeDocument/2006/relationships/hyperlink" Target="http://www.sciencedirect.com.ezproxy.waikato.ac.nz/science/article/pii/S0895435601003778" TargetMode="External"/><Relationship Id="rId31" Type="http://schemas.openxmlformats.org/officeDocument/2006/relationships/hyperlink" Target="http://www.sciencedirect.com.ezproxy.waikato.ac.nz/science/article/pii/S0895435601003778" TargetMode="External"/><Relationship Id="rId4" Type="http://schemas.openxmlformats.org/officeDocument/2006/relationships/hyperlink" Target="http://www.sciencedirect.com.ezproxy.waikato.ac.nz/science/article/pii/S0895435601003778" TargetMode="External"/><Relationship Id="rId9" Type="http://schemas.openxmlformats.org/officeDocument/2006/relationships/hyperlink" Target="http://www.sciencedirect.com.ezproxy.waikato.ac.nz/science/article/pii/S0895435601003778" TargetMode="External"/><Relationship Id="rId14" Type="http://schemas.openxmlformats.org/officeDocument/2006/relationships/image" Target="media/image1.gif"/><Relationship Id="rId22" Type="http://schemas.openxmlformats.org/officeDocument/2006/relationships/hyperlink" Target="http://www.sciencedirect.com.ezproxy.waikato.ac.nz/science/article/pii/S0895435601003778" TargetMode="External"/><Relationship Id="rId27" Type="http://schemas.openxmlformats.org/officeDocument/2006/relationships/hyperlink" Target="http://www.sciencedirect.com.ezproxy.waikato.ac.nz/science/article/pii/S0895435601003778" TargetMode="External"/><Relationship Id="rId30" Type="http://schemas.openxmlformats.org/officeDocument/2006/relationships/hyperlink" Target="http://www.sciencedirect.com.ezproxy.waikato.ac.nz/science/article/pii/S0895435601003778" TargetMode="External"/><Relationship Id="rId35"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MikelWhitehead</dc:creator>
  <cp:lastModifiedBy>MikelWhitehead</cp:lastModifiedBy>
  <cp:revision>2</cp:revision>
  <dcterms:created xsi:type="dcterms:W3CDTF">2012-10-14T02:52:00Z</dcterms:created>
  <dcterms:modified xsi:type="dcterms:W3CDTF">2012-10-14T04:33:00Z</dcterms:modified>
</cp:coreProperties>
</file>