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E8" w:rsidRDefault="00B619E8" w:rsidP="00B619E8">
      <w:pPr>
        <w:pStyle w:val="Heading1"/>
      </w:pPr>
      <w:r>
        <w:t xml:space="preserve">&lt;UC2.3 : Search Entity Mapping </w:t>
      </w:r>
      <w:r w:rsidR="00EA67FE">
        <w:t>Market</w:t>
      </w:r>
      <w:r>
        <w:t xml:space="preserve">&gt;  </w:t>
      </w:r>
    </w:p>
    <w:p w:rsidR="00B619E8" w:rsidRPr="00E657AB" w:rsidRDefault="00B619E8" w:rsidP="00B619E8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Business User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Map the Search string and search the Business entity</w:t>
            </w:r>
          </w:p>
        </w:tc>
      </w:tr>
      <w:tr w:rsidR="00B619E8" w:rsidRPr="00DD28A7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B619E8" w:rsidRPr="00332D79" w:rsidRDefault="000814E0" w:rsidP="006110B8">
            <w:pPr>
              <w:pStyle w:val="Body"/>
            </w:pPr>
            <w:r>
              <w:t>The user</w:t>
            </w:r>
            <w:r w:rsidR="00B619E8">
              <w:t xml:space="preserve"> should be able to search the entity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 xml:space="preserve">Steps 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Entity Button </w:t>
            </w:r>
          </w:p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0814E0" w:rsidRDefault="000814E0" w:rsidP="000814E0">
            <w:pPr>
              <w:pStyle w:val="Body"/>
              <w:ind w:left="1080"/>
            </w:pPr>
          </w:p>
          <w:p w:rsidR="000814E0" w:rsidRDefault="000814E0" w:rsidP="006110B8">
            <w:pPr>
              <w:pStyle w:val="Body"/>
              <w:numPr>
                <w:ilvl w:val="0"/>
                <w:numId w:val="15"/>
              </w:numPr>
            </w:pPr>
            <w:r>
              <w:t xml:space="preserve">The user will select </w:t>
            </w:r>
            <w:r w:rsidR="00EA67FE">
              <w:t>Market</w:t>
            </w:r>
            <w:bookmarkStart w:id="0" w:name="_GoBack"/>
            <w:bookmarkEnd w:id="0"/>
            <w:r>
              <w:t xml:space="preserve"> Entity from the above Business entities</w:t>
            </w:r>
          </w:p>
          <w:p w:rsidR="000814E0" w:rsidRDefault="00B619E8" w:rsidP="000814E0">
            <w:pPr>
              <w:pStyle w:val="Body"/>
              <w:numPr>
                <w:ilvl w:val="1"/>
                <w:numId w:val="15"/>
              </w:numPr>
            </w:pPr>
            <w:r>
              <w:t>Enter the search string for template mapping</w:t>
            </w:r>
          </w:p>
          <w:p w:rsidR="000814E0" w:rsidRDefault="00B619E8" w:rsidP="006110B8">
            <w:pPr>
              <w:pStyle w:val="Body"/>
              <w:numPr>
                <w:ilvl w:val="1"/>
                <w:numId w:val="15"/>
              </w:numPr>
            </w:pPr>
            <w:r>
              <w:t xml:space="preserve"> If the string matches any of the </w:t>
            </w:r>
            <w:r w:rsidR="000814E0">
              <w:t>market entity</w:t>
            </w:r>
          </w:p>
          <w:p w:rsidR="000814E0" w:rsidRDefault="00B619E8" w:rsidP="000814E0">
            <w:pPr>
              <w:pStyle w:val="Body"/>
              <w:ind w:left="1080"/>
            </w:pPr>
            <w:r>
              <w:t>then display the relevant mapping particular to that string</w:t>
            </w:r>
          </w:p>
          <w:p w:rsidR="00B619E8" w:rsidRDefault="000814E0" w:rsidP="000814E0">
            <w:pPr>
              <w:pStyle w:val="Body"/>
            </w:pPr>
            <w:r>
              <w:t xml:space="preserve">           3.3 </w:t>
            </w:r>
            <w:r w:rsidR="00B619E8">
              <w:t>Otherwise prompt user to enter valid search string.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Extensions/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B619E8" w:rsidRPr="00332D79" w:rsidRDefault="00B619E8" w:rsidP="000814E0">
            <w:pPr>
              <w:pStyle w:val="Body"/>
            </w:pPr>
            <w:r>
              <w:t>Search string does not exist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B619E8" w:rsidP="006110B8">
            <w:pPr>
              <w:pStyle w:val="Body"/>
            </w:pPr>
            <w:r>
              <w:t>Validations:</w:t>
            </w:r>
            <w:r w:rsidR="003A7D38">
              <w:t xml:space="preserve"> 1. </w:t>
            </w:r>
            <w:r>
              <w:t xml:space="preserve"> </w:t>
            </w:r>
            <w:r w:rsidR="003A7D38">
              <w:t>Wildcard Validations</w:t>
            </w:r>
          </w:p>
          <w:p w:rsidR="00B619E8" w:rsidRPr="00332D79" w:rsidRDefault="00B619E8" w:rsidP="003A7D38">
            <w:pPr>
              <w:pStyle w:val="Body"/>
              <w:numPr>
                <w:ilvl w:val="0"/>
                <w:numId w:val="24"/>
              </w:numPr>
            </w:pPr>
            <w:r>
              <w:t>Format validations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Not A time lag between transitions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</w:p>
          <w:p w:rsidR="00B619E8" w:rsidRDefault="00B619E8" w:rsidP="006110B8">
            <w:pPr>
              <w:pStyle w:val="Body"/>
            </w:pPr>
            <w:r>
              <w:t xml:space="preserve">Database  </w:t>
            </w:r>
          </w:p>
          <w:p w:rsidR="00B619E8" w:rsidRPr="00332D79" w:rsidRDefault="00B619E8" w:rsidP="006110B8">
            <w:pPr>
              <w:pStyle w:val="Body"/>
            </w:pPr>
            <w:r>
              <w:t>Server is down</w:t>
            </w:r>
          </w:p>
        </w:tc>
      </w:tr>
    </w:tbl>
    <w:p w:rsidR="00EB4B9E" w:rsidRDefault="00EB4B9E" w:rsidP="009F602A">
      <w:pPr>
        <w:pStyle w:val="Heading1"/>
      </w:pPr>
    </w:p>
    <w:sectPr w:rsidR="00EB4B9E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FF8" w:rsidRDefault="00F56FF8">
      <w:pPr>
        <w:spacing w:line="240" w:lineRule="auto"/>
      </w:pPr>
      <w:r>
        <w:separator/>
      </w:r>
    </w:p>
  </w:endnote>
  <w:endnote w:type="continuationSeparator" w:id="0">
    <w:p w:rsidR="00F56FF8" w:rsidRDefault="00F56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9F602A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0814E0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22,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0814E0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22,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EA67FE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FF8" w:rsidRDefault="00F56FF8">
      <w:pPr>
        <w:spacing w:line="240" w:lineRule="auto"/>
      </w:pPr>
      <w:r>
        <w:separator/>
      </w:r>
    </w:p>
  </w:footnote>
  <w:footnote w:type="continuationSeparator" w:id="0">
    <w:p w:rsidR="00F56FF8" w:rsidRDefault="00F56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3"/>
  </w:num>
  <w:num w:numId="8">
    <w:abstractNumId w:val="4"/>
  </w:num>
  <w:num w:numId="9">
    <w:abstractNumId w:val="7"/>
  </w:num>
  <w:num w:numId="10">
    <w:abstractNumId w:val="21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2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814E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70026C"/>
    <w:rsid w:val="00734D40"/>
    <w:rsid w:val="00760CA9"/>
    <w:rsid w:val="00771414"/>
    <w:rsid w:val="007A5670"/>
    <w:rsid w:val="007B1433"/>
    <w:rsid w:val="007B245C"/>
    <w:rsid w:val="008222DA"/>
    <w:rsid w:val="00864DB2"/>
    <w:rsid w:val="00871A97"/>
    <w:rsid w:val="008B0040"/>
    <w:rsid w:val="008E2BDB"/>
    <w:rsid w:val="008F120A"/>
    <w:rsid w:val="008F69C5"/>
    <w:rsid w:val="008F6B50"/>
    <w:rsid w:val="00900265"/>
    <w:rsid w:val="009620FB"/>
    <w:rsid w:val="00977CC2"/>
    <w:rsid w:val="00980637"/>
    <w:rsid w:val="00986CC7"/>
    <w:rsid w:val="0099218B"/>
    <w:rsid w:val="00995A4B"/>
    <w:rsid w:val="009A1263"/>
    <w:rsid w:val="009F602A"/>
    <w:rsid w:val="00A15B43"/>
    <w:rsid w:val="00A40E8A"/>
    <w:rsid w:val="00A4468B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C265CB"/>
    <w:rsid w:val="00C31879"/>
    <w:rsid w:val="00CB21D9"/>
    <w:rsid w:val="00CB268D"/>
    <w:rsid w:val="00CD03FD"/>
    <w:rsid w:val="00CF0618"/>
    <w:rsid w:val="00D1544B"/>
    <w:rsid w:val="00D50FE5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A67FE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6FF8"/>
    <w:rsid w:val="00F57D08"/>
    <w:rsid w:val="00F95252"/>
    <w:rsid w:val="00F95DE7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2</cp:revision>
  <cp:lastPrinted>2000-10-23T11:34:00Z</cp:lastPrinted>
  <dcterms:created xsi:type="dcterms:W3CDTF">2014-02-22T05:13:00Z</dcterms:created>
  <dcterms:modified xsi:type="dcterms:W3CDTF">2014-02-22T05:13:00Z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