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9097D" w:rsidRDefault="00C1439F">
      <w:pPr>
        <w:pStyle w:val="Heading1"/>
        <w:tabs>
          <w:tab w:val="center" w:pos="0"/>
          <w:tab w:val="right" w:pos="9360"/>
        </w:tabs>
      </w:pPr>
      <w:r>
        <w:t xml:space="preserve">                                                 Pathology 438 Final Examination                             </w:t>
      </w:r>
    </w:p>
    <w:p w:rsidR="0009097D" w:rsidRDefault="009B5D48" w:rsidP="009B5D48">
      <w:pPr>
        <w:pStyle w:val="Heading1"/>
        <w:tabs>
          <w:tab w:val="center" w:pos="0"/>
          <w:tab w:val="right" w:pos="9360"/>
        </w:tabs>
      </w:pPr>
      <w:r>
        <w:tab/>
      </w:r>
      <w:r>
        <w:tab/>
      </w:r>
      <w:r>
        <w:tab/>
      </w:r>
      <w:r w:rsidR="00C1439F">
        <w:t>Marisa Sum</w:t>
      </w:r>
    </w:p>
    <w:p w:rsidR="0009097D" w:rsidRDefault="00C1439F">
      <w:pPr>
        <w:pStyle w:val="Heading1"/>
        <w:tabs>
          <w:tab w:val="center" w:pos="0"/>
          <w:tab w:val="right" w:pos="9360"/>
        </w:tabs>
      </w:pPr>
      <w:r>
        <w:t xml:space="preserve">        </w:t>
      </w:r>
      <w:r>
        <w:tab/>
        <w:t xml:space="preserve">                                                                                                          </w:t>
      </w:r>
      <w:r w:rsidR="009B5D48">
        <w:tab/>
        <w:t xml:space="preserve">  </w:t>
      </w:r>
      <w:r>
        <w:t xml:space="preserve"> 15 June 2015</w:t>
      </w:r>
    </w:p>
    <w:p w:rsidR="0009097D" w:rsidRDefault="00C1439F">
      <w:pPr>
        <w:pStyle w:val="Heading1"/>
        <w:tabs>
          <w:tab w:val="center" w:pos="0"/>
          <w:tab w:val="right" w:pos="9360"/>
        </w:tabs>
      </w:pPr>
      <w:r>
        <w:t xml:space="preserve"> </w:t>
      </w:r>
    </w:p>
    <w:p w:rsidR="0009097D" w:rsidRDefault="00C1439F">
      <w:pPr>
        <w:pStyle w:val="Heading1"/>
        <w:tabs>
          <w:tab w:val="center" w:pos="0"/>
          <w:tab w:val="right" w:pos="9360"/>
        </w:tabs>
      </w:pPr>
      <w:r>
        <w:rPr>
          <w:b/>
          <w:u w:val="single"/>
        </w:rPr>
        <w:t>Drug-Nutrient Interactions</w:t>
      </w:r>
      <w:r>
        <w:rPr>
          <w:b/>
        </w:rPr>
        <w:t>:</w:t>
      </w:r>
      <w:r>
        <w:t xml:space="preserve">  Select any of the drugs or drug classes below and explain how it affects diet (nutrient absorption).  Either suggest an alternative drug and/or explain how an individual can compensate for any effect on nutrition</w:t>
      </w:r>
    </w:p>
    <w:p w:rsidR="00173E8A" w:rsidRPr="004C39BC" w:rsidRDefault="00173E8A" w:rsidP="00173E8A">
      <w:pPr>
        <w:rPr>
          <w:sz w:val="24"/>
          <w:szCs w:val="24"/>
        </w:rPr>
      </w:pPr>
    </w:p>
    <w:p w:rsidR="00173E8A" w:rsidRPr="009B5D48" w:rsidRDefault="00173E8A" w:rsidP="00173E8A">
      <w:pPr>
        <w:pStyle w:val="Heading1"/>
        <w:numPr>
          <w:ilvl w:val="0"/>
          <w:numId w:val="1"/>
        </w:numPr>
        <w:tabs>
          <w:tab w:val="center" w:pos="0"/>
          <w:tab w:val="right" w:pos="9360"/>
        </w:tabs>
        <w:rPr>
          <w:b/>
        </w:rPr>
      </w:pPr>
      <w:r w:rsidRPr="009B5D48">
        <w:rPr>
          <w:b/>
        </w:rPr>
        <w:t xml:space="preserve">Laxatives </w:t>
      </w:r>
    </w:p>
    <w:p w:rsidR="00173E8A" w:rsidRPr="004C39BC" w:rsidRDefault="00173E8A" w:rsidP="00173E8A">
      <w:pPr>
        <w:rPr>
          <w:sz w:val="24"/>
          <w:szCs w:val="24"/>
        </w:rPr>
      </w:pPr>
      <w:r w:rsidRPr="004C39BC">
        <w:rPr>
          <w:sz w:val="24"/>
          <w:szCs w:val="24"/>
        </w:rPr>
        <w:t>There are three different types of laxatives: osmotic laxatives, stimulant laxatives, and bulk-for</w:t>
      </w:r>
      <w:r w:rsidR="009A455F" w:rsidRPr="004C39BC">
        <w:rPr>
          <w:sz w:val="24"/>
          <w:szCs w:val="24"/>
        </w:rPr>
        <w:t xml:space="preserve">ming laxatives and they each affect nutrient absorption in different ways. </w:t>
      </w:r>
      <w:sdt>
        <w:sdtPr>
          <w:rPr>
            <w:sz w:val="24"/>
            <w:szCs w:val="24"/>
          </w:rPr>
          <w:id w:val="-1223058111"/>
          <w:citation/>
        </w:sdtPr>
        <w:sdtContent>
          <w:r w:rsidR="009B5D48">
            <w:rPr>
              <w:sz w:val="24"/>
              <w:szCs w:val="24"/>
            </w:rPr>
            <w:fldChar w:fldCharType="begin"/>
          </w:r>
          <w:r w:rsidR="009B5D48">
            <w:rPr>
              <w:sz w:val="24"/>
              <w:szCs w:val="24"/>
            </w:rPr>
            <w:instrText xml:space="preserve"> CITATION DrE13 \l 1033 </w:instrText>
          </w:r>
          <w:r w:rsidR="009B5D48">
            <w:rPr>
              <w:sz w:val="24"/>
              <w:szCs w:val="24"/>
            </w:rPr>
            <w:fldChar w:fldCharType="separate"/>
          </w:r>
          <w:r w:rsidR="00286279" w:rsidRPr="00286279">
            <w:rPr>
              <w:noProof/>
              <w:sz w:val="24"/>
              <w:szCs w:val="24"/>
            </w:rPr>
            <w:t>(F, 2013)</w:t>
          </w:r>
          <w:r w:rsidR="009B5D48">
            <w:rPr>
              <w:sz w:val="24"/>
              <w:szCs w:val="24"/>
            </w:rPr>
            <w:fldChar w:fldCharType="end"/>
          </w:r>
        </w:sdtContent>
      </w:sdt>
      <w:r w:rsidR="009B5D48">
        <w:rPr>
          <w:sz w:val="24"/>
          <w:szCs w:val="24"/>
        </w:rPr>
        <w:t xml:space="preserve"> </w:t>
      </w:r>
      <w:r w:rsidR="009A455F" w:rsidRPr="004C39BC">
        <w:rPr>
          <w:sz w:val="24"/>
          <w:szCs w:val="24"/>
        </w:rPr>
        <w:t xml:space="preserve">Osmotic laxatives have ionic properties that pull fluid into the intestines to loosen blockages and move the stool out of the body, as diarrhea. Side effects to taking </w:t>
      </w:r>
      <w:r w:rsidR="004C39BC" w:rsidRPr="004C39BC">
        <w:rPr>
          <w:sz w:val="24"/>
          <w:szCs w:val="24"/>
        </w:rPr>
        <w:t xml:space="preserve">these laxatives are </w:t>
      </w:r>
      <w:r w:rsidR="009A455F" w:rsidRPr="004C39BC">
        <w:rPr>
          <w:sz w:val="24"/>
          <w:szCs w:val="24"/>
        </w:rPr>
        <w:t xml:space="preserve">dehydration and nutrient malabsorption because the food does not get properly broken down and absorbed since it is being flushed out. This can cause electrolyte imbalance and physical discomfort from cramping and </w:t>
      </w:r>
      <w:r w:rsidR="004C39BC" w:rsidRPr="004C39BC">
        <w:rPr>
          <w:sz w:val="24"/>
          <w:szCs w:val="24"/>
        </w:rPr>
        <w:t>bloating</w:t>
      </w:r>
      <w:r w:rsidR="009A455F" w:rsidRPr="004C39BC">
        <w:rPr>
          <w:sz w:val="24"/>
          <w:szCs w:val="24"/>
        </w:rPr>
        <w:t xml:space="preserve">. </w:t>
      </w:r>
      <w:r w:rsidR="004C39BC" w:rsidRPr="004C39BC">
        <w:rPr>
          <w:sz w:val="24"/>
          <w:szCs w:val="24"/>
        </w:rPr>
        <w:t xml:space="preserve">Stimulant laxatives contain chemicals and herbs that are meant to stimulate peristalsis in the intestines which helps the fecal matter move along the tract. However, the chemicals in these laxatives are </w:t>
      </w:r>
      <w:r w:rsidR="004C39BC">
        <w:rPr>
          <w:sz w:val="24"/>
          <w:szCs w:val="24"/>
        </w:rPr>
        <w:t xml:space="preserve">questionable and long term use can irritate and scar the intestinal walls which can lead to further damage and dysfunction of the intestines. </w:t>
      </w:r>
      <w:r w:rsidR="005F260F">
        <w:rPr>
          <w:sz w:val="24"/>
          <w:szCs w:val="24"/>
        </w:rPr>
        <w:t xml:space="preserve">Bulk forming laxatives are usually made of dead fiber cells which absorb water and other material in the intestines to form a larger stool mass. This can either result in blocking up the bowels further or stimulate the intestines to want to push it out. Some of the ingredients in bulk forming laxatives can also cause irritation. Overall, laxatives are not meant for long term use, but they are good at doing what they are made for, which is to clear intestinal blockages. All laxatives can decrease nutrient absorption because they prevent the body from fully metabolizing the food matter and can cause a lot of irritation in the bowels, which can lead to chronic bowel problems and malabsorption. This puts a lot of stress on the body which can even encourage fat storage and food intolerances. Fatigue and decreased integrity of the immune system can result from irritated intestines. If a person is experiencing a lot of constipation, laxatives are good to use for symptomatic relief but these symptoms should be understood that there is something going on metabolically or physiologically that needs to be addressed. </w:t>
      </w:r>
    </w:p>
    <w:p w:rsidR="009A455F" w:rsidRDefault="009A455F" w:rsidP="00173E8A">
      <w:pPr>
        <w:rPr>
          <w:sz w:val="24"/>
          <w:szCs w:val="24"/>
        </w:rPr>
      </w:pPr>
      <w:r w:rsidRPr="004C39BC">
        <w:rPr>
          <w:sz w:val="24"/>
          <w:szCs w:val="24"/>
        </w:rPr>
        <w:tab/>
      </w:r>
      <w:r w:rsidR="00A92AC6">
        <w:rPr>
          <w:sz w:val="24"/>
          <w:szCs w:val="24"/>
        </w:rPr>
        <w:t xml:space="preserve">There are some alternatives to using laxatives that are safer and should be tried before turning to the pills. If a person needs a quick fix when having constipation related problems, he/she can try drinking warm water first. </w:t>
      </w:r>
      <w:r w:rsidR="00542CEE">
        <w:rPr>
          <w:sz w:val="24"/>
          <w:szCs w:val="24"/>
        </w:rPr>
        <w:t xml:space="preserve"> </w:t>
      </w:r>
      <w:r w:rsidR="00A92AC6">
        <w:rPr>
          <w:sz w:val="24"/>
          <w:szCs w:val="24"/>
        </w:rPr>
        <w:t xml:space="preserve">Balling one fist into a ball and pressing it into the abdomen while rubbing slowly from side to side, downward, can help physically move the fecal matter south to the anus. Lying on one’s side rather than upright can also encourage gravity to help it along. </w:t>
      </w:r>
      <w:proofErr w:type="spellStart"/>
      <w:r w:rsidR="00A92AC6">
        <w:rPr>
          <w:sz w:val="24"/>
          <w:szCs w:val="24"/>
        </w:rPr>
        <w:t>Self colon</w:t>
      </w:r>
      <w:proofErr w:type="spellEnd"/>
      <w:r w:rsidR="00A92AC6">
        <w:rPr>
          <w:sz w:val="24"/>
          <w:szCs w:val="24"/>
        </w:rPr>
        <w:t xml:space="preserve">-cleansing kits can be purchased at the store and help get things moving from the anal side. Supplementing with a little bit of fiber in a glass of water can also help move things along. Otherwise, taking the time and energy into looking at one’s diet, sleep patterns, liquid intake, and stress can help improve intestinal integrity and health to prevent future impaction problems. Supplementing with probiotics daily can increase healthy “gut flora” or intestinal bacteria which can improve digestion, </w:t>
      </w:r>
      <w:proofErr w:type="spellStart"/>
      <w:r w:rsidR="00A92AC6">
        <w:rPr>
          <w:sz w:val="24"/>
          <w:szCs w:val="24"/>
        </w:rPr>
        <w:t>chyme</w:t>
      </w:r>
      <w:proofErr w:type="spellEnd"/>
      <w:r w:rsidR="00A92AC6">
        <w:rPr>
          <w:sz w:val="24"/>
          <w:szCs w:val="24"/>
        </w:rPr>
        <w:t xml:space="preserve"> movement and nutrient absorption too. </w:t>
      </w:r>
    </w:p>
    <w:p w:rsidR="00173E8A" w:rsidRPr="004C39BC" w:rsidRDefault="00173E8A">
      <w:pPr>
        <w:pStyle w:val="Heading1"/>
        <w:tabs>
          <w:tab w:val="center" w:pos="0"/>
          <w:tab w:val="right" w:pos="9360"/>
        </w:tabs>
      </w:pPr>
    </w:p>
    <w:p w:rsidR="00173E8A" w:rsidRPr="00173E8A" w:rsidRDefault="00173E8A" w:rsidP="00173E8A"/>
    <w:p w:rsidR="0009097D" w:rsidRDefault="009B5D48">
      <w:pPr>
        <w:pStyle w:val="Heading1"/>
        <w:tabs>
          <w:tab w:val="center" w:pos="0"/>
          <w:tab w:val="right" w:pos="9360"/>
        </w:tabs>
      </w:pPr>
      <w:r>
        <w:lastRenderedPageBreak/>
        <w:tab/>
      </w:r>
      <w:r w:rsidRPr="009B5D48">
        <w:rPr>
          <w:b/>
        </w:rPr>
        <w:t xml:space="preserve">2. </w:t>
      </w:r>
      <w:r w:rsidR="00C1439F" w:rsidRPr="009B5D48">
        <w:rPr>
          <w:b/>
        </w:rPr>
        <w:t>Antacids</w:t>
      </w:r>
      <w:r w:rsidR="00C1439F">
        <w:t xml:space="preserve"> cont</w:t>
      </w:r>
      <w:r w:rsidR="00C1439F">
        <w:t>ain alkaline ions that directly neutralize acidic ions such as gastric acid (</w:t>
      </w:r>
      <w:proofErr w:type="spellStart"/>
      <w:r w:rsidR="00C1439F">
        <w:t>HCl</w:t>
      </w:r>
      <w:proofErr w:type="spellEnd"/>
      <w:r w:rsidR="00C1439F">
        <w:t xml:space="preserve">). Most people take antacids to neutralize the burning pain sensation of “heartburn” which the main symptoms of </w:t>
      </w:r>
      <w:proofErr w:type="spellStart"/>
      <w:r w:rsidR="00C1439F">
        <w:t>gastroesophageal</w:t>
      </w:r>
      <w:proofErr w:type="spellEnd"/>
      <w:r w:rsidR="00C1439F">
        <w:t xml:space="preserve"> reflux disease (GERD). The chemical reaction of</w:t>
      </w:r>
      <w:r w:rsidR="00C1439F">
        <w:t xml:space="preserve"> antacids on stomach acid creates a new compound which is why we can call the reaction a complexation, or complex forming, reaction. It creates a tetracycline complex with divalent </w:t>
      </w:r>
      <w:proofErr w:type="spellStart"/>
      <w:r w:rsidR="00C1439F">
        <w:t>cations</w:t>
      </w:r>
      <w:proofErr w:type="spellEnd"/>
      <w:r w:rsidR="00C1439F">
        <w:t xml:space="preserve"> that forms an insoluble complex. (Halloran, More Applications of Ph</w:t>
      </w:r>
      <w:r w:rsidR="00C1439F">
        <w:t>armacology &amp; Toxicology: Week 4, 2015) Antacids can allow microbes to survive in the gastrointestinal tract and alter nutrient absorption. The stomach needs a low pH, or an acidic environment, to kill other microbial bacteria that are consumed with food an</w:t>
      </w:r>
      <w:r w:rsidR="00C1439F">
        <w:t>d to properly break down the food into macronutrient particles so that they can be further broken down in the small intestine later. If a person takes antacids for acid reflux daily for more than just a few days, it can start to affect both of those purpos</w:t>
      </w:r>
      <w:r w:rsidR="00C1439F">
        <w:t xml:space="preserve">es for the stomach acid’s acidic </w:t>
      </w:r>
      <w:proofErr w:type="spellStart"/>
      <w:r w:rsidR="00C1439F">
        <w:t>pH.</w:t>
      </w:r>
      <w:proofErr w:type="spellEnd"/>
    </w:p>
    <w:p w:rsidR="0009097D" w:rsidRDefault="009B5D48">
      <w:pPr>
        <w:pStyle w:val="Heading1"/>
        <w:tabs>
          <w:tab w:val="center" w:pos="0"/>
          <w:tab w:val="right" w:pos="9360"/>
        </w:tabs>
      </w:pPr>
      <w:r>
        <w:tab/>
      </w:r>
      <w:r w:rsidR="00C1439F">
        <w:t xml:space="preserve">For example, long term antacid use is linked to the formation of ulcers because the higher and more neutral pH post antacid supplementation allows </w:t>
      </w:r>
      <w:proofErr w:type="spellStart"/>
      <w:r w:rsidR="00C1439F">
        <w:t>heliobacter</w:t>
      </w:r>
      <w:proofErr w:type="spellEnd"/>
      <w:r w:rsidR="00C1439F">
        <w:t xml:space="preserve"> pylori bacteria, which is commonly found in our stomach, to </w:t>
      </w:r>
      <w:r w:rsidR="00C1439F">
        <w:t>thrive and dig a hole through the stomach lining, thus allowing the stomach acid to leak through the layers too and cause an ulcer. (Stomach, 2015) This more neutral stomach pH can allow other bacteria to survive in the stomach and cause food poisoning too</w:t>
      </w:r>
      <w:r w:rsidR="00C1439F">
        <w:t>. In terms of digestion, having a higher stomach acid pH improperly breaks down our food, leading to malabsorption of Vitamin B12, folate and iron. (Halloran, 2015) A deficiency in this can lead to neurological damage such as dementia and motor damage. (Ja</w:t>
      </w:r>
      <w:r w:rsidR="00C1439F">
        <w:t>meson R. Lam, 2013) It also affects Vitamin D creation and metabolism which can lead to calcium malabsorption, which further leads to bone reabsorption problems like osteoporosis. Further, when the improperly digested food moves through the pyloric sphinct</w:t>
      </w:r>
      <w:r w:rsidR="00C1439F">
        <w:t xml:space="preserve">er into the duodenum and small intestine, the intestine peristalsis will not be able to properly perform mechanical function due to the texture of the </w:t>
      </w:r>
      <w:proofErr w:type="spellStart"/>
      <w:r w:rsidR="00C1439F">
        <w:t>chyme</w:t>
      </w:r>
      <w:proofErr w:type="spellEnd"/>
      <w:r w:rsidR="00C1439F">
        <w:t>, thus causing constipation. Finally, antacids cause urine pH to rise, which reduces kidney tubule r</w:t>
      </w:r>
      <w:r w:rsidR="00C1439F">
        <w:t>eabsorption of salicylate. (Halloran, 2015)</w:t>
      </w:r>
    </w:p>
    <w:p w:rsidR="0009097D" w:rsidRDefault="00C1439F">
      <w:pPr>
        <w:pStyle w:val="Heading1"/>
        <w:tabs>
          <w:tab w:val="center" w:pos="0"/>
          <w:tab w:val="right" w:pos="9360"/>
        </w:tabs>
      </w:pPr>
      <w:r>
        <w:t>Alternatives to taking antacids if one is susceptible to heartburn symptoms are to eat more “alkaline foods” like dark leafy greens and avoiding food irritants or foods that cause inflammation and are more acidic</w:t>
      </w:r>
      <w:r>
        <w:t>, like alcohol, coffee, chocolate, sugar, and spicy food. Supplementing the diet with teaspoons of apple cider vinegar will help buffer the pH of the gastric acid and drinking water before eating can help too. Do not eat an hour before sleeping too. As a C</w:t>
      </w:r>
      <w:r>
        <w:t xml:space="preserve">hiropractor, I would check the integrity of the stomach organ itself, looking for any herniation of the stomach at the fundus or at the cardia. These areas are likely herniated or have muscle contraction problems if the patient has a history of vomiting - </w:t>
      </w:r>
      <w:r>
        <w:t xml:space="preserve">from morning sickness, eating disorders, food poisoning, or alcohol overdose. Correcting </w:t>
      </w:r>
      <w:proofErr w:type="gramStart"/>
      <w:r>
        <w:t>these</w:t>
      </w:r>
      <w:proofErr w:type="gramEnd"/>
      <w:r>
        <w:t xml:space="preserve"> herniation via manual adjustment to the location of injury can greatly improve proper stomach contraction function and then decrease the incidence of acid reflux</w:t>
      </w:r>
      <w:r>
        <w:t xml:space="preserve"> symptoms.</w:t>
      </w:r>
    </w:p>
    <w:p w:rsidR="009B5D48" w:rsidRPr="009B5D48" w:rsidRDefault="009B5D48" w:rsidP="009B5D48">
      <w:pPr>
        <w:rPr>
          <w:sz w:val="24"/>
        </w:rPr>
      </w:pPr>
    </w:p>
    <w:p w:rsidR="009B5D48" w:rsidRPr="009B5D48" w:rsidRDefault="009B5D48" w:rsidP="009B5D48">
      <w:pPr>
        <w:rPr>
          <w:sz w:val="24"/>
        </w:rPr>
      </w:pPr>
      <w:proofErr w:type="gramStart"/>
      <w:r w:rsidRPr="009B5D48">
        <w:rPr>
          <w:b/>
          <w:sz w:val="24"/>
        </w:rPr>
        <w:t>3.Anticonvulsants</w:t>
      </w:r>
      <w:proofErr w:type="gramEnd"/>
      <w:r w:rsidRPr="009B5D48">
        <w:rPr>
          <w:b/>
          <w:sz w:val="24"/>
        </w:rPr>
        <w:t xml:space="preserve"> </w:t>
      </w:r>
    </w:p>
    <w:p w:rsidR="009B5D48" w:rsidRDefault="009B5D48" w:rsidP="009B5D48">
      <w:pPr>
        <w:rPr>
          <w:sz w:val="24"/>
        </w:rPr>
      </w:pPr>
      <w:r>
        <w:rPr>
          <w:sz w:val="24"/>
        </w:rPr>
        <w:tab/>
        <w:t xml:space="preserve">Anticonvulsants are medications that affect the brain and its chemistry to reduce the likelihood of seizures and epileptic tendencies from occurring. They are often also prescribed to people who suffer from anxiety problems. The enzyme </w:t>
      </w:r>
      <w:proofErr w:type="spellStart"/>
      <w:r>
        <w:rPr>
          <w:sz w:val="24"/>
        </w:rPr>
        <w:t>inducors</w:t>
      </w:r>
      <w:proofErr w:type="spellEnd"/>
      <w:r>
        <w:rPr>
          <w:sz w:val="24"/>
        </w:rPr>
        <w:t xml:space="preserve"> and inhibitors in these drugs related to cytochrome p450 can catabolize Vitamin D and cause hypocalcemia and thus possibly osteoporosis or osteopenia because the body will break down bone matter to regulate blood calcium levels. </w:t>
      </w:r>
      <w:sdt>
        <w:sdtPr>
          <w:rPr>
            <w:sz w:val="24"/>
          </w:rPr>
          <w:id w:val="-355581125"/>
          <w:citation/>
        </w:sdtPr>
        <w:sdtContent>
          <w:r>
            <w:rPr>
              <w:sz w:val="24"/>
            </w:rPr>
            <w:fldChar w:fldCharType="begin"/>
          </w:r>
          <w:r>
            <w:rPr>
              <w:sz w:val="24"/>
            </w:rPr>
            <w:instrText xml:space="preserve"> CITATION Hel06 \l 1033 </w:instrText>
          </w:r>
          <w:r>
            <w:rPr>
              <w:sz w:val="24"/>
            </w:rPr>
            <w:fldChar w:fldCharType="separate"/>
          </w:r>
          <w:r w:rsidR="00286279" w:rsidRPr="00286279">
            <w:rPr>
              <w:noProof/>
              <w:sz w:val="24"/>
            </w:rPr>
            <w:t>(Helen Valsamis, 2006)</w:t>
          </w:r>
          <w:r>
            <w:rPr>
              <w:sz w:val="24"/>
            </w:rPr>
            <w:fldChar w:fldCharType="end"/>
          </w:r>
        </w:sdtContent>
      </w:sdt>
      <w:r>
        <w:rPr>
          <w:sz w:val="24"/>
        </w:rPr>
        <w:t xml:space="preserve">This can then further lead to an increased risk of fractures and bone density diseases. </w:t>
      </w:r>
    </w:p>
    <w:p w:rsidR="009B5D48" w:rsidRPr="009B5D48" w:rsidRDefault="009B5D48" w:rsidP="009B5D48">
      <w:pPr>
        <w:rPr>
          <w:sz w:val="24"/>
        </w:rPr>
      </w:pPr>
      <w:r>
        <w:rPr>
          <w:sz w:val="24"/>
        </w:rPr>
        <w:lastRenderedPageBreak/>
        <w:tab/>
        <w:t xml:space="preserve">Instead of taking anticonvulsant medication, Chiropractic adjustments, vitamins, hydration, sunlight, and rest can help. </w:t>
      </w:r>
      <w:r w:rsidR="002A1FEA">
        <w:rPr>
          <w:sz w:val="24"/>
        </w:rPr>
        <w:t xml:space="preserve">Chiropractic adjustments indirectly stimulate the </w:t>
      </w:r>
      <w:proofErr w:type="spellStart"/>
      <w:r w:rsidR="002A1FEA">
        <w:rPr>
          <w:sz w:val="24"/>
        </w:rPr>
        <w:t>vagus</w:t>
      </w:r>
      <w:proofErr w:type="spellEnd"/>
      <w:r w:rsidR="002A1FEA">
        <w:rPr>
          <w:sz w:val="24"/>
        </w:rPr>
        <w:t xml:space="preserve"> nerve which is a part of the parasympathetic nervous system which encourages a more restful state. Removing subluxations from the spine can also improve cerebrospinal fluid flow in the </w:t>
      </w:r>
      <w:proofErr w:type="spellStart"/>
      <w:r w:rsidR="002A1FEA">
        <w:rPr>
          <w:sz w:val="24"/>
        </w:rPr>
        <w:t>dura</w:t>
      </w:r>
      <w:proofErr w:type="spellEnd"/>
      <w:r w:rsidR="002A1FEA">
        <w:rPr>
          <w:sz w:val="24"/>
        </w:rPr>
        <w:t xml:space="preserve"> mater, which can improve nourishment of the brain and regulate brain chemistry. Vitamins such as B6, biotin and </w:t>
      </w:r>
      <w:proofErr w:type="spellStart"/>
      <w:r w:rsidR="002A1FEA">
        <w:rPr>
          <w:sz w:val="24"/>
        </w:rPr>
        <w:t>folinic</w:t>
      </w:r>
      <w:proofErr w:type="spellEnd"/>
      <w:r w:rsidR="002A1FEA">
        <w:rPr>
          <w:sz w:val="24"/>
        </w:rPr>
        <w:t xml:space="preserve"> acid all play key regulatory roles of energy metabolism. </w:t>
      </w:r>
      <w:sdt>
        <w:sdtPr>
          <w:rPr>
            <w:sz w:val="24"/>
          </w:rPr>
          <w:id w:val="-578057785"/>
          <w:citation/>
        </w:sdtPr>
        <w:sdtContent>
          <w:r w:rsidR="002A1FEA">
            <w:rPr>
              <w:sz w:val="24"/>
            </w:rPr>
            <w:fldChar w:fldCharType="begin"/>
          </w:r>
          <w:r w:rsidR="002A1FEA">
            <w:rPr>
              <w:sz w:val="24"/>
            </w:rPr>
            <w:instrText xml:space="preserve"> CITATION RKn06 \l 1033 </w:instrText>
          </w:r>
          <w:r w:rsidR="002A1FEA">
            <w:rPr>
              <w:sz w:val="24"/>
            </w:rPr>
            <w:fldChar w:fldCharType="separate"/>
          </w:r>
          <w:r w:rsidR="00286279" w:rsidRPr="00286279">
            <w:rPr>
              <w:noProof/>
              <w:sz w:val="24"/>
            </w:rPr>
            <w:t>(R Kneen, 2006)</w:t>
          </w:r>
          <w:r w:rsidR="002A1FEA">
            <w:rPr>
              <w:sz w:val="24"/>
            </w:rPr>
            <w:fldChar w:fldCharType="end"/>
          </w:r>
        </w:sdtContent>
      </w:sdt>
      <w:r w:rsidR="002A1FEA">
        <w:rPr>
          <w:sz w:val="24"/>
        </w:rPr>
        <w:t xml:space="preserve"> Having a regular sleep cycle can help the secretion of melatonin which soothes the body at appropriate levels for proper excitation. Also, it has been found that a ketogenic diet, or a diet without carbohydrates and higher in healthy fatty acids, can help the brain function better because the brain is mostly made of cholesterol and fat. </w:t>
      </w:r>
    </w:p>
    <w:p w:rsidR="009B5D48" w:rsidRDefault="009B5D48">
      <w:pPr>
        <w:pStyle w:val="Heading1"/>
        <w:tabs>
          <w:tab w:val="center" w:pos="0"/>
          <w:tab w:val="right" w:pos="9360"/>
        </w:tabs>
        <w:rPr>
          <w:b/>
          <w:u w:val="single"/>
        </w:rPr>
      </w:pPr>
    </w:p>
    <w:p w:rsidR="009B5D48" w:rsidRDefault="009B5D48">
      <w:pPr>
        <w:pStyle w:val="Heading1"/>
        <w:tabs>
          <w:tab w:val="center" w:pos="0"/>
          <w:tab w:val="right" w:pos="9360"/>
        </w:tabs>
        <w:rPr>
          <w:b/>
          <w:u w:val="single"/>
        </w:rPr>
      </w:pPr>
    </w:p>
    <w:p w:rsidR="0009097D" w:rsidRDefault="00C1439F">
      <w:pPr>
        <w:pStyle w:val="Heading1"/>
        <w:tabs>
          <w:tab w:val="center" w:pos="0"/>
          <w:tab w:val="right" w:pos="9360"/>
        </w:tabs>
      </w:pPr>
      <w:r>
        <w:rPr>
          <w:b/>
          <w:u w:val="single"/>
        </w:rPr>
        <w:t>Personal Care Products:</w:t>
      </w:r>
      <w:r>
        <w:t xml:space="preserve"> Select one of the product types and the named compound usually contained in it.  Discuss any facts on acute and chronic toxicity through dermal expos</w:t>
      </w:r>
      <w:r w:rsidR="009B5D48">
        <w:t xml:space="preserve">ure, and discuss alternatives </w:t>
      </w:r>
    </w:p>
    <w:p w:rsidR="0009097D" w:rsidRDefault="00C1439F">
      <w:pPr>
        <w:pStyle w:val="Heading1"/>
        <w:tabs>
          <w:tab w:val="center" w:pos="0"/>
          <w:tab w:val="right" w:pos="9360"/>
        </w:tabs>
      </w:pPr>
      <w:r>
        <w:t xml:space="preserve"> </w:t>
      </w:r>
    </w:p>
    <w:p w:rsidR="0009097D" w:rsidRDefault="009B5D48">
      <w:pPr>
        <w:pStyle w:val="Heading1"/>
        <w:tabs>
          <w:tab w:val="center" w:pos="0"/>
          <w:tab w:val="right" w:pos="9360"/>
        </w:tabs>
      </w:pPr>
      <w:r>
        <w:tab/>
      </w:r>
      <w:r w:rsidR="00C1439F" w:rsidRPr="009B5D48">
        <w:rPr>
          <w:b/>
        </w:rPr>
        <w:t xml:space="preserve">Aluminum </w:t>
      </w:r>
      <w:proofErr w:type="spellStart"/>
      <w:r w:rsidR="00C1439F" w:rsidRPr="009B5D48">
        <w:rPr>
          <w:b/>
        </w:rPr>
        <w:t>chlorohydrate</w:t>
      </w:r>
      <w:proofErr w:type="spellEnd"/>
      <w:r w:rsidR="00C1439F">
        <w:t xml:space="preserve"> is the active </w:t>
      </w:r>
      <w:r w:rsidR="00C1439F">
        <w:t xml:space="preserve">ingredient in most antiperspirants available for purchase in stores. It blocks the sweat glands from getting to the skin’s surface which is what reduces underarm odor. (Antiperspirants and Breast Cancer </w:t>
      </w:r>
      <w:proofErr w:type="gramStart"/>
      <w:r w:rsidR="00C1439F">
        <w:t>Risk ,</w:t>
      </w:r>
      <w:proofErr w:type="gramEnd"/>
      <w:r w:rsidR="00C1439F">
        <w:t xml:space="preserve"> 2014) However, some researchers speculate that</w:t>
      </w:r>
      <w:r w:rsidR="00C1439F">
        <w:t xml:space="preserve"> the aluminum can cross into the skin where it can be stored and may change estrogen receptors of breast cells, thus increasing a risk for breast cancer if used for a long time. (</w:t>
      </w:r>
      <w:proofErr w:type="spellStart"/>
      <w:r w:rsidR="00C1439F">
        <w:t>Pineau</w:t>
      </w:r>
      <w:proofErr w:type="spellEnd"/>
      <w:r w:rsidR="00C1439F">
        <w:t xml:space="preserve"> A, 2014) It is noted that it is more likely to cross into the skin thr</w:t>
      </w:r>
      <w:r w:rsidR="00C1439F">
        <w:t>ough a razor nick. This potential risk for chronic toxicity has a lot of people looking for safer anti-odor alternatives. There does not seem to be clear research findings that prove that the aluminum is absorbed through the skin enough to have adverse eff</w:t>
      </w:r>
      <w:r w:rsidR="00C1439F">
        <w:t>ects though. This is definitely a subject for further study.</w:t>
      </w:r>
    </w:p>
    <w:p w:rsidR="0009097D" w:rsidRDefault="00C1439F">
      <w:pPr>
        <w:pStyle w:val="Heading1"/>
        <w:tabs>
          <w:tab w:val="center" w:pos="0"/>
          <w:tab w:val="right" w:pos="9360"/>
        </w:tabs>
      </w:pPr>
      <w:r>
        <w:tab/>
      </w:r>
      <w:bookmarkStart w:id="0" w:name="_GoBack"/>
      <w:bookmarkEnd w:id="0"/>
      <w:r>
        <w:t xml:space="preserve">Safer alternatives to antiperspirant sticks that do not contain aluminum </w:t>
      </w:r>
      <w:proofErr w:type="spellStart"/>
      <w:r>
        <w:t>chlorohydrate</w:t>
      </w:r>
      <w:proofErr w:type="spellEnd"/>
      <w:r>
        <w:t xml:space="preserve"> are d</w:t>
      </w:r>
      <w:r>
        <w:rPr>
          <w:highlight w:val="white"/>
        </w:rPr>
        <w:t>eodorant stones which are large, smooth crystals of potassium aluminum sulfate that must be wetted with</w:t>
      </w:r>
      <w:r>
        <w:rPr>
          <w:highlight w:val="white"/>
        </w:rPr>
        <w:t xml:space="preserve"> water when applied. The difference between potassium alum and aluminum </w:t>
      </w:r>
      <w:proofErr w:type="spellStart"/>
      <w:r>
        <w:rPr>
          <w:highlight w:val="white"/>
        </w:rPr>
        <w:t>chlorohydrate</w:t>
      </w:r>
      <w:proofErr w:type="spellEnd"/>
      <w:r>
        <w:rPr>
          <w:highlight w:val="white"/>
        </w:rPr>
        <w:t xml:space="preserve"> is that potassium alum is a much larger molecule that is not thought to be absorbable through skin. (5 Deodorant Alternatives, 2015) However, if you want to completely el</w:t>
      </w:r>
      <w:r>
        <w:rPr>
          <w:highlight w:val="white"/>
        </w:rPr>
        <w:t>iminate aluminum from your armpits many companies sell natural aluminum-free sticks such as Burt's Bees, JASON, Trader Joe's Kiss My Face and several other companies all offer aluminum-free deodorant sticks.</w:t>
      </w:r>
      <w:r>
        <w:t xml:space="preserve"> Alternatives to antiperspirant sticks are home r</w:t>
      </w:r>
      <w:r>
        <w:t>emedies like mixing b</w:t>
      </w:r>
      <w:r>
        <w:rPr>
          <w:highlight w:val="white"/>
        </w:rPr>
        <w:t>aking soda and cornstarch with a little water, citric acid from lemon juice and spritzing alcohol on the armpits.</w:t>
      </w:r>
    </w:p>
    <w:p w:rsidR="0009097D" w:rsidRDefault="00C1439F">
      <w:pPr>
        <w:pStyle w:val="Heading1"/>
        <w:tabs>
          <w:tab w:val="center" w:pos="0"/>
          <w:tab w:val="right" w:pos="9360"/>
        </w:tabs>
      </w:pPr>
      <w:r>
        <w:t xml:space="preserve"> </w:t>
      </w:r>
    </w:p>
    <w:p w:rsidR="0009097D" w:rsidRDefault="00C1439F">
      <w:pPr>
        <w:pStyle w:val="Heading1"/>
        <w:tabs>
          <w:tab w:val="center" w:pos="0"/>
          <w:tab w:val="right" w:pos="9360"/>
        </w:tabs>
      </w:pPr>
      <w:r>
        <w:t xml:space="preserve"> </w:t>
      </w:r>
    </w:p>
    <w:p w:rsidR="0009097D" w:rsidRDefault="00C1439F">
      <w:pPr>
        <w:pStyle w:val="Heading1"/>
        <w:tabs>
          <w:tab w:val="center" w:pos="0"/>
          <w:tab w:val="right" w:pos="9360"/>
        </w:tabs>
      </w:pPr>
      <w:r>
        <w:t xml:space="preserve"> </w:t>
      </w:r>
    </w:p>
    <w:p w:rsidR="0009097D" w:rsidRDefault="00C1439F">
      <w:pPr>
        <w:pStyle w:val="Heading1"/>
        <w:tabs>
          <w:tab w:val="center" w:pos="0"/>
          <w:tab w:val="right" w:pos="9360"/>
        </w:tabs>
      </w:pPr>
      <w:r>
        <w:t xml:space="preserve"> </w:t>
      </w:r>
    </w:p>
    <w:p w:rsidR="0009097D" w:rsidRDefault="0009097D">
      <w:pPr>
        <w:tabs>
          <w:tab w:val="center" w:pos="0"/>
          <w:tab w:val="right" w:pos="9360"/>
        </w:tabs>
      </w:pPr>
    </w:p>
    <w:p w:rsidR="0009097D" w:rsidRDefault="00C1439F">
      <w:pPr>
        <w:pStyle w:val="Heading1"/>
        <w:tabs>
          <w:tab w:val="center" w:pos="0"/>
          <w:tab w:val="right" w:pos="9360"/>
        </w:tabs>
      </w:pPr>
      <w:r>
        <w:lastRenderedPageBreak/>
        <w:t xml:space="preserve"> </w:t>
      </w:r>
      <w:r>
        <w:rPr>
          <w:b/>
          <w:sz w:val="46"/>
          <w:szCs w:val="46"/>
        </w:rPr>
        <w:t>Bibliography</w:t>
      </w:r>
    </w:p>
    <w:p w:rsidR="0009097D" w:rsidRDefault="00C1439F">
      <w:pPr>
        <w:pStyle w:val="Heading1"/>
        <w:tabs>
          <w:tab w:val="center" w:pos="0"/>
          <w:tab w:val="right" w:pos="9360"/>
        </w:tabs>
      </w:pPr>
      <w:bookmarkStart w:id="1" w:name="h.rgyjbz3uvhy9" w:colFirst="0" w:colLast="0"/>
      <w:bookmarkEnd w:id="1"/>
      <w:proofErr w:type="gramStart"/>
      <w:r>
        <w:rPr>
          <w:i/>
        </w:rPr>
        <w:t>5 Deodorant Alternatives</w:t>
      </w:r>
      <w:r>
        <w:t>.</w:t>
      </w:r>
      <w:proofErr w:type="gramEnd"/>
      <w:r>
        <w:t xml:space="preserve"> (2015). Retrieved June 14, 2015, from Mother Nature Network: http://www.</w:t>
      </w:r>
      <w:r>
        <w:t>mnn.com/lifestyle/natural-beauty-fashion/photos/5-deodorant-alternatives/natural-deodorants#ixzz3d5HrLsVJ</w:t>
      </w:r>
    </w:p>
    <w:p w:rsidR="0009097D" w:rsidRDefault="00C1439F">
      <w:pPr>
        <w:pStyle w:val="Heading1"/>
        <w:tabs>
          <w:tab w:val="center" w:pos="0"/>
          <w:tab w:val="right" w:pos="9360"/>
        </w:tabs>
      </w:pPr>
      <w:r>
        <w:rPr>
          <w:i/>
        </w:rPr>
        <w:t xml:space="preserve">Antiperspirants and Breast Cancer </w:t>
      </w:r>
      <w:proofErr w:type="gramStart"/>
      <w:r>
        <w:rPr>
          <w:i/>
        </w:rPr>
        <w:t xml:space="preserve">Risk </w:t>
      </w:r>
      <w:r>
        <w:t>.</w:t>
      </w:r>
      <w:proofErr w:type="gramEnd"/>
      <w:r>
        <w:t xml:space="preserve"> (2014, October 14). Retrieved June 14, 2015, from The American Cancer Society: http://www.cancer.org/cancer/c</w:t>
      </w:r>
      <w:r>
        <w:t>ancercauses/othercarcinogens/athome/antiperspirants-and-breast-cancer-risk</w:t>
      </w:r>
    </w:p>
    <w:p w:rsidR="0009097D" w:rsidRDefault="00C1439F">
      <w:pPr>
        <w:pStyle w:val="Heading1"/>
        <w:tabs>
          <w:tab w:val="center" w:pos="0"/>
          <w:tab w:val="right" w:pos="9360"/>
        </w:tabs>
      </w:pPr>
      <w:proofErr w:type="gramStart"/>
      <w:r>
        <w:t>Halloran, M. (2015).</w:t>
      </w:r>
      <w:proofErr w:type="gramEnd"/>
      <w:r>
        <w:t xml:space="preserve"> </w:t>
      </w:r>
      <w:proofErr w:type="gramStart"/>
      <w:r>
        <w:t>More Applications of Pharmacology &amp; Toxicology.</w:t>
      </w:r>
      <w:proofErr w:type="gramEnd"/>
      <w:r>
        <w:t xml:space="preserve"> </w:t>
      </w:r>
      <w:r>
        <w:rPr>
          <w:i/>
        </w:rPr>
        <w:t>Pathology 438</w:t>
      </w:r>
      <w:r>
        <w:t>, (p. 41). Hayward.</w:t>
      </w:r>
    </w:p>
    <w:p w:rsidR="0009097D" w:rsidRDefault="00C1439F">
      <w:pPr>
        <w:pStyle w:val="Heading1"/>
        <w:tabs>
          <w:tab w:val="center" w:pos="0"/>
          <w:tab w:val="right" w:pos="9360"/>
        </w:tabs>
      </w:pPr>
      <w:proofErr w:type="gramStart"/>
      <w:r>
        <w:t>Halloran, M. (2015).</w:t>
      </w:r>
      <w:proofErr w:type="gramEnd"/>
      <w:r>
        <w:t xml:space="preserve"> More Applications of Pharmacology &amp; Toxicology: Week 4. </w:t>
      </w:r>
      <w:r>
        <w:rPr>
          <w:i/>
        </w:rPr>
        <w:t>Pa</w:t>
      </w:r>
      <w:r>
        <w:rPr>
          <w:i/>
        </w:rPr>
        <w:t>thology 438</w:t>
      </w:r>
      <w:r>
        <w:t>, (p. 33). Hayward.</w:t>
      </w:r>
    </w:p>
    <w:p w:rsidR="0009097D" w:rsidRDefault="00C1439F">
      <w:pPr>
        <w:pStyle w:val="Heading1"/>
        <w:tabs>
          <w:tab w:val="center" w:pos="0"/>
          <w:tab w:val="right" w:pos="9360"/>
        </w:tabs>
      </w:pPr>
      <w:proofErr w:type="gramStart"/>
      <w:r>
        <w:t>Halloran, M. (2015).</w:t>
      </w:r>
      <w:proofErr w:type="gramEnd"/>
      <w:r>
        <w:t xml:space="preserve"> More Applications of Pharmacology &amp; Toxicology: Week 4. </w:t>
      </w:r>
      <w:r>
        <w:rPr>
          <w:i/>
        </w:rPr>
        <w:t>Pathology 438</w:t>
      </w:r>
      <w:r>
        <w:t>, (p. 35). Hayward.</w:t>
      </w:r>
    </w:p>
    <w:p w:rsidR="0009097D" w:rsidRDefault="00C1439F">
      <w:pPr>
        <w:pStyle w:val="Heading1"/>
        <w:tabs>
          <w:tab w:val="center" w:pos="0"/>
          <w:tab w:val="right" w:pos="9360"/>
        </w:tabs>
      </w:pPr>
      <w:proofErr w:type="gramStart"/>
      <w:r>
        <w:t>Jameson R. Lam, J. L. (2013).</w:t>
      </w:r>
      <w:proofErr w:type="gramEnd"/>
      <w:r>
        <w:t xml:space="preserve"> </w:t>
      </w:r>
      <w:proofErr w:type="gramStart"/>
      <w:r>
        <w:t>Proton Pump Inhibitor and Histamine 2 Receptor Antagonist Use and Vitamin B12 Deficie</w:t>
      </w:r>
      <w:r>
        <w:t>ncy.</w:t>
      </w:r>
      <w:proofErr w:type="gramEnd"/>
      <w:r>
        <w:t xml:space="preserve"> </w:t>
      </w:r>
      <w:proofErr w:type="gramStart"/>
      <w:r>
        <w:rPr>
          <w:i/>
        </w:rPr>
        <w:t>The Journal of the American Medical Association</w:t>
      </w:r>
      <w:r>
        <w:t>, 2435-2442.</w:t>
      </w:r>
      <w:proofErr w:type="gramEnd"/>
    </w:p>
    <w:p w:rsidR="0009097D" w:rsidRPr="00286279" w:rsidRDefault="00C1439F">
      <w:pPr>
        <w:pStyle w:val="Heading1"/>
        <w:tabs>
          <w:tab w:val="center" w:pos="0"/>
          <w:tab w:val="right" w:pos="9360"/>
        </w:tabs>
      </w:pPr>
      <w:proofErr w:type="spellStart"/>
      <w:r w:rsidRPr="00286279">
        <w:t>Pineau</w:t>
      </w:r>
      <w:proofErr w:type="spellEnd"/>
      <w:r w:rsidRPr="00286279">
        <w:t xml:space="preserve"> A, F. B. (2014). If exposure to aluminum in antiperspirants presents health risks, its content should be reduced. </w:t>
      </w:r>
      <w:proofErr w:type="gramStart"/>
      <w:r w:rsidRPr="00286279">
        <w:rPr>
          <w:i/>
        </w:rPr>
        <w:t>Journal of Trace Elements Medical Biology</w:t>
      </w:r>
      <w:r w:rsidRPr="00286279">
        <w:t>, 147-50.</w:t>
      </w:r>
      <w:proofErr w:type="gramEnd"/>
    </w:p>
    <w:p w:rsidR="00286279" w:rsidRPr="00286279" w:rsidRDefault="00C1439F">
      <w:pPr>
        <w:pStyle w:val="Heading1"/>
        <w:tabs>
          <w:tab w:val="center" w:pos="0"/>
          <w:tab w:val="right" w:pos="9360"/>
        </w:tabs>
      </w:pPr>
      <w:proofErr w:type="gramStart"/>
      <w:r w:rsidRPr="00286279">
        <w:rPr>
          <w:i/>
        </w:rPr>
        <w:t>Stomach</w:t>
      </w:r>
      <w:r w:rsidRPr="00286279">
        <w:t>.</w:t>
      </w:r>
      <w:proofErr w:type="gramEnd"/>
      <w:r w:rsidRPr="00286279">
        <w:t xml:space="preserve"> (2015, February 11). Retrieved June 14, 2015, from Microbe Wiki: https://microbewiki.kenyon.edu/index.php/Stomach</w:t>
      </w:r>
    </w:p>
    <w:sdt>
      <w:sdtPr>
        <w:id w:val="-1864350766"/>
        <w:docPartObj>
          <w:docPartGallery w:val="Bibliographies"/>
          <w:docPartUnique/>
        </w:docPartObj>
      </w:sdtPr>
      <w:sdtContent>
        <w:p w:rsidR="00286279" w:rsidRPr="00286279" w:rsidRDefault="00286279">
          <w:pPr>
            <w:pStyle w:val="Heading1"/>
          </w:pPr>
        </w:p>
        <w:sdt>
          <w:sdtPr>
            <w:rPr>
              <w:sz w:val="24"/>
              <w:szCs w:val="24"/>
            </w:rPr>
            <w:id w:val="111145805"/>
            <w:bibliography/>
          </w:sdtPr>
          <w:sdtContent>
            <w:p w:rsidR="00286279" w:rsidRPr="00286279" w:rsidRDefault="00286279" w:rsidP="00286279">
              <w:pPr>
                <w:pStyle w:val="Bibliography"/>
                <w:ind w:left="720" w:hanging="720"/>
                <w:rPr>
                  <w:noProof/>
                  <w:sz w:val="24"/>
                  <w:szCs w:val="24"/>
                </w:rPr>
              </w:pPr>
              <w:r w:rsidRPr="00286279">
                <w:rPr>
                  <w:sz w:val="24"/>
                  <w:szCs w:val="24"/>
                </w:rPr>
                <w:fldChar w:fldCharType="begin"/>
              </w:r>
              <w:r w:rsidRPr="00286279">
                <w:rPr>
                  <w:sz w:val="24"/>
                  <w:szCs w:val="24"/>
                </w:rPr>
                <w:instrText xml:space="preserve"> BIBLIOGRAPHY </w:instrText>
              </w:r>
              <w:r w:rsidRPr="00286279">
                <w:rPr>
                  <w:sz w:val="24"/>
                  <w:szCs w:val="24"/>
                </w:rPr>
                <w:fldChar w:fldCharType="separate"/>
              </w:r>
              <w:r w:rsidRPr="00286279">
                <w:rPr>
                  <w:noProof/>
                  <w:sz w:val="24"/>
                  <w:szCs w:val="24"/>
                </w:rPr>
                <w:t xml:space="preserve">F, D. E. (2013, September 11). </w:t>
              </w:r>
              <w:r w:rsidRPr="00286279">
                <w:rPr>
                  <w:i/>
                  <w:iCs/>
                  <w:noProof/>
                  <w:sz w:val="24"/>
                  <w:szCs w:val="24"/>
                </w:rPr>
                <w:t>How Do Laxatives Work?</w:t>
              </w:r>
              <w:r w:rsidRPr="00286279">
                <w:rPr>
                  <w:noProof/>
                  <w:sz w:val="24"/>
                  <w:szCs w:val="24"/>
                </w:rPr>
                <w:t xml:space="preserve"> Retrieved June 15, 2015, from Global Healing Center Natural Health &amp; Organic Living: http://www.globalhealingcenter.com/natural-health/how-do-laxatives-work/</w:t>
              </w:r>
            </w:p>
            <w:p w:rsidR="00286279" w:rsidRPr="00286279" w:rsidRDefault="00286279" w:rsidP="00286279">
              <w:pPr>
                <w:pStyle w:val="Bibliography"/>
                <w:ind w:left="720" w:hanging="720"/>
                <w:rPr>
                  <w:noProof/>
                  <w:sz w:val="24"/>
                  <w:szCs w:val="24"/>
                </w:rPr>
              </w:pPr>
              <w:r w:rsidRPr="00286279">
                <w:rPr>
                  <w:noProof/>
                  <w:sz w:val="24"/>
                  <w:szCs w:val="24"/>
                </w:rPr>
                <w:t xml:space="preserve">Helen Valsamis, S. A. (2006). Antiepileptic drugs and bone metabolism. </w:t>
              </w:r>
              <w:r w:rsidRPr="00286279">
                <w:rPr>
                  <w:i/>
                  <w:iCs/>
                  <w:noProof/>
                  <w:sz w:val="24"/>
                  <w:szCs w:val="24"/>
                </w:rPr>
                <w:t>Nutrition and Metabolism</w:t>
              </w:r>
              <w:r w:rsidRPr="00286279">
                <w:rPr>
                  <w:noProof/>
                  <w:sz w:val="24"/>
                  <w:szCs w:val="24"/>
                </w:rPr>
                <w:t>, 3-36.</w:t>
              </w:r>
            </w:p>
            <w:p w:rsidR="00286279" w:rsidRPr="00286279" w:rsidRDefault="00286279" w:rsidP="00286279">
              <w:pPr>
                <w:pStyle w:val="Bibliography"/>
                <w:ind w:left="720" w:hanging="720"/>
                <w:rPr>
                  <w:noProof/>
                  <w:sz w:val="24"/>
                  <w:szCs w:val="24"/>
                </w:rPr>
              </w:pPr>
              <w:r w:rsidRPr="00286279">
                <w:rPr>
                  <w:noProof/>
                  <w:sz w:val="24"/>
                  <w:szCs w:val="24"/>
                </w:rPr>
                <w:t xml:space="preserve">R Kneen, R. E. (2006). Alternative approaches to conventional antiepileptic drugs in the management of paediatric epilepsy. </w:t>
              </w:r>
              <w:r w:rsidRPr="00286279">
                <w:rPr>
                  <w:i/>
                  <w:iCs/>
                  <w:noProof/>
                  <w:sz w:val="24"/>
                  <w:szCs w:val="24"/>
                </w:rPr>
                <w:t>Archives of Diseases in Childhood</w:t>
              </w:r>
              <w:r w:rsidRPr="00286279">
                <w:rPr>
                  <w:noProof/>
                  <w:sz w:val="24"/>
                  <w:szCs w:val="24"/>
                </w:rPr>
                <w:t>, 936-941.</w:t>
              </w:r>
            </w:p>
            <w:p w:rsidR="00286279" w:rsidRPr="00286279" w:rsidRDefault="00286279" w:rsidP="00286279">
              <w:pPr>
                <w:rPr>
                  <w:sz w:val="24"/>
                  <w:szCs w:val="24"/>
                </w:rPr>
              </w:pPr>
              <w:r w:rsidRPr="00286279">
                <w:rPr>
                  <w:b/>
                  <w:bCs/>
                  <w:noProof/>
                  <w:sz w:val="24"/>
                  <w:szCs w:val="24"/>
                </w:rPr>
                <w:fldChar w:fldCharType="end"/>
              </w:r>
            </w:p>
          </w:sdtContent>
        </w:sdt>
      </w:sdtContent>
    </w:sdt>
    <w:p w:rsidR="0009097D" w:rsidRPr="00286279" w:rsidRDefault="0009097D">
      <w:pPr>
        <w:pStyle w:val="Heading1"/>
        <w:tabs>
          <w:tab w:val="center" w:pos="0"/>
          <w:tab w:val="right" w:pos="9360"/>
        </w:tabs>
      </w:pPr>
    </w:p>
    <w:p w:rsidR="0009097D" w:rsidRPr="00286279" w:rsidRDefault="00C1439F">
      <w:pPr>
        <w:pStyle w:val="Heading1"/>
        <w:tabs>
          <w:tab w:val="center" w:pos="0"/>
          <w:tab w:val="right" w:pos="9360"/>
        </w:tabs>
      </w:pPr>
      <w:r w:rsidRPr="00286279">
        <w:t xml:space="preserve"> </w:t>
      </w:r>
    </w:p>
    <w:p w:rsidR="0009097D" w:rsidRDefault="0009097D">
      <w:pPr>
        <w:pStyle w:val="Heading1"/>
        <w:tabs>
          <w:tab w:val="center" w:pos="0"/>
          <w:tab w:val="right" w:pos="9360"/>
        </w:tabs>
      </w:pPr>
    </w:p>
    <w:p w:rsidR="0009097D" w:rsidRDefault="0009097D">
      <w:pPr>
        <w:ind w:left="720"/>
      </w:pPr>
    </w:p>
    <w:sectPr w:rsidR="000909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D027F1"/>
    <w:multiLevelType w:val="hybridMultilevel"/>
    <w:tmpl w:val="8D322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
  <w:rsids>
    <w:rsidRoot w:val="0009097D"/>
    <w:rsid w:val="0009097D"/>
    <w:rsid w:val="00173E8A"/>
    <w:rsid w:val="00286279"/>
    <w:rsid w:val="002A1FEA"/>
    <w:rsid w:val="004C39BC"/>
    <w:rsid w:val="00542CEE"/>
    <w:rsid w:val="005F260F"/>
    <w:rsid w:val="009A455F"/>
    <w:rsid w:val="009B5D48"/>
    <w:rsid w:val="00A92AC6"/>
    <w:rsid w:val="00B830FC"/>
    <w:rsid w:val="00C1439F"/>
    <w:rsid w:val="00D3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tabs>
        <w:tab w:val="left" w:pos="720"/>
        <w:tab w:val="left" w:pos="3600"/>
        <w:tab w:val="right" w:pos="8640"/>
      </w:tabs>
      <w:outlineLvl w:val="0"/>
    </w:pPr>
    <w:rPr>
      <w:sz w:val="24"/>
      <w:szCs w:val="24"/>
    </w:rPr>
  </w:style>
  <w:style w:type="paragraph" w:styleId="Heading2">
    <w:name w:val="heading 2"/>
    <w:basedOn w:val="Normal"/>
    <w:next w:val="Normal"/>
    <w:pPr>
      <w:keepNext/>
      <w:keepLines/>
      <w:tabs>
        <w:tab w:val="left" w:pos="720"/>
        <w:tab w:val="left" w:pos="3600"/>
        <w:tab w:val="right" w:pos="8640"/>
      </w:tabs>
      <w:outlineLvl w:val="1"/>
    </w:pPr>
    <w:rPr>
      <w:b/>
      <w:sz w:val="24"/>
      <w:szCs w:val="24"/>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9A455F"/>
    <w:rPr>
      <w:color w:val="0000FF" w:themeColor="hyperlink"/>
      <w:u w:val="single"/>
    </w:rPr>
  </w:style>
  <w:style w:type="paragraph" w:styleId="BalloonText">
    <w:name w:val="Balloon Text"/>
    <w:basedOn w:val="Normal"/>
    <w:link w:val="BalloonTextChar"/>
    <w:uiPriority w:val="99"/>
    <w:semiHidden/>
    <w:unhideWhenUsed/>
    <w:rsid w:val="009B5D48"/>
    <w:rPr>
      <w:rFonts w:ascii="Tahoma" w:hAnsi="Tahoma" w:cs="Tahoma"/>
      <w:sz w:val="16"/>
      <w:szCs w:val="16"/>
    </w:rPr>
  </w:style>
  <w:style w:type="character" w:customStyle="1" w:styleId="BalloonTextChar">
    <w:name w:val="Balloon Text Char"/>
    <w:basedOn w:val="DefaultParagraphFont"/>
    <w:link w:val="BalloonText"/>
    <w:uiPriority w:val="99"/>
    <w:semiHidden/>
    <w:rsid w:val="009B5D48"/>
    <w:rPr>
      <w:rFonts w:ascii="Tahoma" w:hAnsi="Tahoma" w:cs="Tahoma"/>
      <w:sz w:val="16"/>
      <w:szCs w:val="16"/>
    </w:rPr>
  </w:style>
  <w:style w:type="paragraph" w:styleId="ListParagraph">
    <w:name w:val="List Paragraph"/>
    <w:basedOn w:val="Normal"/>
    <w:uiPriority w:val="34"/>
    <w:qFormat/>
    <w:rsid w:val="009B5D48"/>
    <w:pPr>
      <w:ind w:left="720"/>
      <w:contextualSpacing/>
    </w:pPr>
  </w:style>
  <w:style w:type="character" w:customStyle="1" w:styleId="Heading1Char">
    <w:name w:val="Heading 1 Char"/>
    <w:basedOn w:val="DefaultParagraphFont"/>
    <w:link w:val="Heading1"/>
    <w:uiPriority w:val="9"/>
    <w:rsid w:val="00286279"/>
    <w:rPr>
      <w:sz w:val="24"/>
      <w:szCs w:val="24"/>
    </w:rPr>
  </w:style>
  <w:style w:type="paragraph" w:styleId="Bibliography">
    <w:name w:val="Bibliography"/>
    <w:basedOn w:val="Normal"/>
    <w:next w:val="Normal"/>
    <w:uiPriority w:val="37"/>
    <w:unhideWhenUsed/>
    <w:rsid w:val="002862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tabs>
        <w:tab w:val="left" w:pos="720"/>
        <w:tab w:val="left" w:pos="3600"/>
        <w:tab w:val="right" w:pos="8640"/>
      </w:tabs>
      <w:outlineLvl w:val="0"/>
    </w:pPr>
    <w:rPr>
      <w:sz w:val="24"/>
      <w:szCs w:val="24"/>
    </w:rPr>
  </w:style>
  <w:style w:type="paragraph" w:styleId="Heading2">
    <w:name w:val="heading 2"/>
    <w:basedOn w:val="Normal"/>
    <w:next w:val="Normal"/>
    <w:pPr>
      <w:keepNext/>
      <w:keepLines/>
      <w:tabs>
        <w:tab w:val="left" w:pos="720"/>
        <w:tab w:val="left" w:pos="3600"/>
        <w:tab w:val="right" w:pos="8640"/>
      </w:tabs>
      <w:outlineLvl w:val="1"/>
    </w:pPr>
    <w:rPr>
      <w:b/>
      <w:sz w:val="24"/>
      <w:szCs w:val="24"/>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9A455F"/>
    <w:rPr>
      <w:color w:val="0000FF" w:themeColor="hyperlink"/>
      <w:u w:val="single"/>
    </w:rPr>
  </w:style>
  <w:style w:type="paragraph" w:styleId="BalloonText">
    <w:name w:val="Balloon Text"/>
    <w:basedOn w:val="Normal"/>
    <w:link w:val="BalloonTextChar"/>
    <w:uiPriority w:val="99"/>
    <w:semiHidden/>
    <w:unhideWhenUsed/>
    <w:rsid w:val="009B5D48"/>
    <w:rPr>
      <w:rFonts w:ascii="Tahoma" w:hAnsi="Tahoma" w:cs="Tahoma"/>
      <w:sz w:val="16"/>
      <w:szCs w:val="16"/>
    </w:rPr>
  </w:style>
  <w:style w:type="character" w:customStyle="1" w:styleId="BalloonTextChar">
    <w:name w:val="Balloon Text Char"/>
    <w:basedOn w:val="DefaultParagraphFont"/>
    <w:link w:val="BalloonText"/>
    <w:uiPriority w:val="99"/>
    <w:semiHidden/>
    <w:rsid w:val="009B5D48"/>
    <w:rPr>
      <w:rFonts w:ascii="Tahoma" w:hAnsi="Tahoma" w:cs="Tahoma"/>
      <w:sz w:val="16"/>
      <w:szCs w:val="16"/>
    </w:rPr>
  </w:style>
  <w:style w:type="paragraph" w:styleId="ListParagraph">
    <w:name w:val="List Paragraph"/>
    <w:basedOn w:val="Normal"/>
    <w:uiPriority w:val="34"/>
    <w:qFormat/>
    <w:rsid w:val="009B5D48"/>
    <w:pPr>
      <w:ind w:left="720"/>
      <w:contextualSpacing/>
    </w:pPr>
  </w:style>
  <w:style w:type="character" w:customStyle="1" w:styleId="Heading1Char">
    <w:name w:val="Heading 1 Char"/>
    <w:basedOn w:val="DefaultParagraphFont"/>
    <w:link w:val="Heading1"/>
    <w:uiPriority w:val="9"/>
    <w:rsid w:val="00286279"/>
    <w:rPr>
      <w:sz w:val="24"/>
      <w:szCs w:val="24"/>
    </w:rPr>
  </w:style>
  <w:style w:type="paragraph" w:styleId="Bibliography">
    <w:name w:val="Bibliography"/>
    <w:basedOn w:val="Normal"/>
    <w:next w:val="Normal"/>
    <w:uiPriority w:val="37"/>
    <w:unhideWhenUsed/>
    <w:rsid w:val="00286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DrE13</b:Tag>
    <b:SourceType>InternetSite</b:SourceType>
    <b:Guid>{0F4C18D1-AF7B-45E3-86F2-42916D374977}</b:Guid>
    <b:Title>How Do Laxatives Work?</b:Title>
    <b:Year>2013</b:Year>
    <b:Author>
      <b:Author>
        <b:NameList>
          <b:Person>
            <b:Last>F</b:Last>
            <b:First>Dr.</b:First>
            <b:Middle>Edward</b:Middle>
          </b:Person>
        </b:NameList>
      </b:Author>
    </b:Author>
    <b:InternetSiteTitle>Global Healing Center Natural Health &amp; Organic Living</b:InternetSiteTitle>
    <b:Month>September</b:Month>
    <b:Day>11</b:Day>
    <b:YearAccessed>2015</b:YearAccessed>
    <b:MonthAccessed>June</b:MonthAccessed>
    <b:DayAccessed>15</b:DayAccessed>
    <b:URL>http://www.globalhealingcenter.com/natural-health/how-do-laxatives-work/</b:URL>
    <b:RefOrder>1</b:RefOrder>
  </b:Source>
  <b:Source>
    <b:Tag>Hel06</b:Tag>
    <b:SourceType>JournalArticle</b:SourceType>
    <b:Guid>{EE484CEE-8521-4FE4-8AB7-C9FFA4662D6F}</b:Guid>
    <b:Author>
      <b:Author>
        <b:NameList>
          <b:Person>
            <b:Last>Helen Valsamis</b:Last>
            <b:First>Surender</b:First>
            <b:Middle>Arora, Barbara Labban</b:Middle>
          </b:Person>
        </b:NameList>
      </b:Author>
    </b:Author>
    <b:Title>Antiepileptic drugs and bone metabolism</b:Title>
    <b:JournalName>Nutrition and Metabolism</b:JournalName>
    <b:Year>2006</b:Year>
    <b:Pages>3-36</b:Pages>
    <b:RefOrder>2</b:RefOrder>
  </b:Source>
  <b:Source>
    <b:Tag>RKn06</b:Tag>
    <b:SourceType>JournalArticle</b:SourceType>
    <b:Guid>{1E25A19C-376B-4421-BDE2-0F7ADE64B092}</b:Guid>
    <b:Author>
      <b:Author>
        <b:NameList>
          <b:Person>
            <b:Last>R Kneen</b:Last>
            <b:First>R</b:First>
            <b:Middle>E Appleton</b:Middle>
          </b:Person>
        </b:NameList>
      </b:Author>
    </b:Author>
    <b:Title>Alternative approaches to conventional antiepileptic drugs in the management of paediatric epilepsy</b:Title>
    <b:JournalName>Archives of Diseases in Childhood</b:JournalName>
    <b:Year>2006</b:Year>
    <b:Pages>936-941</b:Pages>
    <b:RefOrder>3</b:RefOrder>
  </b:Source>
</b:Sources>
</file>

<file path=customXml/itemProps1.xml><?xml version="1.0" encoding="utf-8"?>
<ds:datastoreItem xmlns:ds="http://schemas.openxmlformats.org/officeDocument/2006/customXml" ds:itemID="{8155ED74-1D78-4F1E-8D75-DF9D9D7C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4</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Marisa</dc:creator>
  <cp:lastModifiedBy>Mari</cp:lastModifiedBy>
  <cp:revision>6</cp:revision>
  <dcterms:created xsi:type="dcterms:W3CDTF">2015-06-16T06:55:00Z</dcterms:created>
  <dcterms:modified xsi:type="dcterms:W3CDTF">2015-06-16T23:03:00Z</dcterms:modified>
</cp:coreProperties>
</file>