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D94" w:rsidRPr="00921B4A" w:rsidRDefault="00C1059E" w:rsidP="000F0646">
      <w:pPr>
        <w:pStyle w:val="Heading1"/>
        <w:tabs>
          <w:tab w:val="clear" w:pos="3600"/>
          <w:tab w:val="clear" w:pos="8640"/>
          <w:tab w:val="center" w:pos="4320"/>
          <w:tab w:val="right" w:pos="9360"/>
        </w:tabs>
        <w:rPr>
          <w:szCs w:val="24"/>
        </w:rPr>
      </w:pPr>
      <w:r w:rsidRPr="00921B4A">
        <w:rPr>
          <w:szCs w:val="24"/>
        </w:rPr>
        <w:t>Pathology 438</w:t>
      </w:r>
      <w:r w:rsidR="00F41D94" w:rsidRPr="00921B4A">
        <w:rPr>
          <w:szCs w:val="24"/>
        </w:rPr>
        <w:tab/>
      </w:r>
      <w:r w:rsidR="00627224" w:rsidRPr="00921B4A">
        <w:rPr>
          <w:szCs w:val="24"/>
        </w:rPr>
        <w:t>Final</w:t>
      </w:r>
      <w:r w:rsidRPr="00921B4A">
        <w:rPr>
          <w:szCs w:val="24"/>
        </w:rPr>
        <w:t xml:space="preserve"> Examination</w:t>
      </w:r>
      <w:r w:rsidR="00F41D94" w:rsidRPr="00921B4A">
        <w:rPr>
          <w:szCs w:val="24"/>
        </w:rPr>
        <w:tab/>
      </w:r>
      <w:r w:rsidR="00447723" w:rsidRPr="00921B4A">
        <w:rPr>
          <w:szCs w:val="24"/>
        </w:rPr>
        <w:t xml:space="preserve">due: </w:t>
      </w:r>
      <w:r w:rsidR="00627224" w:rsidRPr="00921B4A">
        <w:rPr>
          <w:szCs w:val="24"/>
        </w:rPr>
        <w:t>15 June</w:t>
      </w:r>
      <w:r w:rsidR="00447723" w:rsidRPr="00921B4A">
        <w:rPr>
          <w:szCs w:val="24"/>
        </w:rPr>
        <w:t xml:space="preserve"> 2015</w:t>
      </w:r>
    </w:p>
    <w:p w:rsidR="00F41D94" w:rsidRPr="00921B4A" w:rsidRDefault="00292A58" w:rsidP="00F41D94">
      <w:pPr>
        <w:tabs>
          <w:tab w:val="left" w:pos="720"/>
          <w:tab w:val="left" w:pos="3600"/>
          <w:tab w:val="right" w:pos="8640"/>
        </w:tabs>
        <w:rPr>
          <w:sz w:val="24"/>
          <w:szCs w:val="24"/>
        </w:rPr>
      </w:pPr>
      <w:r w:rsidRPr="00921B4A">
        <w:rPr>
          <w:sz w:val="24"/>
          <w:szCs w:val="24"/>
        </w:rPr>
        <w:t>Spring 2015</w:t>
      </w:r>
    </w:p>
    <w:p w:rsidR="00F41D94" w:rsidRPr="00921B4A" w:rsidRDefault="00F41D94" w:rsidP="00F41D94">
      <w:pPr>
        <w:pStyle w:val="Heading2"/>
        <w:rPr>
          <w:b w:val="0"/>
          <w:szCs w:val="24"/>
        </w:rPr>
      </w:pPr>
      <w:r w:rsidRPr="00921B4A">
        <w:rPr>
          <w:b w:val="0"/>
          <w:szCs w:val="24"/>
        </w:rPr>
        <w:t>NAME ______________</w:t>
      </w:r>
      <w:r w:rsidR="00D97285" w:rsidRPr="00921B4A">
        <w:rPr>
          <w:b w:val="0"/>
          <w:szCs w:val="24"/>
          <w:u w:val="single"/>
        </w:rPr>
        <w:t xml:space="preserve">Jessica Cheung </w:t>
      </w:r>
      <w:r w:rsidRPr="00921B4A">
        <w:rPr>
          <w:b w:val="0"/>
          <w:szCs w:val="24"/>
        </w:rPr>
        <w:t>_________________________</w:t>
      </w:r>
    </w:p>
    <w:p w:rsidR="00F41D94" w:rsidRPr="00921B4A" w:rsidRDefault="00F41D94" w:rsidP="00F41D94">
      <w:pPr>
        <w:tabs>
          <w:tab w:val="left" w:pos="720"/>
          <w:tab w:val="left" w:pos="3600"/>
          <w:tab w:val="right" w:pos="8640"/>
        </w:tabs>
        <w:rPr>
          <w:sz w:val="24"/>
          <w:szCs w:val="24"/>
        </w:rPr>
      </w:pPr>
    </w:p>
    <w:p w:rsidR="008D4A53" w:rsidRPr="00921B4A" w:rsidRDefault="00C1059E" w:rsidP="00447723">
      <w:pPr>
        <w:rPr>
          <w:sz w:val="24"/>
          <w:szCs w:val="24"/>
        </w:rPr>
      </w:pPr>
      <w:r w:rsidRPr="00921B4A">
        <w:rPr>
          <w:sz w:val="24"/>
          <w:szCs w:val="24"/>
        </w:rPr>
        <w:t xml:space="preserve">The </w:t>
      </w:r>
      <w:r w:rsidR="004225AB" w:rsidRPr="00921B4A">
        <w:rPr>
          <w:sz w:val="24"/>
          <w:szCs w:val="24"/>
        </w:rPr>
        <w:t xml:space="preserve">electronic </w:t>
      </w:r>
      <w:r w:rsidRPr="00921B4A">
        <w:rPr>
          <w:sz w:val="24"/>
          <w:szCs w:val="24"/>
        </w:rPr>
        <w:t xml:space="preserve">responses to this examination are due </w:t>
      </w:r>
      <w:r w:rsidR="00447723" w:rsidRPr="00921B4A">
        <w:rPr>
          <w:sz w:val="24"/>
          <w:szCs w:val="24"/>
        </w:rPr>
        <w:t xml:space="preserve">on </w:t>
      </w:r>
      <w:r w:rsidR="00627224" w:rsidRPr="00921B4A">
        <w:rPr>
          <w:sz w:val="24"/>
          <w:szCs w:val="24"/>
        </w:rPr>
        <w:t>Monday,</w:t>
      </w:r>
      <w:r w:rsidR="00447723" w:rsidRPr="00921B4A">
        <w:rPr>
          <w:sz w:val="24"/>
          <w:szCs w:val="24"/>
        </w:rPr>
        <w:t xml:space="preserve"> </w:t>
      </w:r>
      <w:r w:rsidR="00627224" w:rsidRPr="00921B4A">
        <w:rPr>
          <w:sz w:val="24"/>
          <w:szCs w:val="24"/>
        </w:rPr>
        <w:t>15</w:t>
      </w:r>
      <w:r w:rsidRPr="00921B4A">
        <w:rPr>
          <w:sz w:val="24"/>
          <w:szCs w:val="24"/>
        </w:rPr>
        <w:t xml:space="preserve"> </w:t>
      </w:r>
      <w:r w:rsidR="00627224" w:rsidRPr="00921B4A">
        <w:rPr>
          <w:sz w:val="24"/>
          <w:szCs w:val="24"/>
        </w:rPr>
        <w:t>June</w:t>
      </w:r>
      <w:r w:rsidRPr="00921B4A">
        <w:rPr>
          <w:sz w:val="24"/>
          <w:szCs w:val="24"/>
        </w:rPr>
        <w:t xml:space="preserve"> </w:t>
      </w:r>
      <w:r w:rsidR="00447723" w:rsidRPr="00921B4A">
        <w:rPr>
          <w:sz w:val="24"/>
          <w:szCs w:val="24"/>
        </w:rPr>
        <w:t>2015</w:t>
      </w:r>
      <w:r w:rsidR="00656658" w:rsidRPr="00921B4A">
        <w:rPr>
          <w:sz w:val="24"/>
          <w:szCs w:val="24"/>
        </w:rPr>
        <w:t xml:space="preserve"> at end of day (5:00 pm)</w:t>
      </w:r>
      <w:r w:rsidR="00292A58" w:rsidRPr="00921B4A">
        <w:rPr>
          <w:sz w:val="24"/>
          <w:szCs w:val="24"/>
        </w:rPr>
        <w:t xml:space="preserve">.  </w:t>
      </w:r>
      <w:r w:rsidR="004225AB" w:rsidRPr="00921B4A">
        <w:rPr>
          <w:sz w:val="24"/>
          <w:szCs w:val="24"/>
        </w:rPr>
        <w:t>Submit</w:t>
      </w:r>
      <w:r w:rsidR="00D535AC" w:rsidRPr="00921B4A">
        <w:rPr>
          <w:sz w:val="24"/>
          <w:szCs w:val="24"/>
        </w:rPr>
        <w:t xml:space="preserve"> them to </w:t>
      </w:r>
      <w:hyperlink r:id="rId6" w:history="1">
        <w:r w:rsidR="00D535AC" w:rsidRPr="00921B4A">
          <w:rPr>
            <w:rStyle w:val="Hyperlink"/>
            <w:sz w:val="24"/>
            <w:szCs w:val="24"/>
          </w:rPr>
          <w:t>shalloran@lifewest.edu</w:t>
        </w:r>
      </w:hyperlink>
      <w:r w:rsidR="00D535AC" w:rsidRPr="00921B4A">
        <w:rPr>
          <w:sz w:val="24"/>
          <w:szCs w:val="24"/>
        </w:rPr>
        <w:t xml:space="preserve"> OR to </w:t>
      </w:r>
      <w:hyperlink r:id="rId7" w:history="1">
        <w:r w:rsidR="00D535AC" w:rsidRPr="00921B4A">
          <w:rPr>
            <w:rStyle w:val="Hyperlink"/>
            <w:sz w:val="24"/>
            <w:szCs w:val="24"/>
          </w:rPr>
          <w:t>smhbizness@gmail.com</w:t>
        </w:r>
      </w:hyperlink>
      <w:r w:rsidR="00D535AC" w:rsidRPr="00921B4A">
        <w:rPr>
          <w:sz w:val="24"/>
          <w:szCs w:val="24"/>
        </w:rPr>
        <w:t>.  You will be sent an acknowledgement receipt.</w:t>
      </w:r>
    </w:p>
    <w:p w:rsidR="008D4A53" w:rsidRPr="00921B4A" w:rsidRDefault="008D4A53" w:rsidP="008D4A53">
      <w:pPr>
        <w:rPr>
          <w:sz w:val="24"/>
          <w:szCs w:val="24"/>
        </w:rPr>
      </w:pPr>
    </w:p>
    <w:p w:rsidR="00103E04" w:rsidRPr="00921B4A" w:rsidRDefault="008D4A53" w:rsidP="00103E04">
      <w:pPr>
        <w:rPr>
          <w:sz w:val="24"/>
          <w:szCs w:val="24"/>
        </w:rPr>
      </w:pPr>
      <w:r w:rsidRPr="00921B4A">
        <w:rPr>
          <w:sz w:val="24"/>
          <w:szCs w:val="24"/>
        </w:rPr>
        <w:t xml:space="preserve">You are </w:t>
      </w:r>
      <w:r w:rsidRPr="00921B4A">
        <w:rPr>
          <w:sz w:val="24"/>
          <w:szCs w:val="24"/>
          <w:u w:val="single"/>
        </w:rPr>
        <w:t>not</w:t>
      </w:r>
      <w:r w:rsidRPr="00921B4A">
        <w:rPr>
          <w:sz w:val="24"/>
          <w:szCs w:val="24"/>
        </w:rPr>
        <w:t xml:space="preserve"> allowed to consult with classmates or any individuals </w:t>
      </w:r>
      <w:r w:rsidRPr="00921B4A">
        <w:rPr>
          <w:i/>
          <w:sz w:val="24"/>
          <w:szCs w:val="24"/>
        </w:rPr>
        <w:t>other than</w:t>
      </w:r>
      <w:r w:rsidRPr="00921B4A">
        <w:rPr>
          <w:sz w:val="24"/>
          <w:szCs w:val="24"/>
        </w:rPr>
        <w:t xml:space="preserve"> the instructor as you research, prepare and compose your responses </w:t>
      </w:r>
      <w:r w:rsidR="00292A58" w:rsidRPr="00921B4A">
        <w:rPr>
          <w:sz w:val="24"/>
          <w:szCs w:val="24"/>
        </w:rPr>
        <w:t>to the</w:t>
      </w:r>
      <w:r w:rsidRPr="00921B4A">
        <w:rPr>
          <w:sz w:val="24"/>
          <w:szCs w:val="24"/>
        </w:rPr>
        <w:t xml:space="preserve"> questions</w:t>
      </w:r>
      <w:r w:rsidR="00292A58" w:rsidRPr="00921B4A">
        <w:rPr>
          <w:sz w:val="24"/>
          <w:szCs w:val="24"/>
        </w:rPr>
        <w:t xml:space="preserve"> posed in this examination</w:t>
      </w:r>
      <w:r w:rsidR="00D535AC" w:rsidRPr="00921B4A">
        <w:rPr>
          <w:sz w:val="24"/>
          <w:szCs w:val="24"/>
        </w:rPr>
        <w:t>. L</w:t>
      </w:r>
      <w:r w:rsidR="00103E04" w:rsidRPr="00921B4A">
        <w:rPr>
          <w:sz w:val="24"/>
          <w:szCs w:val="24"/>
        </w:rPr>
        <w:t>ecture content (slides)</w:t>
      </w:r>
      <w:r w:rsidR="00D535AC" w:rsidRPr="00921B4A">
        <w:rPr>
          <w:sz w:val="24"/>
          <w:szCs w:val="24"/>
        </w:rPr>
        <w:t xml:space="preserve"> and</w:t>
      </w:r>
      <w:r w:rsidR="00656658" w:rsidRPr="00921B4A">
        <w:rPr>
          <w:sz w:val="24"/>
          <w:szCs w:val="24"/>
        </w:rPr>
        <w:t xml:space="preserve"> </w:t>
      </w:r>
      <w:r w:rsidR="00D535AC" w:rsidRPr="00921B4A">
        <w:rPr>
          <w:sz w:val="24"/>
          <w:szCs w:val="24"/>
        </w:rPr>
        <w:t>your oral presentations are on</w:t>
      </w:r>
      <w:r w:rsidR="00103E04" w:rsidRPr="00921B4A">
        <w:rPr>
          <w:sz w:val="24"/>
          <w:szCs w:val="24"/>
        </w:rPr>
        <w:t xml:space="preserve"> MOODLE</w:t>
      </w:r>
      <w:r w:rsidR="00D535AC" w:rsidRPr="00921B4A">
        <w:rPr>
          <w:sz w:val="24"/>
          <w:szCs w:val="24"/>
        </w:rPr>
        <w:t xml:space="preserve"> for you to use in preparing answers</w:t>
      </w:r>
      <w:r w:rsidR="00103E04" w:rsidRPr="00921B4A">
        <w:rPr>
          <w:sz w:val="24"/>
          <w:szCs w:val="24"/>
        </w:rPr>
        <w:t xml:space="preserve">, </w:t>
      </w:r>
      <w:r w:rsidR="00D535AC" w:rsidRPr="00921B4A">
        <w:rPr>
          <w:sz w:val="24"/>
          <w:szCs w:val="24"/>
        </w:rPr>
        <w:t xml:space="preserve">in addition to access to </w:t>
      </w:r>
      <w:r w:rsidR="00103E04" w:rsidRPr="00921B4A">
        <w:rPr>
          <w:sz w:val="24"/>
          <w:szCs w:val="24"/>
        </w:rPr>
        <w:t>the LCCW library, reference books and course text books, and on-line resources.  Please proofread and organize your work and assemble the exam before submitting it.</w:t>
      </w:r>
    </w:p>
    <w:p w:rsidR="00292A58" w:rsidRPr="00921B4A" w:rsidRDefault="00292A58" w:rsidP="008D4A53">
      <w:pPr>
        <w:rPr>
          <w:sz w:val="24"/>
          <w:szCs w:val="24"/>
        </w:rPr>
      </w:pPr>
    </w:p>
    <w:p w:rsidR="004225AB" w:rsidRPr="00921B4A" w:rsidRDefault="0073573F" w:rsidP="00292A58">
      <w:pPr>
        <w:rPr>
          <w:sz w:val="24"/>
          <w:szCs w:val="24"/>
        </w:rPr>
      </w:pPr>
      <w:r w:rsidRPr="00921B4A">
        <w:rPr>
          <w:sz w:val="24"/>
          <w:szCs w:val="24"/>
        </w:rPr>
        <w:t>Some a</w:t>
      </w:r>
      <w:r w:rsidR="004225AB" w:rsidRPr="00921B4A">
        <w:rPr>
          <w:sz w:val="24"/>
          <w:szCs w:val="24"/>
        </w:rPr>
        <w:t>nswers require you to include a citation of the sources you consult</w:t>
      </w:r>
      <w:r w:rsidR="00F33AB0" w:rsidRPr="00921B4A">
        <w:rPr>
          <w:sz w:val="24"/>
          <w:szCs w:val="24"/>
        </w:rPr>
        <w:t xml:space="preserve"> to formulate your response</w:t>
      </w:r>
      <w:r w:rsidR="004225AB" w:rsidRPr="00921B4A">
        <w:rPr>
          <w:sz w:val="24"/>
          <w:szCs w:val="24"/>
        </w:rPr>
        <w:t xml:space="preserve">.  Format your citation according to MLA or APA standards.  (If you wish, you can use the built-in Word feature that formats your references:  under the References tab, use Insert Citation and fill in the fields as much as possible.  Later you will </w:t>
      </w:r>
      <w:r w:rsidR="00F33AB0" w:rsidRPr="00921B4A">
        <w:rPr>
          <w:sz w:val="24"/>
          <w:szCs w:val="24"/>
        </w:rPr>
        <w:t>use</w:t>
      </w:r>
      <w:r w:rsidR="004225AB" w:rsidRPr="00921B4A">
        <w:rPr>
          <w:sz w:val="24"/>
          <w:szCs w:val="24"/>
        </w:rPr>
        <w:t xml:space="preserve"> Bibliography-&gt;Insert Bibliography at the point of the cursor.  You might learn how to use Section Break too in order to insert bibliographies under separate answers.  I have put in section breaks in this document between </w:t>
      </w:r>
      <w:r w:rsidR="00F33AB0" w:rsidRPr="00921B4A">
        <w:rPr>
          <w:sz w:val="24"/>
          <w:szCs w:val="24"/>
        </w:rPr>
        <w:t>questions</w:t>
      </w:r>
      <w:r w:rsidR="004225AB" w:rsidRPr="00921B4A">
        <w:rPr>
          <w:sz w:val="24"/>
          <w:szCs w:val="24"/>
        </w:rPr>
        <w:t>.)</w:t>
      </w:r>
    </w:p>
    <w:p w:rsidR="008D4A53" w:rsidRPr="00921B4A" w:rsidRDefault="008D4A53" w:rsidP="008D4A53">
      <w:pPr>
        <w:rPr>
          <w:sz w:val="24"/>
          <w:szCs w:val="24"/>
        </w:rPr>
      </w:pPr>
    </w:p>
    <w:p w:rsidR="00A03F3F" w:rsidRPr="00921B4A" w:rsidRDefault="008D4A53" w:rsidP="008D4A53">
      <w:pPr>
        <w:rPr>
          <w:sz w:val="24"/>
          <w:szCs w:val="24"/>
        </w:rPr>
      </w:pPr>
      <w:r w:rsidRPr="00921B4A">
        <w:rPr>
          <w:sz w:val="24"/>
          <w:szCs w:val="24"/>
        </w:rPr>
        <w:t>By working the examination and submitting it for grading you are agreeing to work independently of all other individuals and you are certifying that all the responses and answers to the examination questions are your own work.</w:t>
      </w:r>
    </w:p>
    <w:p w:rsidR="00590153" w:rsidRPr="00921B4A" w:rsidRDefault="00590153" w:rsidP="00590153">
      <w:pPr>
        <w:rPr>
          <w:sz w:val="24"/>
          <w:szCs w:val="24"/>
        </w:rPr>
      </w:pPr>
    </w:p>
    <w:p w:rsidR="00717B99" w:rsidRPr="00921B4A" w:rsidRDefault="00C00602" w:rsidP="00590153">
      <w:pPr>
        <w:rPr>
          <w:sz w:val="24"/>
          <w:szCs w:val="24"/>
        </w:rPr>
      </w:pPr>
      <w:r w:rsidRPr="00921B4A">
        <w:rPr>
          <w:sz w:val="24"/>
          <w:szCs w:val="24"/>
        </w:rPr>
        <w:t>______________________________________________________________________________</w:t>
      </w:r>
    </w:p>
    <w:p w:rsidR="00EB4678" w:rsidRPr="00921B4A" w:rsidRDefault="0073731B" w:rsidP="00590153">
      <w:pPr>
        <w:rPr>
          <w:sz w:val="24"/>
          <w:szCs w:val="24"/>
        </w:rPr>
      </w:pPr>
      <w:r w:rsidRPr="00921B4A">
        <w:rPr>
          <w:sz w:val="24"/>
          <w:szCs w:val="24"/>
        </w:rPr>
        <w:t>Within group</w:t>
      </w:r>
      <w:r w:rsidR="0097108D" w:rsidRPr="00921B4A">
        <w:rPr>
          <w:sz w:val="24"/>
          <w:szCs w:val="24"/>
        </w:rPr>
        <w:t xml:space="preserve"> A through </w:t>
      </w:r>
      <w:r w:rsidR="00B35D25" w:rsidRPr="00921B4A">
        <w:rPr>
          <w:sz w:val="24"/>
          <w:szCs w:val="24"/>
        </w:rPr>
        <w:t>C</w:t>
      </w:r>
      <w:r w:rsidRPr="00921B4A">
        <w:rPr>
          <w:sz w:val="24"/>
          <w:szCs w:val="24"/>
        </w:rPr>
        <w:t xml:space="preserve">, choose ONE of </w:t>
      </w:r>
      <w:r w:rsidR="001E601B" w:rsidRPr="00921B4A">
        <w:rPr>
          <w:sz w:val="24"/>
          <w:szCs w:val="24"/>
        </w:rPr>
        <w:t>any of the choices</w:t>
      </w:r>
      <w:r w:rsidRPr="00921B4A">
        <w:rPr>
          <w:sz w:val="24"/>
          <w:szCs w:val="24"/>
        </w:rPr>
        <w:t xml:space="preserve"> answer.</w:t>
      </w:r>
      <w:r w:rsidR="00B35D25" w:rsidRPr="00921B4A">
        <w:rPr>
          <w:sz w:val="24"/>
          <w:szCs w:val="24"/>
        </w:rPr>
        <w:br/>
        <w:t xml:space="preserve">Choose between D </w:t>
      </w:r>
      <w:proofErr w:type="gramStart"/>
      <w:r w:rsidR="00B35D25" w:rsidRPr="00921B4A">
        <w:rPr>
          <w:sz w:val="24"/>
          <w:szCs w:val="24"/>
        </w:rPr>
        <w:t>or</w:t>
      </w:r>
      <w:proofErr w:type="gramEnd"/>
      <w:r w:rsidR="00B35D25" w:rsidRPr="00921B4A">
        <w:rPr>
          <w:sz w:val="24"/>
          <w:szCs w:val="24"/>
        </w:rPr>
        <w:t xml:space="preserve"> E, and within D, choose ONE of any of the choices</w:t>
      </w:r>
    </w:p>
    <w:p w:rsidR="00F51848" w:rsidRPr="00921B4A" w:rsidRDefault="00F51848" w:rsidP="00590153">
      <w:pPr>
        <w:rPr>
          <w:sz w:val="24"/>
          <w:szCs w:val="24"/>
        </w:rPr>
      </w:pPr>
    </w:p>
    <w:p w:rsidR="00F51848" w:rsidRPr="00921B4A" w:rsidRDefault="00F51848">
      <w:pPr>
        <w:spacing w:after="200" w:line="276" w:lineRule="auto"/>
        <w:rPr>
          <w:sz w:val="24"/>
          <w:szCs w:val="24"/>
        </w:rPr>
      </w:pPr>
      <w:r w:rsidRPr="00921B4A">
        <w:rPr>
          <w:sz w:val="24"/>
          <w:szCs w:val="24"/>
        </w:rPr>
        <w:br w:type="page"/>
      </w:r>
    </w:p>
    <w:p w:rsidR="004225AB" w:rsidRPr="00921B4A" w:rsidRDefault="0073731B" w:rsidP="000151C8">
      <w:pPr>
        <w:pStyle w:val="ListParagraph"/>
        <w:numPr>
          <w:ilvl w:val="1"/>
          <w:numId w:val="1"/>
        </w:numPr>
        <w:ind w:left="284" w:hanging="218"/>
        <w:rPr>
          <w:sz w:val="24"/>
          <w:szCs w:val="24"/>
        </w:rPr>
      </w:pPr>
      <w:r w:rsidRPr="00921B4A">
        <w:rPr>
          <w:sz w:val="24"/>
          <w:szCs w:val="24"/>
          <w:u w:val="single"/>
        </w:rPr>
        <w:lastRenderedPageBreak/>
        <w:t>Environmental Toxicants</w:t>
      </w:r>
      <w:r w:rsidR="001E601B" w:rsidRPr="00921B4A">
        <w:rPr>
          <w:sz w:val="24"/>
          <w:szCs w:val="24"/>
          <w:u w:val="single"/>
        </w:rPr>
        <w:t>.</w:t>
      </w:r>
      <w:r w:rsidR="001E601B" w:rsidRPr="00921B4A">
        <w:rPr>
          <w:sz w:val="24"/>
          <w:szCs w:val="24"/>
        </w:rPr>
        <w:t xml:space="preserve">  Pick one from the three class of substances below and discuss exposure (places where it might be encountered), its </w:t>
      </w:r>
      <w:proofErr w:type="spellStart"/>
      <w:r w:rsidR="001E601B" w:rsidRPr="00921B4A">
        <w:rPr>
          <w:sz w:val="24"/>
          <w:szCs w:val="24"/>
        </w:rPr>
        <w:t>toxicokinetics</w:t>
      </w:r>
      <w:proofErr w:type="spellEnd"/>
      <w:r w:rsidR="001E601B" w:rsidRPr="00921B4A">
        <w:rPr>
          <w:sz w:val="24"/>
          <w:szCs w:val="24"/>
        </w:rPr>
        <w:t xml:space="preserve"> (ADME) and </w:t>
      </w:r>
      <w:proofErr w:type="spellStart"/>
      <w:r w:rsidR="001E601B" w:rsidRPr="00921B4A">
        <w:rPr>
          <w:sz w:val="24"/>
          <w:szCs w:val="24"/>
        </w:rPr>
        <w:t>toxicodynamics</w:t>
      </w:r>
      <w:proofErr w:type="spellEnd"/>
      <w:r w:rsidR="001E601B" w:rsidRPr="00921B4A">
        <w:rPr>
          <w:sz w:val="24"/>
          <w:szCs w:val="24"/>
        </w:rPr>
        <w:t xml:space="preserve"> (acute, chronic toxicity, effects on physiology and eliciting pathologies.</w:t>
      </w:r>
      <w:r w:rsidR="005167D6" w:rsidRPr="00921B4A">
        <w:rPr>
          <w:sz w:val="24"/>
          <w:szCs w:val="24"/>
        </w:rPr>
        <w:t xml:space="preserve">  You are allowed to focus on one compound in the class or discuss the toxicology of the class generally</w:t>
      </w:r>
    </w:p>
    <w:p w:rsidR="000151C8" w:rsidRPr="00921B4A" w:rsidRDefault="000151C8" w:rsidP="000151C8">
      <w:pPr>
        <w:pStyle w:val="ListParagraph"/>
        <w:numPr>
          <w:ilvl w:val="2"/>
          <w:numId w:val="1"/>
        </w:numPr>
        <w:spacing w:before="240"/>
        <w:ind w:left="709" w:hanging="324"/>
        <w:contextualSpacing w:val="0"/>
        <w:rPr>
          <w:sz w:val="24"/>
          <w:szCs w:val="24"/>
        </w:rPr>
      </w:pPr>
      <w:proofErr w:type="spellStart"/>
      <w:r w:rsidRPr="00921B4A">
        <w:rPr>
          <w:color w:val="BFBFBF" w:themeColor="background1" w:themeShade="BF"/>
          <w:sz w:val="24"/>
          <w:szCs w:val="24"/>
        </w:rPr>
        <w:t>Polyaromatic</w:t>
      </w:r>
      <w:proofErr w:type="spellEnd"/>
      <w:r w:rsidRPr="00921B4A">
        <w:rPr>
          <w:color w:val="BFBFBF" w:themeColor="background1" w:themeShade="BF"/>
          <w:sz w:val="24"/>
          <w:szCs w:val="24"/>
        </w:rPr>
        <w:t xml:space="preserve"> hydrocarbons (PAHs)</w:t>
      </w:r>
      <w:r w:rsidR="005167D6" w:rsidRPr="00921B4A">
        <w:rPr>
          <w:color w:val="BFBFBF" w:themeColor="background1" w:themeShade="BF"/>
          <w:sz w:val="24"/>
          <w:szCs w:val="24"/>
        </w:rPr>
        <w:t xml:space="preserve"> </w:t>
      </w:r>
    </w:p>
    <w:p w:rsidR="000151C8" w:rsidRPr="00921B4A" w:rsidRDefault="001E601B" w:rsidP="000151C8">
      <w:pPr>
        <w:pStyle w:val="ListParagraph"/>
        <w:numPr>
          <w:ilvl w:val="2"/>
          <w:numId w:val="1"/>
        </w:numPr>
        <w:spacing w:before="240"/>
        <w:ind w:left="709" w:hanging="324"/>
        <w:contextualSpacing w:val="0"/>
        <w:rPr>
          <w:sz w:val="24"/>
          <w:szCs w:val="24"/>
        </w:rPr>
      </w:pPr>
      <w:r w:rsidRPr="00921B4A">
        <w:rPr>
          <w:sz w:val="24"/>
          <w:szCs w:val="24"/>
          <w:highlight w:val="yellow"/>
        </w:rPr>
        <w:t>Pesticides—Insecticides</w:t>
      </w:r>
      <w:r w:rsidR="005167D6" w:rsidRPr="00921B4A">
        <w:rPr>
          <w:sz w:val="24"/>
          <w:szCs w:val="24"/>
          <w:highlight w:val="yellow"/>
        </w:rPr>
        <w:t>:  organophosphates</w:t>
      </w:r>
    </w:p>
    <w:p w:rsidR="000B5D4F" w:rsidRPr="00921B4A" w:rsidRDefault="000B5D4F" w:rsidP="000B5D4F">
      <w:pPr>
        <w:spacing w:before="240"/>
        <w:ind w:left="385"/>
        <w:rPr>
          <w:sz w:val="24"/>
          <w:szCs w:val="24"/>
        </w:rPr>
      </w:pPr>
      <w:r w:rsidRPr="00921B4A">
        <w:rPr>
          <w:sz w:val="24"/>
          <w:szCs w:val="24"/>
          <w:u w:val="single"/>
        </w:rPr>
        <w:t>Exposure:</w:t>
      </w:r>
      <w:r w:rsidR="00727596" w:rsidRPr="00921B4A">
        <w:rPr>
          <w:sz w:val="24"/>
          <w:szCs w:val="24"/>
        </w:rPr>
        <w:t xml:space="preserve"> Organophosphates are found in common pesticides that are very effective and have a minimal environmental impact. However, it is a deadly neurotoxin to humans. It is more regulated in the United States than other parts of the word such as India, where it is common to find cases of death due to organophosphate poisoning. In the US, farmers make sure the small amounts that are on the crops do not surpass safe levels whereas in Indian, they do not and have the risk of poisoning when ingesting the crops. </w:t>
      </w:r>
    </w:p>
    <w:p w:rsidR="000B5D4F" w:rsidRPr="00921B4A" w:rsidRDefault="00727596" w:rsidP="00727596">
      <w:pPr>
        <w:spacing w:before="240"/>
        <w:ind w:left="385"/>
        <w:rPr>
          <w:sz w:val="24"/>
          <w:szCs w:val="24"/>
        </w:rPr>
      </w:pPr>
      <w:proofErr w:type="spellStart"/>
      <w:r w:rsidRPr="00921B4A">
        <w:rPr>
          <w:sz w:val="24"/>
          <w:szCs w:val="24"/>
        </w:rPr>
        <w:t>Toxicokinetics</w:t>
      </w:r>
      <w:proofErr w:type="spellEnd"/>
      <w:r w:rsidRPr="00921B4A">
        <w:rPr>
          <w:sz w:val="24"/>
          <w:szCs w:val="24"/>
        </w:rPr>
        <w:t xml:space="preserve">: It is </w:t>
      </w:r>
      <w:r w:rsidR="00EC2231" w:rsidRPr="00921B4A">
        <w:rPr>
          <w:sz w:val="24"/>
          <w:szCs w:val="24"/>
        </w:rPr>
        <w:t>absorbed</w:t>
      </w:r>
      <w:r w:rsidRPr="00921B4A">
        <w:rPr>
          <w:sz w:val="24"/>
          <w:szCs w:val="24"/>
        </w:rPr>
        <w:t xml:space="preserve"> mainly through oral intake (usually on food), but can be </w:t>
      </w:r>
      <w:r w:rsidR="00EC2231" w:rsidRPr="00921B4A">
        <w:rPr>
          <w:sz w:val="24"/>
          <w:szCs w:val="24"/>
        </w:rPr>
        <w:t>transdermal</w:t>
      </w:r>
      <w:r w:rsidRPr="00921B4A">
        <w:rPr>
          <w:sz w:val="24"/>
          <w:szCs w:val="24"/>
        </w:rPr>
        <w:t xml:space="preserve"> and through inhalation as well. Time is usually less than 4 hours depending on the exact type </w:t>
      </w:r>
      <w:r w:rsidR="00EC2231" w:rsidRPr="00921B4A">
        <w:rPr>
          <w:sz w:val="24"/>
          <w:szCs w:val="24"/>
        </w:rPr>
        <w:t xml:space="preserve">of organophosphate. Since </w:t>
      </w:r>
      <w:r w:rsidRPr="00921B4A">
        <w:rPr>
          <w:sz w:val="24"/>
          <w:szCs w:val="24"/>
        </w:rPr>
        <w:t xml:space="preserve">certain types are lipid soluble, this is how it can cause chronic effects by building up in the adipose tissue in the body. Total time for elimination depends on if it is lipid soluble, how quickly it acts on </w:t>
      </w:r>
      <w:proofErr w:type="spellStart"/>
      <w:r w:rsidRPr="00921B4A">
        <w:rPr>
          <w:sz w:val="24"/>
          <w:szCs w:val="24"/>
        </w:rPr>
        <w:t>acetylecholinesterase</w:t>
      </w:r>
      <w:proofErr w:type="spellEnd"/>
      <w:r w:rsidRPr="00921B4A">
        <w:rPr>
          <w:sz w:val="24"/>
          <w:szCs w:val="24"/>
        </w:rPr>
        <w:t xml:space="preserve">, and whether or not it needs to be metabolized before it can be eliminated. Certain forms of organophosphates require cytochrome P450 to form the active </w:t>
      </w:r>
      <w:proofErr w:type="spellStart"/>
      <w:r w:rsidRPr="00921B4A">
        <w:rPr>
          <w:sz w:val="24"/>
          <w:szCs w:val="24"/>
        </w:rPr>
        <w:t>oxon</w:t>
      </w:r>
      <w:proofErr w:type="spellEnd"/>
      <w:r w:rsidRPr="00921B4A">
        <w:rPr>
          <w:sz w:val="24"/>
          <w:szCs w:val="24"/>
        </w:rPr>
        <w:t xml:space="preserve"> in order to be eliminated while other do not. In the end, most forms as metabolized as</w:t>
      </w:r>
      <w:r w:rsidR="00927825" w:rsidRPr="00921B4A">
        <w:rPr>
          <w:sz w:val="24"/>
          <w:szCs w:val="24"/>
        </w:rPr>
        <w:t xml:space="preserve"> serum</w:t>
      </w:r>
      <w:r w:rsidRPr="00921B4A">
        <w:rPr>
          <w:sz w:val="24"/>
          <w:szCs w:val="24"/>
        </w:rPr>
        <w:t xml:space="preserve"> </w:t>
      </w:r>
      <w:proofErr w:type="spellStart"/>
      <w:r w:rsidRPr="00921B4A">
        <w:rPr>
          <w:sz w:val="24"/>
          <w:szCs w:val="24"/>
        </w:rPr>
        <w:t>esterases</w:t>
      </w:r>
      <w:proofErr w:type="spellEnd"/>
      <w:r w:rsidRPr="00921B4A">
        <w:rPr>
          <w:sz w:val="24"/>
          <w:szCs w:val="24"/>
        </w:rPr>
        <w:t xml:space="preserve"> and are eliminated by the kidneys. </w:t>
      </w:r>
    </w:p>
    <w:p w:rsidR="000B5D4F" w:rsidRPr="00921B4A" w:rsidRDefault="000B5D4F" w:rsidP="000B5D4F">
      <w:pPr>
        <w:spacing w:before="240"/>
        <w:ind w:left="385"/>
        <w:rPr>
          <w:sz w:val="24"/>
          <w:szCs w:val="24"/>
        </w:rPr>
      </w:pPr>
      <w:proofErr w:type="spellStart"/>
      <w:r w:rsidRPr="00921B4A">
        <w:rPr>
          <w:sz w:val="24"/>
          <w:szCs w:val="24"/>
          <w:u w:val="single"/>
        </w:rPr>
        <w:t>Toxicodynamics</w:t>
      </w:r>
      <w:proofErr w:type="spellEnd"/>
      <w:r w:rsidR="00727596" w:rsidRPr="00921B4A">
        <w:rPr>
          <w:sz w:val="24"/>
          <w:szCs w:val="24"/>
        </w:rPr>
        <w:t xml:space="preserve">: </w:t>
      </w:r>
      <w:r w:rsidRPr="00921B4A">
        <w:rPr>
          <w:sz w:val="24"/>
          <w:szCs w:val="24"/>
        </w:rPr>
        <w:t xml:space="preserve">Organophosphates are highly toxic to humans as it is a nerve agent by inhibiting </w:t>
      </w:r>
      <w:proofErr w:type="spellStart"/>
      <w:r w:rsidRPr="00921B4A">
        <w:rPr>
          <w:sz w:val="24"/>
          <w:szCs w:val="24"/>
        </w:rPr>
        <w:t>acetylcholinesterase</w:t>
      </w:r>
      <w:proofErr w:type="spellEnd"/>
      <w:r w:rsidRPr="00921B4A">
        <w:rPr>
          <w:sz w:val="24"/>
          <w:szCs w:val="24"/>
        </w:rPr>
        <w:t>. In acute toxicity, it causes acetylcholine to accumulate in the central and peripheral nervous system. Symptoms include weakness or paralysis, altered mental status, diarrhea, vomiting, sweating and could lead to respiratory arrest due to weakness/paralysis of muscles. Since it affects the nervous system, there is a long list of possible signs and symptoms that will present with toxicity.</w:t>
      </w:r>
      <w:r w:rsidR="00727596" w:rsidRPr="00921B4A">
        <w:rPr>
          <w:sz w:val="24"/>
          <w:szCs w:val="24"/>
        </w:rPr>
        <w:t xml:space="preserve"> If acute poisoning occurs, one needs to get to the hospital in the intensive care unit to be observed for at least 12 hours. The drug, </w:t>
      </w:r>
      <w:proofErr w:type="spellStart"/>
      <w:r w:rsidR="00727596" w:rsidRPr="00921B4A">
        <w:rPr>
          <w:sz w:val="24"/>
          <w:szCs w:val="24"/>
        </w:rPr>
        <w:t>Pralidoxime</w:t>
      </w:r>
      <w:proofErr w:type="spellEnd"/>
      <w:r w:rsidR="00727596" w:rsidRPr="00921B4A">
        <w:rPr>
          <w:sz w:val="24"/>
          <w:szCs w:val="24"/>
        </w:rPr>
        <w:t xml:space="preserve">, is used to treat nerve agent poisoning. </w:t>
      </w:r>
    </w:p>
    <w:p w:rsidR="00727596" w:rsidRPr="00921B4A" w:rsidRDefault="000B5D4F" w:rsidP="00EC2231">
      <w:pPr>
        <w:spacing w:before="240"/>
        <w:ind w:left="385"/>
        <w:rPr>
          <w:sz w:val="24"/>
          <w:szCs w:val="24"/>
        </w:rPr>
      </w:pPr>
      <w:r w:rsidRPr="00921B4A">
        <w:rPr>
          <w:sz w:val="24"/>
          <w:szCs w:val="24"/>
        </w:rPr>
        <w:t>Chronic toxic effects will be similar to the acute symptoms, just in a delayed timeline if someone is consistently exposed to low level doses. Some symptoms will include memory loss and impaired cognitive function, d</w:t>
      </w:r>
      <w:r w:rsidR="00727596" w:rsidRPr="00921B4A">
        <w:rPr>
          <w:sz w:val="24"/>
          <w:szCs w:val="24"/>
        </w:rPr>
        <w:t>elayed reaction times, insomnia, and death, just to name a few.</w:t>
      </w:r>
    </w:p>
    <w:p w:rsidR="006C6CC7" w:rsidRPr="00921B4A" w:rsidRDefault="006C6CC7" w:rsidP="00EC2231">
      <w:pPr>
        <w:spacing w:before="240"/>
        <w:ind w:left="385"/>
        <w:rPr>
          <w:u w:val="single"/>
        </w:rPr>
      </w:pPr>
      <w:r w:rsidRPr="00921B4A">
        <w:rPr>
          <w:u w:val="single"/>
        </w:rPr>
        <w:t>Works Cited:</w:t>
      </w:r>
    </w:p>
    <w:p w:rsidR="00F64EBB" w:rsidRPr="00921B4A" w:rsidRDefault="00F64EBB" w:rsidP="00F64EBB">
      <w:pPr>
        <w:ind w:left="385"/>
      </w:pPr>
      <w:r w:rsidRPr="00921B4A">
        <w:t xml:space="preserve">Ker Than. "Organophosphates: A Common </w:t>
      </w:r>
      <w:proofErr w:type="gramStart"/>
      <w:r w:rsidRPr="00921B4A">
        <w:t>But</w:t>
      </w:r>
      <w:proofErr w:type="gramEnd"/>
      <w:r w:rsidRPr="00921B4A">
        <w:t xml:space="preserve"> Deadly Pesticide." </w:t>
      </w:r>
      <w:r w:rsidRPr="00921B4A">
        <w:rPr>
          <w:i/>
        </w:rPr>
        <w:t>National Geograph</w:t>
      </w:r>
      <w:r w:rsidRPr="00921B4A">
        <w:rPr>
          <w:i/>
        </w:rPr>
        <w:t>ic</w:t>
      </w:r>
      <w:r w:rsidRPr="00921B4A">
        <w:t>. National</w:t>
      </w:r>
    </w:p>
    <w:p w:rsidR="00F64EBB" w:rsidRPr="00921B4A" w:rsidRDefault="00F64EBB" w:rsidP="00F64EBB">
      <w:pPr>
        <w:ind w:firstLine="720"/>
      </w:pPr>
      <w:r w:rsidRPr="00921B4A">
        <w:t>Geographic Society, 18 July 2013. Web. 14 June 2015.</w:t>
      </w:r>
    </w:p>
    <w:p w:rsidR="00F64EBB" w:rsidRPr="00921B4A" w:rsidRDefault="00F64EBB" w:rsidP="00F64EBB">
      <w:pPr>
        <w:ind w:left="385"/>
      </w:pPr>
      <w:r w:rsidRPr="00921B4A">
        <w:t xml:space="preserve">"Nerve Agent and Organophosphate Pesticide Poisoning." </w:t>
      </w:r>
      <w:r w:rsidRPr="00921B4A">
        <w:rPr>
          <w:i/>
        </w:rPr>
        <w:t>CDC</w:t>
      </w:r>
      <w:r w:rsidRPr="00921B4A">
        <w:t>. Centers for Disease Control and</w:t>
      </w:r>
    </w:p>
    <w:p w:rsidR="00F64EBB" w:rsidRPr="00921B4A" w:rsidRDefault="00F64EBB" w:rsidP="00F64EBB">
      <w:pPr>
        <w:ind w:left="385" w:firstLine="335"/>
      </w:pPr>
      <w:r w:rsidRPr="00921B4A">
        <w:t xml:space="preserve">Prevention, </w:t>
      </w:r>
      <w:proofErr w:type="spellStart"/>
      <w:r w:rsidRPr="00921B4A">
        <w:t>n.d.</w:t>
      </w:r>
      <w:proofErr w:type="spellEnd"/>
      <w:r w:rsidRPr="00921B4A">
        <w:t xml:space="preserve"> Web. 14 June 2015.</w:t>
      </w:r>
    </w:p>
    <w:p w:rsidR="00F64EBB" w:rsidRPr="00921B4A" w:rsidRDefault="00F64EBB" w:rsidP="00F64EBB">
      <w:pPr>
        <w:ind w:left="385"/>
      </w:pPr>
      <w:r w:rsidRPr="00921B4A">
        <w:t xml:space="preserve">“Parathion”. </w:t>
      </w:r>
      <w:r w:rsidRPr="00921B4A">
        <w:rPr>
          <w:i/>
        </w:rPr>
        <w:t>Pesticide Information Profiles</w:t>
      </w:r>
      <w:r w:rsidRPr="00921B4A">
        <w:t>. Extension Toxicology Network. Sep 1993. Web. 14 June 2015.</w:t>
      </w:r>
    </w:p>
    <w:p w:rsidR="00F64EBB" w:rsidRPr="00921B4A" w:rsidRDefault="00F64EBB" w:rsidP="006C6CC7">
      <w:pPr>
        <w:ind w:left="385"/>
        <w:rPr>
          <w:sz w:val="24"/>
          <w:szCs w:val="24"/>
          <w:shd w:val="clear" w:color="auto" w:fill="F2F2F2"/>
        </w:rPr>
      </w:pPr>
    </w:p>
    <w:p w:rsidR="00465053" w:rsidRPr="00921B4A" w:rsidRDefault="00A30E4F" w:rsidP="00465053">
      <w:pPr>
        <w:pStyle w:val="ListParagraph"/>
        <w:numPr>
          <w:ilvl w:val="1"/>
          <w:numId w:val="1"/>
        </w:numPr>
        <w:spacing w:before="240"/>
        <w:ind w:left="426" w:hanging="357"/>
        <w:contextualSpacing w:val="0"/>
        <w:rPr>
          <w:sz w:val="24"/>
          <w:szCs w:val="24"/>
        </w:rPr>
      </w:pPr>
      <w:r w:rsidRPr="00921B4A">
        <w:rPr>
          <w:sz w:val="24"/>
          <w:szCs w:val="24"/>
          <w:u w:val="single"/>
        </w:rPr>
        <w:lastRenderedPageBreak/>
        <w:t>Food Toxicants</w:t>
      </w:r>
      <w:r w:rsidRPr="00921B4A">
        <w:rPr>
          <w:sz w:val="24"/>
          <w:szCs w:val="24"/>
        </w:rPr>
        <w:t>.</w:t>
      </w:r>
      <w:r w:rsidR="0073573F" w:rsidRPr="00921B4A">
        <w:rPr>
          <w:sz w:val="24"/>
          <w:szCs w:val="24"/>
        </w:rPr>
        <w:br/>
      </w:r>
    </w:p>
    <w:p w:rsidR="0029650F" w:rsidRPr="00921B4A" w:rsidRDefault="000151C8" w:rsidP="0029650F">
      <w:pPr>
        <w:pStyle w:val="ListParagraph"/>
        <w:numPr>
          <w:ilvl w:val="0"/>
          <w:numId w:val="3"/>
        </w:numPr>
        <w:contextualSpacing w:val="0"/>
        <w:rPr>
          <w:sz w:val="24"/>
          <w:szCs w:val="24"/>
          <w:highlight w:val="yellow"/>
        </w:rPr>
      </w:pPr>
      <w:r w:rsidRPr="00921B4A">
        <w:rPr>
          <w:sz w:val="24"/>
          <w:szCs w:val="24"/>
          <w:highlight w:val="yellow"/>
        </w:rPr>
        <w:t>Heterocyclic amines (HCAs) can form when meat is cooked often at charring temperatures.</w:t>
      </w:r>
      <w:r w:rsidR="005167D6" w:rsidRPr="00921B4A">
        <w:rPr>
          <w:sz w:val="24"/>
          <w:szCs w:val="24"/>
          <w:highlight w:val="yellow"/>
        </w:rPr>
        <w:t xml:space="preserve">  Find one compound in this class, discuss how it is formed in cooking and sources of exposure, and discuss effects of chronic toxicity, either in humans or animal studies</w:t>
      </w:r>
    </w:p>
    <w:p w:rsidR="00D97285" w:rsidRPr="00921B4A" w:rsidRDefault="00D97285" w:rsidP="00D97285">
      <w:pPr>
        <w:pStyle w:val="ListParagraph"/>
        <w:ind w:left="786"/>
        <w:contextualSpacing w:val="0"/>
        <w:rPr>
          <w:sz w:val="24"/>
          <w:szCs w:val="24"/>
        </w:rPr>
      </w:pPr>
    </w:p>
    <w:p w:rsidR="00D97285" w:rsidRPr="00921B4A" w:rsidRDefault="00D97285" w:rsidP="00D97285">
      <w:pPr>
        <w:pStyle w:val="ListParagraph"/>
        <w:ind w:left="786"/>
        <w:contextualSpacing w:val="0"/>
        <w:rPr>
          <w:color w:val="000000"/>
          <w:sz w:val="24"/>
          <w:szCs w:val="24"/>
          <w:shd w:val="clear" w:color="auto" w:fill="F9F9F9"/>
        </w:rPr>
      </w:pPr>
      <w:r w:rsidRPr="00921B4A">
        <w:rPr>
          <w:color w:val="000000"/>
          <w:sz w:val="24"/>
          <w:szCs w:val="24"/>
          <w:shd w:val="clear" w:color="auto" w:fill="F9F9F9"/>
        </w:rPr>
        <w:t>2-Amino-</w:t>
      </w:r>
      <w:proofErr w:type="gramStart"/>
      <w:r w:rsidRPr="00921B4A">
        <w:rPr>
          <w:color w:val="000000"/>
          <w:sz w:val="24"/>
          <w:szCs w:val="24"/>
          <w:shd w:val="clear" w:color="auto" w:fill="F9F9F9"/>
        </w:rPr>
        <w:t>3methylimidazo[</w:t>
      </w:r>
      <w:proofErr w:type="gramEnd"/>
      <w:r w:rsidRPr="00921B4A">
        <w:rPr>
          <w:color w:val="000000"/>
          <w:sz w:val="24"/>
          <w:szCs w:val="24"/>
          <w:shd w:val="clear" w:color="auto" w:fill="F9F9F9"/>
        </w:rPr>
        <w:t>4,5-</w:t>
      </w:r>
      <w:r w:rsidRPr="00921B4A">
        <w:rPr>
          <w:i/>
          <w:iCs/>
          <w:color w:val="000000"/>
          <w:sz w:val="24"/>
          <w:szCs w:val="24"/>
          <w:shd w:val="clear" w:color="auto" w:fill="F9F9F9"/>
        </w:rPr>
        <w:t>f</w:t>
      </w:r>
      <w:r w:rsidRPr="00921B4A">
        <w:rPr>
          <w:color w:val="000000"/>
          <w:sz w:val="24"/>
          <w:szCs w:val="24"/>
          <w:shd w:val="clear" w:color="auto" w:fill="F9F9F9"/>
        </w:rPr>
        <w:t>]</w:t>
      </w:r>
      <w:proofErr w:type="spellStart"/>
      <w:r w:rsidRPr="00921B4A">
        <w:rPr>
          <w:color w:val="000000"/>
          <w:sz w:val="24"/>
          <w:szCs w:val="24"/>
          <w:shd w:val="clear" w:color="auto" w:fill="F9F9F9"/>
        </w:rPr>
        <w:t>quinoline</w:t>
      </w:r>
      <w:proofErr w:type="spellEnd"/>
      <w:r w:rsidRPr="00921B4A">
        <w:rPr>
          <w:color w:val="000000"/>
          <w:sz w:val="24"/>
          <w:szCs w:val="24"/>
          <w:shd w:val="clear" w:color="auto" w:fill="F9F9F9"/>
        </w:rPr>
        <w:t xml:space="preserve">, which is abbreviated at IQ, is a compound in this class. It is formed in cooking when foods are smoked or burned at high temperatures of 125 – 300°C. When the </w:t>
      </w:r>
      <w:proofErr w:type="spellStart"/>
      <w:r w:rsidRPr="00921B4A">
        <w:rPr>
          <w:color w:val="000000"/>
          <w:sz w:val="24"/>
          <w:szCs w:val="24"/>
          <w:shd w:val="clear" w:color="auto" w:fill="F9F9F9"/>
        </w:rPr>
        <w:t>creatine</w:t>
      </w:r>
      <w:proofErr w:type="spellEnd"/>
      <w:r w:rsidRPr="00921B4A">
        <w:rPr>
          <w:color w:val="000000"/>
          <w:sz w:val="24"/>
          <w:szCs w:val="24"/>
          <w:shd w:val="clear" w:color="auto" w:fill="F9F9F9"/>
        </w:rPr>
        <w:t xml:space="preserve">, amino acids and </w:t>
      </w:r>
      <w:r w:rsidR="0040274A" w:rsidRPr="00921B4A">
        <w:rPr>
          <w:color w:val="000000"/>
          <w:sz w:val="24"/>
          <w:szCs w:val="24"/>
          <w:shd w:val="clear" w:color="auto" w:fill="F9F9F9"/>
        </w:rPr>
        <w:t>monosaccharaides</w:t>
      </w:r>
      <w:r w:rsidRPr="00921B4A">
        <w:rPr>
          <w:color w:val="000000"/>
          <w:sz w:val="24"/>
          <w:szCs w:val="24"/>
          <w:shd w:val="clear" w:color="auto" w:fill="F9F9F9"/>
        </w:rPr>
        <w:t xml:space="preserve"> heated together, IQ is formed within minutes. Factors that determine how much IQ is formed depends on temperature, what is cooked, degree of browning, and length of cooking time. Most common source of exposure if ground beef as it is common at all fast food chains.</w:t>
      </w:r>
      <w:r w:rsidR="00C8796D" w:rsidRPr="00921B4A">
        <w:rPr>
          <w:color w:val="000000"/>
          <w:sz w:val="24"/>
          <w:szCs w:val="24"/>
          <w:shd w:val="clear" w:color="auto" w:fill="F9F9F9"/>
        </w:rPr>
        <w:t xml:space="preserve"> Other common sources </w:t>
      </w:r>
      <w:proofErr w:type="gramStart"/>
      <w:r w:rsidR="00C8796D" w:rsidRPr="00921B4A">
        <w:rPr>
          <w:color w:val="000000"/>
          <w:sz w:val="24"/>
          <w:szCs w:val="24"/>
          <w:shd w:val="clear" w:color="auto" w:fill="F9F9F9"/>
        </w:rPr>
        <w:t>include  chicken</w:t>
      </w:r>
      <w:proofErr w:type="gramEnd"/>
      <w:r w:rsidR="00C8796D" w:rsidRPr="00921B4A">
        <w:rPr>
          <w:color w:val="000000"/>
          <w:sz w:val="24"/>
          <w:szCs w:val="24"/>
          <w:shd w:val="clear" w:color="auto" w:fill="F9F9F9"/>
        </w:rPr>
        <w:t xml:space="preserve"> and fish which have higher concentration of HCAs compared to pork. Interestingly, one studied by </w:t>
      </w:r>
      <w:proofErr w:type="spellStart"/>
      <w:r w:rsidR="00C8796D" w:rsidRPr="00921B4A">
        <w:rPr>
          <w:color w:val="000000"/>
          <w:sz w:val="24"/>
          <w:szCs w:val="24"/>
          <w:shd w:val="clear" w:color="auto" w:fill="F9F9F9"/>
        </w:rPr>
        <w:t>Knize</w:t>
      </w:r>
      <w:proofErr w:type="spellEnd"/>
      <w:r w:rsidR="00C8796D" w:rsidRPr="00921B4A">
        <w:rPr>
          <w:color w:val="000000"/>
          <w:sz w:val="24"/>
          <w:szCs w:val="24"/>
          <w:shd w:val="clear" w:color="auto" w:fill="F9F9F9"/>
        </w:rPr>
        <w:t xml:space="preserve"> and Kelton showed that by flipping beef patties every minute reduced the formations of HCA since each side is exposed for a shorter time, reducing the amount of charring that occurs. </w:t>
      </w:r>
    </w:p>
    <w:p w:rsidR="0040274A" w:rsidRPr="00921B4A" w:rsidRDefault="0040274A" w:rsidP="00D97285">
      <w:pPr>
        <w:pStyle w:val="ListParagraph"/>
        <w:ind w:left="786"/>
        <w:contextualSpacing w:val="0"/>
        <w:rPr>
          <w:color w:val="000000"/>
          <w:sz w:val="24"/>
          <w:szCs w:val="24"/>
          <w:shd w:val="clear" w:color="auto" w:fill="F9F9F9"/>
        </w:rPr>
      </w:pPr>
    </w:p>
    <w:p w:rsidR="0040274A" w:rsidRPr="00921B4A" w:rsidRDefault="0040274A" w:rsidP="00D97285">
      <w:pPr>
        <w:pStyle w:val="ListParagraph"/>
        <w:ind w:left="786"/>
        <w:contextualSpacing w:val="0"/>
        <w:rPr>
          <w:color w:val="000000"/>
          <w:sz w:val="24"/>
          <w:szCs w:val="24"/>
          <w:shd w:val="clear" w:color="auto" w:fill="F9F9F9"/>
        </w:rPr>
      </w:pPr>
      <w:r w:rsidRPr="00921B4A">
        <w:rPr>
          <w:color w:val="000000"/>
          <w:sz w:val="24"/>
          <w:szCs w:val="24"/>
          <w:shd w:val="clear" w:color="auto" w:fill="F9F9F9"/>
        </w:rPr>
        <w:t xml:space="preserve">There is not enough evidence that indicate that chronic toxicity of specifically IQ causes </w:t>
      </w:r>
      <w:r w:rsidR="00DA1574" w:rsidRPr="00921B4A">
        <w:rPr>
          <w:color w:val="000000"/>
          <w:sz w:val="24"/>
          <w:szCs w:val="24"/>
          <w:shd w:val="clear" w:color="auto" w:fill="F9F9F9"/>
        </w:rPr>
        <w:t>carcinogenic</w:t>
      </w:r>
      <w:r w:rsidRPr="00921B4A">
        <w:rPr>
          <w:color w:val="000000"/>
          <w:sz w:val="24"/>
          <w:szCs w:val="24"/>
          <w:shd w:val="clear" w:color="auto" w:fill="F9F9F9"/>
        </w:rPr>
        <w:t xml:space="preserve"> effects because most studies link fried foods. However, in animal studies, there is sufficient evidence that IQ causes both benign and malignant tumor formation in rats after long term exposure to IQ. </w:t>
      </w:r>
      <w:r w:rsidR="00DA1574" w:rsidRPr="00921B4A">
        <w:rPr>
          <w:color w:val="000000"/>
          <w:sz w:val="24"/>
          <w:szCs w:val="24"/>
          <w:shd w:val="clear" w:color="auto" w:fill="F9F9F9"/>
        </w:rPr>
        <w:t xml:space="preserve">Specifically, colon and mammillary glands were affected in rats after long term exposure. The rats’ offspring also had a higher change of development adenocarcinomas as it is transferred in the milk. Even though there are no specific studies of the long term effects of IQ on humans, what happens in rats may also apply to humans as well.  </w:t>
      </w:r>
    </w:p>
    <w:p w:rsidR="00746C85" w:rsidRPr="00921B4A" w:rsidRDefault="00746C85" w:rsidP="00D97285">
      <w:pPr>
        <w:pStyle w:val="ListParagraph"/>
        <w:ind w:left="786"/>
        <w:contextualSpacing w:val="0"/>
        <w:rPr>
          <w:color w:val="000000"/>
          <w:sz w:val="24"/>
          <w:szCs w:val="24"/>
          <w:shd w:val="clear" w:color="auto" w:fill="F9F9F9"/>
        </w:rPr>
      </w:pPr>
    </w:p>
    <w:p w:rsidR="0040274A" w:rsidRPr="00921B4A" w:rsidRDefault="00746C85" w:rsidP="00D97285">
      <w:pPr>
        <w:pStyle w:val="ListParagraph"/>
        <w:ind w:left="786"/>
        <w:contextualSpacing w:val="0"/>
        <w:rPr>
          <w:color w:val="000000"/>
          <w:u w:val="single"/>
          <w:shd w:val="clear" w:color="auto" w:fill="F9F9F9"/>
        </w:rPr>
      </w:pPr>
      <w:r w:rsidRPr="00921B4A">
        <w:rPr>
          <w:color w:val="000000"/>
          <w:u w:val="single"/>
          <w:shd w:val="clear" w:color="auto" w:fill="F9F9F9"/>
        </w:rPr>
        <w:t>Bibliography</w:t>
      </w:r>
    </w:p>
    <w:p w:rsidR="00F64EBB" w:rsidRPr="00921B4A" w:rsidRDefault="00F64EBB" w:rsidP="00F64EBB">
      <w:pPr>
        <w:pStyle w:val="ListParagraph"/>
        <w:ind w:left="786"/>
        <w:rPr>
          <w:i/>
          <w:color w:val="000000"/>
          <w:shd w:val="clear" w:color="auto" w:fill="F9F9F9"/>
        </w:rPr>
      </w:pPr>
      <w:r w:rsidRPr="00921B4A">
        <w:rPr>
          <w:color w:val="000000"/>
          <w:shd w:val="clear" w:color="auto" w:fill="F9F9F9"/>
        </w:rPr>
        <w:t>"2-Amino-3-</w:t>
      </w:r>
      <w:proofErr w:type="gramStart"/>
      <w:r w:rsidRPr="00921B4A">
        <w:rPr>
          <w:color w:val="000000"/>
          <w:shd w:val="clear" w:color="auto" w:fill="F9F9F9"/>
        </w:rPr>
        <w:t>Methylimidazo(</w:t>
      </w:r>
      <w:proofErr w:type="gramEnd"/>
      <w:r w:rsidRPr="00921B4A">
        <w:rPr>
          <w:color w:val="000000"/>
          <w:shd w:val="clear" w:color="auto" w:fill="F9F9F9"/>
        </w:rPr>
        <w:t>4,5-f)</w:t>
      </w:r>
      <w:proofErr w:type="spellStart"/>
      <w:r w:rsidRPr="00921B4A">
        <w:rPr>
          <w:color w:val="000000"/>
          <w:shd w:val="clear" w:color="auto" w:fill="F9F9F9"/>
        </w:rPr>
        <w:t>Quinoline</w:t>
      </w:r>
      <w:proofErr w:type="spellEnd"/>
      <w:r w:rsidRPr="00921B4A">
        <w:rPr>
          <w:color w:val="000000"/>
          <w:shd w:val="clear" w:color="auto" w:fill="F9F9F9"/>
        </w:rPr>
        <w:t xml:space="preserve"> 76180-96-6." </w:t>
      </w:r>
      <w:r w:rsidRPr="00921B4A">
        <w:rPr>
          <w:i/>
          <w:color w:val="000000"/>
          <w:shd w:val="clear" w:color="auto" w:fill="F9F9F9"/>
        </w:rPr>
        <w:t>Sax's Dangerous Properties of</w:t>
      </w:r>
    </w:p>
    <w:p w:rsidR="00F64EBB" w:rsidRPr="00921B4A" w:rsidRDefault="00F64EBB" w:rsidP="00F64EBB">
      <w:pPr>
        <w:pStyle w:val="ListParagraph"/>
        <w:ind w:left="786" w:firstLine="654"/>
        <w:rPr>
          <w:i/>
          <w:color w:val="000000"/>
          <w:shd w:val="clear" w:color="auto" w:fill="F9F9F9"/>
        </w:rPr>
      </w:pPr>
      <w:r w:rsidRPr="00921B4A">
        <w:rPr>
          <w:i/>
          <w:color w:val="000000"/>
          <w:shd w:val="clear" w:color="auto" w:fill="F9F9F9"/>
        </w:rPr>
        <w:t>Industrial Materials</w:t>
      </w:r>
      <w:r w:rsidRPr="00921B4A">
        <w:rPr>
          <w:color w:val="000000"/>
          <w:shd w:val="clear" w:color="auto" w:fill="F9F9F9"/>
        </w:rPr>
        <w:t xml:space="preserve"> (2004): n. </w:t>
      </w:r>
      <w:proofErr w:type="spellStart"/>
      <w:r w:rsidRPr="00921B4A">
        <w:rPr>
          <w:color w:val="000000"/>
          <w:shd w:val="clear" w:color="auto" w:fill="F9F9F9"/>
        </w:rPr>
        <w:t>pag</w:t>
      </w:r>
      <w:proofErr w:type="spellEnd"/>
      <w:r w:rsidRPr="00921B4A">
        <w:rPr>
          <w:i/>
          <w:color w:val="000000"/>
          <w:shd w:val="clear" w:color="auto" w:fill="F9F9F9"/>
        </w:rPr>
        <w:t>. U.S. Department of Health and Human Services</w:t>
      </w:r>
    </w:p>
    <w:p w:rsidR="00F64EBB" w:rsidRPr="00921B4A" w:rsidRDefault="00F64EBB" w:rsidP="00F64EBB">
      <w:pPr>
        <w:pStyle w:val="ListParagraph"/>
        <w:ind w:left="786" w:firstLine="654"/>
        <w:rPr>
          <w:color w:val="000000"/>
          <w:shd w:val="clear" w:color="auto" w:fill="F9F9F9"/>
        </w:rPr>
      </w:pPr>
      <w:r w:rsidRPr="00921B4A">
        <w:rPr>
          <w:i/>
          <w:color w:val="000000"/>
          <w:shd w:val="clear" w:color="auto" w:fill="F9F9F9"/>
        </w:rPr>
        <w:t>Public Health Service. National</w:t>
      </w:r>
      <w:r w:rsidRPr="00921B4A">
        <w:rPr>
          <w:color w:val="000000"/>
          <w:shd w:val="clear" w:color="auto" w:fill="F9F9F9"/>
        </w:rPr>
        <w:t xml:space="preserve"> Toxicology Program. Web. 14 June 2015.</w:t>
      </w:r>
    </w:p>
    <w:p w:rsidR="00F64EBB" w:rsidRPr="00921B4A" w:rsidRDefault="00F64EBB" w:rsidP="00F64EBB">
      <w:pPr>
        <w:pStyle w:val="ListParagraph"/>
        <w:ind w:left="786"/>
        <w:rPr>
          <w:color w:val="000000"/>
          <w:shd w:val="clear" w:color="auto" w:fill="F9F9F9"/>
        </w:rPr>
      </w:pPr>
      <w:proofErr w:type="spellStart"/>
      <w:r w:rsidRPr="00921B4A">
        <w:rPr>
          <w:color w:val="000000"/>
          <w:shd w:val="clear" w:color="auto" w:fill="F9F9F9"/>
        </w:rPr>
        <w:t>Augustsson</w:t>
      </w:r>
      <w:proofErr w:type="spellEnd"/>
      <w:r w:rsidRPr="00921B4A">
        <w:rPr>
          <w:color w:val="000000"/>
          <w:shd w:val="clear" w:color="auto" w:fill="F9F9F9"/>
        </w:rPr>
        <w:t xml:space="preserve">, Katarina, Jennifer </w:t>
      </w:r>
      <w:proofErr w:type="spellStart"/>
      <w:r w:rsidRPr="00921B4A">
        <w:rPr>
          <w:color w:val="000000"/>
          <w:shd w:val="clear" w:color="auto" w:fill="F9F9F9"/>
        </w:rPr>
        <w:t>Lindblad</w:t>
      </w:r>
      <w:proofErr w:type="spellEnd"/>
      <w:r w:rsidRPr="00921B4A">
        <w:rPr>
          <w:color w:val="000000"/>
          <w:shd w:val="clear" w:color="auto" w:fill="F9F9F9"/>
        </w:rPr>
        <w:t xml:space="preserve">, Eva </w:t>
      </w:r>
      <w:proofErr w:type="spellStart"/>
      <w:r w:rsidRPr="00921B4A">
        <w:rPr>
          <w:color w:val="000000"/>
          <w:shd w:val="clear" w:color="auto" w:fill="F9F9F9"/>
        </w:rPr>
        <w:t>Overvik</w:t>
      </w:r>
      <w:proofErr w:type="spellEnd"/>
      <w:r w:rsidRPr="00921B4A">
        <w:rPr>
          <w:color w:val="000000"/>
          <w:shd w:val="clear" w:color="auto" w:fill="F9F9F9"/>
        </w:rPr>
        <w:t xml:space="preserve">, and Gunnar </w:t>
      </w:r>
      <w:proofErr w:type="spellStart"/>
      <w:r w:rsidRPr="00921B4A">
        <w:rPr>
          <w:color w:val="000000"/>
          <w:shd w:val="clear" w:color="auto" w:fill="F9F9F9"/>
        </w:rPr>
        <w:t>Steineck</w:t>
      </w:r>
      <w:proofErr w:type="spellEnd"/>
      <w:r w:rsidRPr="00921B4A">
        <w:rPr>
          <w:color w:val="000000"/>
          <w:shd w:val="clear" w:color="auto" w:fill="F9F9F9"/>
        </w:rPr>
        <w:t>. "A Population-</w:t>
      </w:r>
    </w:p>
    <w:p w:rsidR="00F64EBB" w:rsidRPr="00921B4A" w:rsidRDefault="00F64EBB" w:rsidP="00F64EBB">
      <w:pPr>
        <w:pStyle w:val="ListParagraph"/>
        <w:ind w:left="786" w:firstLine="654"/>
        <w:rPr>
          <w:color w:val="000000"/>
          <w:shd w:val="clear" w:color="auto" w:fill="F9F9F9"/>
        </w:rPr>
      </w:pPr>
      <w:proofErr w:type="gramStart"/>
      <w:r w:rsidRPr="00921B4A">
        <w:rPr>
          <w:color w:val="000000"/>
          <w:shd w:val="clear" w:color="auto" w:fill="F9F9F9"/>
        </w:rPr>
        <w:t>based</w:t>
      </w:r>
      <w:proofErr w:type="gramEnd"/>
      <w:r w:rsidRPr="00921B4A">
        <w:rPr>
          <w:color w:val="000000"/>
          <w:shd w:val="clear" w:color="auto" w:fill="F9F9F9"/>
        </w:rPr>
        <w:t xml:space="preserve"> Dietary Inventory of Cooked Meat and Assessment of the Daily Intake of Food</w:t>
      </w:r>
    </w:p>
    <w:p w:rsidR="00F64EBB" w:rsidRPr="00921B4A" w:rsidRDefault="00F64EBB" w:rsidP="00F64EBB">
      <w:pPr>
        <w:pStyle w:val="ListParagraph"/>
        <w:ind w:left="786" w:firstLine="654"/>
        <w:rPr>
          <w:color w:val="000000"/>
          <w:shd w:val="clear" w:color="auto" w:fill="F9F9F9"/>
        </w:rPr>
      </w:pPr>
      <w:r w:rsidRPr="00921B4A">
        <w:rPr>
          <w:color w:val="000000"/>
          <w:shd w:val="clear" w:color="auto" w:fill="F9F9F9"/>
        </w:rPr>
        <w:t xml:space="preserve">Mutagens." </w:t>
      </w:r>
      <w:r w:rsidRPr="00921B4A">
        <w:rPr>
          <w:i/>
          <w:color w:val="000000"/>
          <w:shd w:val="clear" w:color="auto" w:fill="F9F9F9"/>
        </w:rPr>
        <w:t>Food Additives and Contaminants</w:t>
      </w:r>
      <w:r w:rsidRPr="00921B4A">
        <w:rPr>
          <w:color w:val="000000"/>
          <w:shd w:val="clear" w:color="auto" w:fill="F9F9F9"/>
        </w:rPr>
        <w:t xml:space="preserve"> 16.5 (1999): 215-25. Web. 14 June 2015.</w:t>
      </w:r>
    </w:p>
    <w:p w:rsidR="00F64EBB" w:rsidRPr="00921B4A" w:rsidRDefault="00F64EBB" w:rsidP="00F64EBB">
      <w:pPr>
        <w:pStyle w:val="ListParagraph"/>
        <w:ind w:left="786"/>
        <w:rPr>
          <w:color w:val="000000"/>
          <w:shd w:val="clear" w:color="auto" w:fill="F9F9F9"/>
        </w:rPr>
      </w:pPr>
      <w:proofErr w:type="spellStart"/>
      <w:r w:rsidRPr="00921B4A">
        <w:rPr>
          <w:color w:val="000000"/>
          <w:shd w:val="clear" w:color="auto" w:fill="F9F9F9"/>
        </w:rPr>
        <w:t>Knize</w:t>
      </w:r>
      <w:proofErr w:type="spellEnd"/>
      <w:r w:rsidRPr="00921B4A">
        <w:rPr>
          <w:color w:val="000000"/>
          <w:shd w:val="clear" w:color="auto" w:fill="F9F9F9"/>
        </w:rPr>
        <w:t>, Mark G., and James S. Felton. "Formation and Human Risk of Carcinogenic</w:t>
      </w:r>
    </w:p>
    <w:p w:rsidR="00F64EBB" w:rsidRPr="00921B4A" w:rsidRDefault="00F64EBB" w:rsidP="00F64EBB">
      <w:pPr>
        <w:pStyle w:val="ListParagraph"/>
        <w:ind w:left="786" w:firstLine="654"/>
        <w:rPr>
          <w:i/>
          <w:color w:val="000000"/>
          <w:shd w:val="clear" w:color="auto" w:fill="F9F9F9"/>
        </w:rPr>
      </w:pPr>
      <w:r w:rsidRPr="00921B4A">
        <w:rPr>
          <w:color w:val="000000"/>
          <w:shd w:val="clear" w:color="auto" w:fill="F9F9F9"/>
        </w:rPr>
        <w:t xml:space="preserve">Heterocyclic Amines Formed from Natural Precursors in Meat." </w:t>
      </w:r>
      <w:r w:rsidRPr="00921B4A">
        <w:rPr>
          <w:i/>
          <w:color w:val="000000"/>
          <w:shd w:val="clear" w:color="auto" w:fill="F9F9F9"/>
        </w:rPr>
        <w:t>Nutrition</w:t>
      </w:r>
    </w:p>
    <w:p w:rsidR="00F64EBB" w:rsidRPr="00921B4A" w:rsidRDefault="00F64EBB" w:rsidP="00F64EBB">
      <w:pPr>
        <w:pStyle w:val="ListParagraph"/>
        <w:ind w:left="786" w:firstLine="654"/>
        <w:rPr>
          <w:color w:val="000000"/>
          <w:shd w:val="clear" w:color="auto" w:fill="F9F9F9"/>
        </w:rPr>
      </w:pPr>
      <w:r w:rsidRPr="00921B4A">
        <w:rPr>
          <w:i/>
          <w:color w:val="000000"/>
          <w:shd w:val="clear" w:color="auto" w:fill="F9F9F9"/>
        </w:rPr>
        <w:t>Reviews</w:t>
      </w:r>
      <w:r w:rsidRPr="00921B4A">
        <w:rPr>
          <w:color w:val="000000"/>
          <w:shd w:val="clear" w:color="auto" w:fill="F9F9F9"/>
        </w:rPr>
        <w:t xml:space="preserve"> 63.5 (2005): 158-65. Web. 14 June 2015. </w:t>
      </w:r>
    </w:p>
    <w:p w:rsidR="00F64EBB" w:rsidRPr="00921B4A" w:rsidRDefault="00F64EBB" w:rsidP="00F64EBB">
      <w:pPr>
        <w:pStyle w:val="ListParagraph"/>
        <w:ind w:left="786"/>
        <w:rPr>
          <w:color w:val="000000"/>
          <w:shd w:val="clear" w:color="auto" w:fill="F9F9F9"/>
        </w:rPr>
      </w:pPr>
      <w:r w:rsidRPr="00921B4A">
        <w:rPr>
          <w:color w:val="000000"/>
          <w:shd w:val="clear" w:color="auto" w:fill="F9F9F9"/>
        </w:rPr>
        <w:t xml:space="preserve">Skog, K.I, M.A.E Johansson, and M.I </w:t>
      </w:r>
      <w:proofErr w:type="spellStart"/>
      <w:r w:rsidRPr="00921B4A">
        <w:rPr>
          <w:color w:val="000000"/>
          <w:shd w:val="clear" w:color="auto" w:fill="F9F9F9"/>
        </w:rPr>
        <w:t>Jägerstad</w:t>
      </w:r>
      <w:proofErr w:type="spellEnd"/>
      <w:r w:rsidRPr="00921B4A">
        <w:rPr>
          <w:color w:val="000000"/>
          <w:shd w:val="clear" w:color="auto" w:fill="F9F9F9"/>
        </w:rPr>
        <w:t xml:space="preserve">. "Carcinogenic Heterocyclic Amines in </w:t>
      </w:r>
    </w:p>
    <w:p w:rsidR="00F64EBB" w:rsidRPr="00921B4A" w:rsidRDefault="00F64EBB" w:rsidP="00F64EBB">
      <w:pPr>
        <w:pStyle w:val="ListParagraph"/>
        <w:ind w:left="786" w:firstLine="654"/>
        <w:rPr>
          <w:color w:val="000000"/>
          <w:shd w:val="clear" w:color="auto" w:fill="F9F9F9"/>
        </w:rPr>
      </w:pPr>
      <w:r w:rsidRPr="00921B4A">
        <w:rPr>
          <w:color w:val="000000"/>
          <w:shd w:val="clear" w:color="auto" w:fill="F9F9F9"/>
        </w:rPr>
        <w:t>Model Systems and Cooked Foods: A Review on Formation, Occurrence and</w:t>
      </w:r>
    </w:p>
    <w:p w:rsidR="00F64EBB" w:rsidRPr="00921B4A" w:rsidRDefault="00F64EBB" w:rsidP="00F64EBB">
      <w:pPr>
        <w:pStyle w:val="ListParagraph"/>
        <w:ind w:left="786" w:firstLine="654"/>
        <w:contextualSpacing w:val="0"/>
        <w:rPr>
          <w:color w:val="000000"/>
          <w:shd w:val="clear" w:color="auto" w:fill="F9F9F9"/>
        </w:rPr>
      </w:pPr>
      <w:r w:rsidRPr="00921B4A">
        <w:rPr>
          <w:color w:val="000000"/>
          <w:shd w:val="clear" w:color="auto" w:fill="F9F9F9"/>
        </w:rPr>
        <w:t xml:space="preserve">Intake." </w:t>
      </w:r>
      <w:r w:rsidRPr="00921B4A">
        <w:rPr>
          <w:i/>
          <w:color w:val="000000"/>
          <w:shd w:val="clear" w:color="auto" w:fill="F9F9F9"/>
        </w:rPr>
        <w:t>Food and Chemical Toxicology</w:t>
      </w:r>
      <w:r w:rsidRPr="00921B4A">
        <w:rPr>
          <w:color w:val="000000"/>
          <w:shd w:val="clear" w:color="auto" w:fill="F9F9F9"/>
        </w:rPr>
        <w:t xml:space="preserve"> 36.9-10 (1998): 879-96. Web. 14 June 2015.</w:t>
      </w:r>
    </w:p>
    <w:p w:rsidR="00F64EBB" w:rsidRPr="00921B4A" w:rsidRDefault="00F64EBB" w:rsidP="00F64EBB">
      <w:pPr>
        <w:spacing w:after="200" w:line="276" w:lineRule="auto"/>
        <w:rPr>
          <w:color w:val="000000"/>
          <w:shd w:val="clear" w:color="auto" w:fill="F2F2F2"/>
        </w:rPr>
      </w:pPr>
      <w:r w:rsidRPr="00921B4A">
        <w:rPr>
          <w:color w:val="000000"/>
          <w:shd w:val="clear" w:color="auto" w:fill="F2F2F2"/>
        </w:rPr>
        <w:br w:type="page"/>
      </w:r>
    </w:p>
    <w:p w:rsidR="004225AB" w:rsidRPr="00921B4A" w:rsidRDefault="004225AB" w:rsidP="005A748A">
      <w:pPr>
        <w:pStyle w:val="ListParagraph"/>
        <w:numPr>
          <w:ilvl w:val="1"/>
          <w:numId w:val="1"/>
        </w:numPr>
        <w:spacing w:before="240"/>
        <w:ind w:left="284" w:hanging="216"/>
        <w:contextualSpacing w:val="0"/>
        <w:rPr>
          <w:sz w:val="24"/>
          <w:szCs w:val="24"/>
        </w:rPr>
        <w:sectPr w:rsidR="004225AB" w:rsidRPr="00921B4A" w:rsidSect="004225AB">
          <w:type w:val="continuous"/>
          <w:pgSz w:w="12240" w:h="15840"/>
          <w:pgMar w:top="1440" w:right="1440" w:bottom="1440" w:left="1440" w:header="720" w:footer="720" w:gutter="0"/>
          <w:cols w:space="720"/>
          <w:docGrid w:linePitch="360"/>
        </w:sectPr>
      </w:pPr>
    </w:p>
    <w:p w:rsidR="000151C8" w:rsidRPr="00921B4A" w:rsidRDefault="008335C6" w:rsidP="000151C8">
      <w:pPr>
        <w:pStyle w:val="ListParagraph"/>
        <w:numPr>
          <w:ilvl w:val="1"/>
          <w:numId w:val="1"/>
        </w:numPr>
        <w:spacing w:before="240"/>
        <w:ind w:left="426" w:hanging="357"/>
        <w:contextualSpacing w:val="0"/>
        <w:rPr>
          <w:sz w:val="24"/>
          <w:szCs w:val="24"/>
        </w:rPr>
      </w:pPr>
      <w:r w:rsidRPr="00921B4A">
        <w:rPr>
          <w:sz w:val="24"/>
          <w:szCs w:val="24"/>
          <w:u w:val="single"/>
        </w:rPr>
        <w:lastRenderedPageBreak/>
        <w:t>Drug</w:t>
      </w:r>
      <w:r w:rsidR="009744F1" w:rsidRPr="00921B4A">
        <w:rPr>
          <w:sz w:val="24"/>
          <w:szCs w:val="24"/>
          <w:u w:val="single"/>
        </w:rPr>
        <w:t>-</w:t>
      </w:r>
      <w:r w:rsidRPr="00921B4A">
        <w:rPr>
          <w:sz w:val="24"/>
          <w:szCs w:val="24"/>
          <w:u w:val="single"/>
        </w:rPr>
        <w:t>Nutrient</w:t>
      </w:r>
      <w:r w:rsidR="009744F1" w:rsidRPr="00921B4A">
        <w:rPr>
          <w:sz w:val="24"/>
          <w:szCs w:val="24"/>
          <w:u w:val="single"/>
        </w:rPr>
        <w:t xml:space="preserve"> Interactions</w:t>
      </w:r>
      <w:r w:rsidR="000151C8" w:rsidRPr="00921B4A">
        <w:rPr>
          <w:sz w:val="24"/>
          <w:szCs w:val="24"/>
        </w:rPr>
        <w:t>.</w:t>
      </w:r>
      <w:r w:rsidR="007B2485" w:rsidRPr="00921B4A">
        <w:rPr>
          <w:sz w:val="24"/>
          <w:szCs w:val="24"/>
        </w:rPr>
        <w:t xml:space="preserve">  Select any of the drugs</w:t>
      </w:r>
      <w:r w:rsidRPr="00921B4A">
        <w:rPr>
          <w:sz w:val="24"/>
          <w:szCs w:val="24"/>
        </w:rPr>
        <w:t xml:space="preserve"> or drug classes</w:t>
      </w:r>
      <w:r w:rsidR="007B2485" w:rsidRPr="00921B4A">
        <w:rPr>
          <w:sz w:val="24"/>
          <w:szCs w:val="24"/>
        </w:rPr>
        <w:t xml:space="preserve"> below and explain how it affects diet (nutrient absorption).  Either suggest an alternative drug and/or explain how an individual can compensate for any effect </w:t>
      </w:r>
      <w:r w:rsidRPr="00921B4A">
        <w:rPr>
          <w:sz w:val="24"/>
          <w:szCs w:val="24"/>
        </w:rPr>
        <w:t>on</w:t>
      </w:r>
      <w:r w:rsidR="007B2485" w:rsidRPr="00921B4A">
        <w:rPr>
          <w:sz w:val="24"/>
          <w:szCs w:val="24"/>
        </w:rPr>
        <w:t xml:space="preserve"> nutri</w:t>
      </w:r>
      <w:r w:rsidRPr="00921B4A">
        <w:rPr>
          <w:sz w:val="24"/>
          <w:szCs w:val="24"/>
        </w:rPr>
        <w:t>tion</w:t>
      </w:r>
      <w:r w:rsidR="000151C8" w:rsidRPr="00921B4A">
        <w:rPr>
          <w:sz w:val="24"/>
          <w:szCs w:val="24"/>
        </w:rPr>
        <w:br/>
      </w:r>
    </w:p>
    <w:p w:rsidR="000151C8" w:rsidRPr="00921B4A" w:rsidRDefault="008335C6" w:rsidP="007B2485">
      <w:pPr>
        <w:pStyle w:val="ListParagraph"/>
        <w:numPr>
          <w:ilvl w:val="0"/>
          <w:numId w:val="5"/>
        </w:numPr>
        <w:contextualSpacing w:val="0"/>
        <w:rPr>
          <w:sz w:val="24"/>
          <w:szCs w:val="24"/>
          <w:highlight w:val="yellow"/>
        </w:rPr>
      </w:pPr>
      <w:r w:rsidRPr="00921B4A">
        <w:rPr>
          <w:sz w:val="24"/>
          <w:szCs w:val="24"/>
          <w:highlight w:val="yellow"/>
        </w:rPr>
        <w:t>Laxatives</w:t>
      </w:r>
    </w:p>
    <w:p w:rsidR="002D579A" w:rsidRPr="00921B4A" w:rsidRDefault="002D579A" w:rsidP="002D579A">
      <w:pPr>
        <w:ind w:left="426"/>
        <w:rPr>
          <w:sz w:val="24"/>
          <w:szCs w:val="24"/>
        </w:rPr>
      </w:pPr>
    </w:p>
    <w:p w:rsidR="00466929" w:rsidRPr="00921B4A" w:rsidRDefault="00FA045F" w:rsidP="00F64EBB">
      <w:pPr>
        <w:ind w:left="426"/>
        <w:rPr>
          <w:sz w:val="24"/>
          <w:szCs w:val="24"/>
        </w:rPr>
      </w:pPr>
      <w:r w:rsidRPr="00921B4A">
        <w:rPr>
          <w:sz w:val="24"/>
          <w:szCs w:val="24"/>
        </w:rPr>
        <w:t xml:space="preserve">The exact mechanism of laxatives are unknown. There are 4 common types which include bulk forming laxatives, saline and osmotic laxatives, stimulant laxatives and stool softeners. They work by changing osmotic effects and the release of extracellular regulators of the GI tract membrane. Some laxatives increase NO synthase and platelet-activating factor (PAF) in the gut. </w:t>
      </w:r>
      <w:r w:rsidR="002D579A" w:rsidRPr="00921B4A">
        <w:rPr>
          <w:sz w:val="24"/>
          <w:szCs w:val="24"/>
        </w:rPr>
        <w:t xml:space="preserve">Laxatives affect diet </w:t>
      </w:r>
      <w:r w:rsidRPr="00921B4A">
        <w:rPr>
          <w:sz w:val="24"/>
          <w:szCs w:val="24"/>
        </w:rPr>
        <w:t>absorption</w:t>
      </w:r>
      <w:r w:rsidR="002D579A" w:rsidRPr="00921B4A">
        <w:rPr>
          <w:sz w:val="24"/>
          <w:szCs w:val="24"/>
        </w:rPr>
        <w:t xml:space="preserve"> b</w:t>
      </w:r>
      <w:r w:rsidR="007A5CDD" w:rsidRPr="00921B4A">
        <w:rPr>
          <w:sz w:val="24"/>
          <w:szCs w:val="24"/>
        </w:rPr>
        <w:t>y accelerating the rate of which nutrients trav</w:t>
      </w:r>
      <w:r w:rsidRPr="00921B4A">
        <w:rPr>
          <w:sz w:val="24"/>
          <w:szCs w:val="24"/>
        </w:rPr>
        <w:t>el though the gastrointestinal</w:t>
      </w:r>
      <w:r w:rsidR="007A5CDD" w:rsidRPr="00921B4A">
        <w:rPr>
          <w:sz w:val="24"/>
          <w:szCs w:val="24"/>
        </w:rPr>
        <w:t xml:space="preserve"> tract which may impair absorption </w:t>
      </w:r>
      <w:r w:rsidR="006C0C6A" w:rsidRPr="00921B4A">
        <w:rPr>
          <w:sz w:val="24"/>
          <w:szCs w:val="24"/>
        </w:rPr>
        <w:t>of all nutrients including lipids, carbohydrates and protein. However, i</w:t>
      </w:r>
      <w:r w:rsidR="007A5CDD" w:rsidRPr="00921B4A">
        <w:rPr>
          <w:sz w:val="24"/>
          <w:szCs w:val="24"/>
        </w:rPr>
        <w:t xml:space="preserve">n one study, the laxative, </w:t>
      </w:r>
      <w:r w:rsidR="007A5CDD" w:rsidRPr="00921B4A">
        <w:rPr>
          <w:color w:val="000000"/>
          <w:sz w:val="24"/>
          <w:szCs w:val="24"/>
          <w:shd w:val="clear" w:color="auto" w:fill="FFFFFF"/>
        </w:rPr>
        <w:t xml:space="preserve">polyethylene glycol (PEG), showed that lipid absorption in the intestines were not impaired in rats. </w:t>
      </w:r>
      <w:r w:rsidR="00466929" w:rsidRPr="00921B4A">
        <w:rPr>
          <w:sz w:val="24"/>
          <w:szCs w:val="24"/>
        </w:rPr>
        <w:t xml:space="preserve">The </w:t>
      </w:r>
      <w:r w:rsidR="00F64EBB" w:rsidRPr="00921B4A">
        <w:rPr>
          <w:sz w:val="24"/>
          <w:szCs w:val="24"/>
        </w:rPr>
        <w:t>laxative</w:t>
      </w:r>
      <w:r w:rsidR="00BA3868" w:rsidRPr="00921B4A">
        <w:rPr>
          <w:sz w:val="24"/>
          <w:szCs w:val="24"/>
        </w:rPr>
        <w:t xml:space="preserve"> itself is minimally absorbed so it is considere</w:t>
      </w:r>
      <w:r w:rsidR="00F64EBB" w:rsidRPr="00921B4A">
        <w:rPr>
          <w:sz w:val="24"/>
          <w:szCs w:val="24"/>
        </w:rPr>
        <w:t>d safe to use during pregnancy.</w:t>
      </w:r>
    </w:p>
    <w:p w:rsidR="002D579A" w:rsidRPr="00921B4A" w:rsidRDefault="002D579A" w:rsidP="002D579A">
      <w:pPr>
        <w:ind w:left="426"/>
        <w:rPr>
          <w:sz w:val="24"/>
          <w:szCs w:val="24"/>
        </w:rPr>
      </w:pPr>
    </w:p>
    <w:p w:rsidR="002D579A" w:rsidRPr="00921B4A" w:rsidRDefault="002D579A" w:rsidP="002D579A">
      <w:pPr>
        <w:ind w:left="426"/>
        <w:rPr>
          <w:sz w:val="24"/>
          <w:szCs w:val="24"/>
        </w:rPr>
      </w:pPr>
      <w:r w:rsidRPr="00921B4A">
        <w:rPr>
          <w:sz w:val="24"/>
          <w:szCs w:val="24"/>
        </w:rPr>
        <w:t xml:space="preserve">An </w:t>
      </w:r>
      <w:r w:rsidR="007A5CDD" w:rsidRPr="00921B4A">
        <w:rPr>
          <w:sz w:val="24"/>
          <w:szCs w:val="24"/>
        </w:rPr>
        <w:t>alternative to using laxatives</w:t>
      </w:r>
      <w:r w:rsidRPr="00921B4A">
        <w:rPr>
          <w:sz w:val="24"/>
          <w:szCs w:val="24"/>
        </w:rPr>
        <w:t xml:space="preserve"> can be</w:t>
      </w:r>
      <w:r w:rsidR="00FA045F" w:rsidRPr="00921B4A">
        <w:rPr>
          <w:sz w:val="24"/>
          <w:szCs w:val="24"/>
        </w:rPr>
        <w:t xml:space="preserve"> to eat more insoluble and soluble</w:t>
      </w:r>
      <w:r w:rsidR="007A5CDD" w:rsidRPr="00921B4A">
        <w:rPr>
          <w:sz w:val="24"/>
          <w:szCs w:val="24"/>
        </w:rPr>
        <w:t xml:space="preserve"> fiber foods to help GI motility, keep your body hydrated and to increase movement such as going for walks. All these can help the GI tract function better and help intestinal motility in healthy individual</w:t>
      </w:r>
      <w:r w:rsidR="00FA045F" w:rsidRPr="00921B4A">
        <w:rPr>
          <w:sz w:val="24"/>
          <w:szCs w:val="24"/>
        </w:rPr>
        <w:t xml:space="preserve">s without the use of laxatives. </w:t>
      </w:r>
    </w:p>
    <w:p w:rsidR="002D579A" w:rsidRPr="00921B4A" w:rsidRDefault="002D579A" w:rsidP="002D579A">
      <w:pPr>
        <w:ind w:left="426"/>
        <w:rPr>
          <w:sz w:val="24"/>
          <w:szCs w:val="24"/>
        </w:rPr>
      </w:pPr>
    </w:p>
    <w:p w:rsidR="007A5CDD" w:rsidRPr="00921B4A" w:rsidRDefault="002D579A" w:rsidP="002D579A">
      <w:pPr>
        <w:ind w:left="426"/>
        <w:rPr>
          <w:sz w:val="24"/>
          <w:szCs w:val="24"/>
        </w:rPr>
      </w:pPr>
      <w:r w:rsidRPr="00921B4A">
        <w:rPr>
          <w:sz w:val="24"/>
          <w:szCs w:val="24"/>
        </w:rPr>
        <w:t>Those who use laxatives should compensate for the effect b</w:t>
      </w:r>
      <w:r w:rsidR="007A5CDD" w:rsidRPr="00921B4A">
        <w:rPr>
          <w:sz w:val="24"/>
          <w:szCs w:val="24"/>
        </w:rPr>
        <w:t xml:space="preserve">y consuming for electrolytes as the increased GI motility may cause an electrolyte imbalance. Another factor to consider is hydration levels while consuming laxative as both solid and liquids move faster through the system which may result in dehydration. </w:t>
      </w:r>
    </w:p>
    <w:p w:rsidR="00F64EBB" w:rsidRPr="00921B4A" w:rsidRDefault="00F64EBB" w:rsidP="002D579A">
      <w:pPr>
        <w:ind w:left="426"/>
        <w:rPr>
          <w:sz w:val="24"/>
          <w:szCs w:val="24"/>
        </w:rPr>
      </w:pPr>
    </w:p>
    <w:p w:rsidR="007A5CDD" w:rsidRPr="00921B4A" w:rsidRDefault="00F64EBB" w:rsidP="002D579A">
      <w:pPr>
        <w:ind w:left="426"/>
        <w:rPr>
          <w:u w:val="single"/>
        </w:rPr>
      </w:pPr>
      <w:r w:rsidRPr="00921B4A">
        <w:rPr>
          <w:u w:val="single"/>
        </w:rPr>
        <w:t>Bibliography</w:t>
      </w:r>
    </w:p>
    <w:p w:rsidR="00F64EBB" w:rsidRPr="00921B4A" w:rsidRDefault="00F64EBB" w:rsidP="00F64EBB">
      <w:pPr>
        <w:ind w:left="426"/>
        <w:rPr>
          <w:i/>
        </w:rPr>
      </w:pPr>
      <w:proofErr w:type="spellStart"/>
      <w:r w:rsidRPr="00921B4A">
        <w:t>Trottier</w:t>
      </w:r>
      <w:proofErr w:type="spellEnd"/>
      <w:r w:rsidRPr="00921B4A">
        <w:t xml:space="preserve"> M, </w:t>
      </w:r>
      <w:proofErr w:type="spellStart"/>
      <w:r w:rsidRPr="00921B4A">
        <w:t>Erebara</w:t>
      </w:r>
      <w:proofErr w:type="spellEnd"/>
      <w:r w:rsidRPr="00921B4A">
        <w:t xml:space="preserve"> A, </w:t>
      </w:r>
      <w:proofErr w:type="spellStart"/>
      <w:r w:rsidRPr="00921B4A">
        <w:t>Bozzo</w:t>
      </w:r>
      <w:proofErr w:type="spellEnd"/>
      <w:r w:rsidRPr="00921B4A">
        <w:t xml:space="preserve"> P. “Treating constipation during pregnancy”. </w:t>
      </w:r>
      <w:r w:rsidRPr="00921B4A">
        <w:rPr>
          <w:i/>
        </w:rPr>
        <w:t xml:space="preserve">Can </w:t>
      </w:r>
      <w:proofErr w:type="spellStart"/>
      <w:proofErr w:type="gramStart"/>
      <w:r w:rsidRPr="00921B4A">
        <w:rPr>
          <w:i/>
        </w:rPr>
        <w:t>Fam</w:t>
      </w:r>
      <w:proofErr w:type="gramEnd"/>
    </w:p>
    <w:p w:rsidR="00F64EBB" w:rsidRPr="00921B4A" w:rsidRDefault="00F64EBB" w:rsidP="00F64EBB">
      <w:pPr>
        <w:ind w:left="426" w:firstLine="294"/>
      </w:pPr>
      <w:proofErr w:type="spellEnd"/>
      <w:r w:rsidRPr="00921B4A">
        <w:rPr>
          <w:i/>
        </w:rPr>
        <w:t>Physician.</w:t>
      </w:r>
      <w:r w:rsidRPr="00921B4A">
        <w:t xml:space="preserve"> 58.8 (2012): 836-8. Web. 14 June 2015.</w:t>
      </w:r>
    </w:p>
    <w:p w:rsidR="00F64EBB" w:rsidRPr="00921B4A" w:rsidRDefault="00F64EBB" w:rsidP="00F64EBB">
      <w:pPr>
        <w:ind w:left="426"/>
      </w:pPr>
      <w:r w:rsidRPr="00921B4A">
        <w:t>University of Nebraska Medical Center. “Physiology of GI motility and secretion”. June</w:t>
      </w:r>
    </w:p>
    <w:p w:rsidR="00F64EBB" w:rsidRPr="00921B4A" w:rsidRDefault="00F64EBB" w:rsidP="00F64EBB">
      <w:pPr>
        <w:ind w:left="720"/>
      </w:pPr>
      <w:r w:rsidRPr="00921B4A">
        <w:t xml:space="preserve">2006. PowerPoint Presentation. </w:t>
      </w:r>
      <w:r w:rsidRPr="00921B4A">
        <w:rPr>
          <w:color w:val="000000"/>
          <w:shd w:val="clear" w:color="auto" w:fill="FFFFFF"/>
        </w:rPr>
        <w:t>Retrieved from</w:t>
      </w:r>
      <w:r w:rsidRPr="00921B4A">
        <w:rPr>
          <w:color w:val="000000"/>
          <w:shd w:val="clear" w:color="auto" w:fill="FFFFFF"/>
        </w:rPr>
        <w:t xml:space="preserve"> </w:t>
      </w:r>
      <w:r w:rsidRPr="00921B4A">
        <w:t>http://webmedia.unmc.edu/medicine/scholar/GIdrugs.ppt</w:t>
      </w:r>
    </w:p>
    <w:p w:rsidR="00F64EBB" w:rsidRPr="00921B4A" w:rsidRDefault="00F64EBB" w:rsidP="00F64EBB">
      <w:pPr>
        <w:ind w:left="426"/>
      </w:pPr>
      <w:proofErr w:type="spellStart"/>
      <w:r w:rsidRPr="00921B4A">
        <w:t>Wulp</w:t>
      </w:r>
      <w:proofErr w:type="spellEnd"/>
      <w:r w:rsidRPr="00921B4A">
        <w:t xml:space="preserve">, </w:t>
      </w:r>
      <w:proofErr w:type="spellStart"/>
      <w:r w:rsidRPr="00921B4A">
        <w:t>Mariëtte</w:t>
      </w:r>
      <w:proofErr w:type="spellEnd"/>
      <w:r w:rsidRPr="00921B4A">
        <w:t xml:space="preserve"> </w:t>
      </w:r>
      <w:proofErr w:type="spellStart"/>
      <w:r w:rsidRPr="00921B4A">
        <w:t>Y.m</w:t>
      </w:r>
      <w:proofErr w:type="spellEnd"/>
      <w:r w:rsidRPr="00921B4A">
        <w:t xml:space="preserve">. Van Der, </w:t>
      </w:r>
      <w:proofErr w:type="spellStart"/>
      <w:r w:rsidRPr="00921B4A">
        <w:t>Frans</w:t>
      </w:r>
      <w:proofErr w:type="spellEnd"/>
      <w:r w:rsidRPr="00921B4A">
        <w:t xml:space="preserve"> </w:t>
      </w:r>
      <w:proofErr w:type="spellStart"/>
      <w:r w:rsidRPr="00921B4A">
        <w:t>J.c.</w:t>
      </w:r>
      <w:proofErr w:type="spellEnd"/>
      <w:r w:rsidRPr="00921B4A">
        <w:t xml:space="preserve"> </w:t>
      </w:r>
      <w:proofErr w:type="spellStart"/>
      <w:r w:rsidRPr="00921B4A">
        <w:t>Cuperus</w:t>
      </w:r>
      <w:proofErr w:type="spellEnd"/>
      <w:r w:rsidRPr="00921B4A">
        <w:t xml:space="preserve">, </w:t>
      </w:r>
      <w:proofErr w:type="spellStart"/>
      <w:r w:rsidRPr="00921B4A">
        <w:t>Frans</w:t>
      </w:r>
      <w:proofErr w:type="spellEnd"/>
      <w:r w:rsidRPr="00921B4A">
        <w:t xml:space="preserve"> </w:t>
      </w:r>
      <w:proofErr w:type="spellStart"/>
      <w:r w:rsidRPr="00921B4A">
        <w:t>Stellaard</w:t>
      </w:r>
      <w:proofErr w:type="spellEnd"/>
      <w:r w:rsidRPr="00921B4A">
        <w:t xml:space="preserve">, Theo H. Van </w:t>
      </w:r>
      <w:proofErr w:type="spellStart"/>
      <w:r w:rsidRPr="00921B4A">
        <w:t>Dijk</w:t>
      </w:r>
      <w:proofErr w:type="spellEnd"/>
      <w:r w:rsidRPr="00921B4A">
        <w:t>, Jan</w:t>
      </w:r>
    </w:p>
    <w:p w:rsidR="00F64EBB" w:rsidRPr="00921B4A" w:rsidRDefault="00F64EBB" w:rsidP="00F64EBB">
      <w:pPr>
        <w:ind w:left="426" w:firstLine="294"/>
      </w:pPr>
      <w:r w:rsidRPr="00921B4A">
        <w:t xml:space="preserve">Dekker, Edmond </w:t>
      </w:r>
      <w:proofErr w:type="spellStart"/>
      <w:r w:rsidRPr="00921B4A">
        <w:t>H.h.m</w:t>
      </w:r>
      <w:proofErr w:type="spellEnd"/>
      <w:r w:rsidRPr="00921B4A">
        <w:t xml:space="preserve">. Rings, Albert K. </w:t>
      </w:r>
      <w:proofErr w:type="spellStart"/>
      <w:r w:rsidRPr="00921B4A">
        <w:t>Groen</w:t>
      </w:r>
      <w:proofErr w:type="spellEnd"/>
      <w:r w:rsidRPr="00921B4A">
        <w:t xml:space="preserve">, and </w:t>
      </w:r>
      <w:proofErr w:type="spellStart"/>
      <w:r w:rsidRPr="00921B4A">
        <w:t>Henkjan</w:t>
      </w:r>
      <w:proofErr w:type="spellEnd"/>
      <w:r w:rsidRPr="00921B4A">
        <w:t xml:space="preserve"> J. </w:t>
      </w:r>
      <w:proofErr w:type="spellStart"/>
      <w:r w:rsidRPr="00921B4A">
        <w:t>Verkade</w:t>
      </w:r>
      <w:proofErr w:type="spellEnd"/>
      <w:r w:rsidRPr="00921B4A">
        <w:t>. "Laxative</w:t>
      </w:r>
    </w:p>
    <w:p w:rsidR="00F64EBB" w:rsidRPr="00921B4A" w:rsidRDefault="00F64EBB" w:rsidP="00F64EBB">
      <w:pPr>
        <w:ind w:left="426" w:firstLine="294"/>
        <w:rPr>
          <w:i/>
        </w:rPr>
      </w:pPr>
      <w:r w:rsidRPr="00921B4A">
        <w:t xml:space="preserve">Treatment With Polyethylene Glycol Does Not Affect Lipid Absorption in Rats." </w:t>
      </w:r>
      <w:r w:rsidRPr="00921B4A">
        <w:rPr>
          <w:i/>
        </w:rPr>
        <w:t>Journal</w:t>
      </w:r>
    </w:p>
    <w:p w:rsidR="00F64EBB" w:rsidRPr="00921B4A" w:rsidRDefault="00F64EBB" w:rsidP="00F64EBB">
      <w:pPr>
        <w:ind w:left="426" w:firstLine="294"/>
      </w:pPr>
      <w:proofErr w:type="gramStart"/>
      <w:r w:rsidRPr="00921B4A">
        <w:rPr>
          <w:i/>
        </w:rPr>
        <w:t>of</w:t>
      </w:r>
      <w:proofErr w:type="gramEnd"/>
      <w:r w:rsidRPr="00921B4A">
        <w:rPr>
          <w:i/>
        </w:rPr>
        <w:t xml:space="preserve"> Pediatric Gastroenterology and Nutrition</w:t>
      </w:r>
      <w:r w:rsidRPr="00921B4A">
        <w:t xml:space="preserve"> 55.4 (2012): 457-62. Web. 14 June 2015.</w:t>
      </w:r>
    </w:p>
    <w:p w:rsidR="00F64EBB" w:rsidRPr="00921B4A" w:rsidRDefault="00F64EBB" w:rsidP="00F64EBB">
      <w:pPr>
        <w:rPr>
          <w:sz w:val="24"/>
          <w:szCs w:val="24"/>
        </w:rPr>
      </w:pPr>
    </w:p>
    <w:p w:rsidR="008335C6" w:rsidRPr="00921B4A" w:rsidRDefault="008335C6" w:rsidP="008335C6">
      <w:pPr>
        <w:pStyle w:val="ListParagraph"/>
        <w:numPr>
          <w:ilvl w:val="0"/>
          <w:numId w:val="5"/>
        </w:numPr>
        <w:spacing w:before="240"/>
        <w:contextualSpacing w:val="0"/>
        <w:rPr>
          <w:color w:val="BFBFBF" w:themeColor="background1" w:themeShade="BF"/>
          <w:sz w:val="24"/>
          <w:szCs w:val="24"/>
        </w:rPr>
      </w:pPr>
      <w:r w:rsidRPr="00921B4A">
        <w:rPr>
          <w:color w:val="BFBFBF" w:themeColor="background1" w:themeShade="BF"/>
          <w:sz w:val="24"/>
          <w:szCs w:val="24"/>
        </w:rPr>
        <w:t>Antacids</w:t>
      </w:r>
    </w:p>
    <w:p w:rsidR="008335C6" w:rsidRPr="00921B4A" w:rsidRDefault="008335C6" w:rsidP="008335C6">
      <w:pPr>
        <w:pStyle w:val="ListParagraph"/>
        <w:numPr>
          <w:ilvl w:val="0"/>
          <w:numId w:val="5"/>
        </w:numPr>
        <w:spacing w:before="240"/>
        <w:contextualSpacing w:val="0"/>
        <w:rPr>
          <w:color w:val="BFBFBF" w:themeColor="background1" w:themeShade="BF"/>
          <w:sz w:val="24"/>
          <w:szCs w:val="24"/>
        </w:rPr>
      </w:pPr>
      <w:r w:rsidRPr="00921B4A">
        <w:rPr>
          <w:color w:val="BFBFBF" w:themeColor="background1" w:themeShade="BF"/>
          <w:sz w:val="24"/>
          <w:szCs w:val="24"/>
        </w:rPr>
        <w:t>Anticonvulsants</w:t>
      </w:r>
    </w:p>
    <w:p w:rsidR="00F51848" w:rsidRPr="00921B4A" w:rsidRDefault="00F51848">
      <w:pPr>
        <w:spacing w:after="200" w:line="276" w:lineRule="auto"/>
        <w:rPr>
          <w:sz w:val="24"/>
          <w:szCs w:val="24"/>
        </w:rPr>
      </w:pPr>
      <w:r w:rsidRPr="00921B4A">
        <w:rPr>
          <w:sz w:val="24"/>
          <w:szCs w:val="24"/>
        </w:rPr>
        <w:br w:type="page"/>
      </w:r>
    </w:p>
    <w:p w:rsidR="000151C8" w:rsidRPr="00921B4A" w:rsidRDefault="000151C8" w:rsidP="000151C8">
      <w:pPr>
        <w:pStyle w:val="ListParagraph"/>
        <w:numPr>
          <w:ilvl w:val="1"/>
          <w:numId w:val="1"/>
        </w:numPr>
        <w:spacing w:before="240"/>
        <w:ind w:left="284" w:hanging="216"/>
        <w:contextualSpacing w:val="0"/>
        <w:rPr>
          <w:sz w:val="24"/>
          <w:szCs w:val="24"/>
        </w:rPr>
        <w:sectPr w:rsidR="000151C8" w:rsidRPr="00921B4A" w:rsidSect="004225AB">
          <w:type w:val="continuous"/>
          <w:pgSz w:w="12240" w:h="15840"/>
          <w:pgMar w:top="1440" w:right="1440" w:bottom="1440" w:left="1440" w:header="720" w:footer="720" w:gutter="0"/>
          <w:cols w:space="720"/>
          <w:docGrid w:linePitch="360"/>
        </w:sectPr>
      </w:pPr>
    </w:p>
    <w:p w:rsidR="00B35D25" w:rsidRPr="00921B4A" w:rsidRDefault="00B35D25" w:rsidP="005319C9">
      <w:pPr>
        <w:pStyle w:val="ListParagraph"/>
        <w:spacing w:before="240"/>
        <w:ind w:left="0"/>
        <w:contextualSpacing w:val="0"/>
        <w:rPr>
          <w:b/>
          <w:sz w:val="24"/>
          <w:szCs w:val="24"/>
        </w:rPr>
      </w:pPr>
      <w:r w:rsidRPr="00921B4A">
        <w:rPr>
          <w:b/>
          <w:sz w:val="24"/>
          <w:szCs w:val="24"/>
        </w:rPr>
        <w:lastRenderedPageBreak/>
        <w:t>You can do either D or E below</w:t>
      </w:r>
    </w:p>
    <w:p w:rsidR="00B35D25" w:rsidRPr="00921B4A" w:rsidRDefault="00B35D25" w:rsidP="00B35D25">
      <w:pPr>
        <w:pStyle w:val="ListParagraph"/>
        <w:numPr>
          <w:ilvl w:val="1"/>
          <w:numId w:val="1"/>
        </w:numPr>
        <w:spacing w:before="240"/>
        <w:contextualSpacing w:val="0"/>
        <w:rPr>
          <w:b/>
          <w:sz w:val="24"/>
          <w:szCs w:val="24"/>
        </w:rPr>
        <w:sectPr w:rsidR="00B35D25" w:rsidRPr="00921B4A" w:rsidSect="004225AB">
          <w:type w:val="continuous"/>
          <w:pgSz w:w="12240" w:h="15840"/>
          <w:pgMar w:top="1440" w:right="1440" w:bottom="1440" w:left="1440" w:header="720" w:footer="720" w:gutter="0"/>
          <w:cols w:space="720"/>
          <w:docGrid w:linePitch="360"/>
        </w:sectPr>
      </w:pPr>
    </w:p>
    <w:p w:rsidR="00AE591F" w:rsidRPr="00921B4A" w:rsidRDefault="0073731B" w:rsidP="00B35D25">
      <w:pPr>
        <w:pStyle w:val="ListParagraph"/>
        <w:numPr>
          <w:ilvl w:val="1"/>
          <w:numId w:val="1"/>
        </w:numPr>
        <w:spacing w:before="240"/>
        <w:ind w:left="426" w:hanging="358"/>
        <w:contextualSpacing w:val="0"/>
        <w:rPr>
          <w:sz w:val="24"/>
          <w:szCs w:val="24"/>
        </w:rPr>
      </w:pPr>
      <w:r w:rsidRPr="00921B4A">
        <w:rPr>
          <w:sz w:val="24"/>
          <w:szCs w:val="24"/>
          <w:u w:val="single"/>
        </w:rPr>
        <w:lastRenderedPageBreak/>
        <w:t xml:space="preserve">Personal Care </w:t>
      </w:r>
      <w:proofErr w:type="gramStart"/>
      <w:r w:rsidRPr="00921B4A">
        <w:rPr>
          <w:sz w:val="24"/>
          <w:szCs w:val="24"/>
          <w:u w:val="single"/>
        </w:rPr>
        <w:t>Products</w:t>
      </w:r>
      <w:r w:rsidR="00B35D25" w:rsidRPr="00921B4A">
        <w:rPr>
          <w:sz w:val="24"/>
          <w:szCs w:val="24"/>
          <w:u w:val="single"/>
        </w:rPr>
        <w:t xml:space="preserve"> </w:t>
      </w:r>
      <w:r w:rsidR="008335C6" w:rsidRPr="00921B4A">
        <w:rPr>
          <w:sz w:val="24"/>
          <w:szCs w:val="24"/>
        </w:rPr>
        <w:t>.</w:t>
      </w:r>
      <w:proofErr w:type="gramEnd"/>
      <w:r w:rsidR="008335C6" w:rsidRPr="00921B4A">
        <w:rPr>
          <w:sz w:val="24"/>
          <w:szCs w:val="24"/>
        </w:rPr>
        <w:t xml:space="preserve">  Select one </w:t>
      </w:r>
      <w:r w:rsidR="00BA3DE2" w:rsidRPr="00921B4A">
        <w:rPr>
          <w:sz w:val="24"/>
          <w:szCs w:val="24"/>
        </w:rPr>
        <w:t xml:space="preserve">of the product types and the named compound usually contained in it.  Discuss any facts on acute and chronic toxicity through dermal exposure, and discuss alternatives to </w:t>
      </w:r>
    </w:p>
    <w:p w:rsidR="0050498B" w:rsidRPr="00921B4A" w:rsidRDefault="00BA3DE2" w:rsidP="0073573F">
      <w:pPr>
        <w:pStyle w:val="ListParagraph"/>
        <w:numPr>
          <w:ilvl w:val="2"/>
          <w:numId w:val="1"/>
        </w:numPr>
        <w:spacing w:before="240"/>
        <w:ind w:left="709" w:hanging="322"/>
        <w:contextualSpacing w:val="0"/>
        <w:rPr>
          <w:color w:val="BFBFBF" w:themeColor="background1" w:themeShade="BF"/>
          <w:sz w:val="24"/>
          <w:szCs w:val="24"/>
        </w:rPr>
      </w:pPr>
      <w:r w:rsidRPr="00921B4A">
        <w:rPr>
          <w:color w:val="BFBFBF" w:themeColor="background1" w:themeShade="BF"/>
          <w:sz w:val="24"/>
          <w:szCs w:val="24"/>
        </w:rPr>
        <w:t>Lipstick: lead acetate</w:t>
      </w:r>
    </w:p>
    <w:p w:rsidR="00BA3DE2" w:rsidRPr="00921B4A" w:rsidRDefault="00BA3DE2" w:rsidP="0073573F">
      <w:pPr>
        <w:pStyle w:val="ListParagraph"/>
        <w:numPr>
          <w:ilvl w:val="2"/>
          <w:numId w:val="1"/>
        </w:numPr>
        <w:spacing w:before="240"/>
        <w:ind w:left="709" w:hanging="322"/>
        <w:contextualSpacing w:val="0"/>
        <w:rPr>
          <w:sz w:val="24"/>
          <w:szCs w:val="24"/>
          <w:highlight w:val="yellow"/>
        </w:rPr>
      </w:pPr>
      <w:r w:rsidRPr="00921B4A">
        <w:rPr>
          <w:sz w:val="24"/>
          <w:szCs w:val="24"/>
          <w:highlight w:val="yellow"/>
        </w:rPr>
        <w:t xml:space="preserve">Antiperspirants:  aluminum </w:t>
      </w:r>
      <w:proofErr w:type="spellStart"/>
      <w:r w:rsidRPr="00921B4A">
        <w:rPr>
          <w:sz w:val="24"/>
          <w:szCs w:val="24"/>
          <w:highlight w:val="yellow"/>
        </w:rPr>
        <w:t>chlorohydrate</w:t>
      </w:r>
      <w:proofErr w:type="spellEnd"/>
    </w:p>
    <w:p w:rsidR="00EC2231" w:rsidRPr="00921B4A" w:rsidRDefault="00EC2231" w:rsidP="00EC2231">
      <w:pPr>
        <w:spacing w:before="240"/>
        <w:ind w:left="387"/>
        <w:rPr>
          <w:sz w:val="24"/>
          <w:szCs w:val="24"/>
        </w:rPr>
      </w:pPr>
      <w:r w:rsidRPr="00921B4A">
        <w:rPr>
          <w:sz w:val="24"/>
          <w:szCs w:val="24"/>
        </w:rPr>
        <w:t xml:space="preserve">Aluminum </w:t>
      </w:r>
      <w:proofErr w:type="spellStart"/>
      <w:r w:rsidRPr="00921B4A">
        <w:rPr>
          <w:sz w:val="24"/>
          <w:szCs w:val="24"/>
        </w:rPr>
        <w:t>chlorohydrate</w:t>
      </w:r>
      <w:proofErr w:type="spellEnd"/>
      <w:r w:rsidRPr="00921B4A">
        <w:rPr>
          <w:sz w:val="24"/>
          <w:szCs w:val="24"/>
        </w:rPr>
        <w:t xml:space="preserve"> is the most common active ingredient in antiperspirants. The aluminum acts as a plug on the sweat ducts to temporarily prevent sweat to come to the surface of the skin. However, there are many risks associated with that. </w:t>
      </w:r>
    </w:p>
    <w:p w:rsidR="002D579A" w:rsidRPr="00921B4A" w:rsidRDefault="00EC2231" w:rsidP="00EC2231">
      <w:pPr>
        <w:spacing w:before="240"/>
        <w:ind w:left="387"/>
        <w:rPr>
          <w:sz w:val="24"/>
          <w:szCs w:val="24"/>
        </w:rPr>
      </w:pPr>
      <w:r w:rsidRPr="00921B4A">
        <w:rPr>
          <w:sz w:val="24"/>
          <w:szCs w:val="24"/>
          <w:u w:val="single"/>
        </w:rPr>
        <w:t>Acute toxicity:</w:t>
      </w:r>
      <w:r w:rsidRPr="00921B4A">
        <w:rPr>
          <w:sz w:val="24"/>
          <w:szCs w:val="24"/>
        </w:rPr>
        <w:t xml:space="preserve"> Most people can use antiperspirants with this compound without any harmful effects on the skin. However for some, it may cause irritation to the skin, eyes and respiratory system. It also may be harmful if swallowed. The oral toxicity is low to moderate with LD50 range of 162 – 750 mg of Al/kg body weight. </w:t>
      </w:r>
      <w:r w:rsidR="00712FDA" w:rsidRPr="00921B4A">
        <w:rPr>
          <w:sz w:val="24"/>
          <w:szCs w:val="24"/>
        </w:rPr>
        <w:t xml:space="preserve">There are very few studies that explore the effect of aluminum </w:t>
      </w:r>
      <w:proofErr w:type="spellStart"/>
      <w:r w:rsidR="00712FDA" w:rsidRPr="00921B4A">
        <w:rPr>
          <w:sz w:val="24"/>
          <w:szCs w:val="24"/>
        </w:rPr>
        <w:t>chlorohydrate</w:t>
      </w:r>
      <w:proofErr w:type="spellEnd"/>
      <w:r w:rsidR="00712FDA" w:rsidRPr="00921B4A">
        <w:rPr>
          <w:sz w:val="24"/>
          <w:szCs w:val="24"/>
        </w:rPr>
        <w:t xml:space="preserve"> so the effects are largely unknown. </w:t>
      </w:r>
    </w:p>
    <w:p w:rsidR="00EC2231" w:rsidRPr="00921B4A" w:rsidRDefault="00EC2231" w:rsidP="00EC2231">
      <w:pPr>
        <w:spacing w:before="240"/>
        <w:ind w:left="387"/>
        <w:rPr>
          <w:sz w:val="24"/>
          <w:szCs w:val="24"/>
        </w:rPr>
      </w:pPr>
      <w:r w:rsidRPr="00921B4A">
        <w:rPr>
          <w:sz w:val="24"/>
          <w:szCs w:val="24"/>
          <w:u w:val="single"/>
        </w:rPr>
        <w:t>Chronic toxicity:</w:t>
      </w:r>
      <w:r w:rsidRPr="00921B4A">
        <w:rPr>
          <w:sz w:val="24"/>
          <w:szCs w:val="24"/>
        </w:rPr>
        <w:t xml:space="preserve"> In long term exposure to the skin, it may be harm to people with kidney disorders as they are not able to eliminate it from their system as efficiently. </w:t>
      </w:r>
      <w:r w:rsidR="00425FAE" w:rsidRPr="00921B4A">
        <w:rPr>
          <w:sz w:val="24"/>
          <w:szCs w:val="24"/>
        </w:rPr>
        <w:t>There are a few questions that show a link below the use of underarm, antiperspirants and breast cancer. One study (</w:t>
      </w:r>
      <w:proofErr w:type="spellStart"/>
      <w:r w:rsidR="00425FAE" w:rsidRPr="00921B4A">
        <w:rPr>
          <w:sz w:val="24"/>
          <w:szCs w:val="24"/>
        </w:rPr>
        <w:t>Mannello</w:t>
      </w:r>
      <w:proofErr w:type="spellEnd"/>
      <w:r w:rsidR="00425FAE" w:rsidRPr="00921B4A">
        <w:rPr>
          <w:sz w:val="24"/>
          <w:szCs w:val="24"/>
        </w:rPr>
        <w:t xml:space="preserve"> et al., 2009</w:t>
      </w:r>
      <w:r w:rsidR="00425FAE" w:rsidRPr="00921B4A">
        <w:rPr>
          <w:sz w:val="24"/>
          <w:szCs w:val="24"/>
        </w:rPr>
        <w:t xml:space="preserve">) suggested that breast cysts could form is enough aluminum is absorbed through the skin into the breast tissue over the long-term. At this point, there is not enough information to suggest there is a causal relationship, only a correlation. </w:t>
      </w:r>
    </w:p>
    <w:p w:rsidR="00EC2231" w:rsidRPr="00921B4A" w:rsidRDefault="00EC2231" w:rsidP="00EC2231">
      <w:pPr>
        <w:spacing w:before="240"/>
        <w:ind w:left="387"/>
        <w:rPr>
          <w:sz w:val="24"/>
          <w:szCs w:val="24"/>
        </w:rPr>
      </w:pPr>
      <w:r w:rsidRPr="00921B4A">
        <w:rPr>
          <w:sz w:val="24"/>
          <w:szCs w:val="24"/>
          <w:u w:val="single"/>
        </w:rPr>
        <w:t>Alternatives</w:t>
      </w:r>
      <w:r w:rsidR="00425FAE" w:rsidRPr="00921B4A">
        <w:rPr>
          <w:sz w:val="24"/>
          <w:szCs w:val="24"/>
          <w:u w:val="single"/>
        </w:rPr>
        <w:t>:</w:t>
      </w:r>
      <w:r w:rsidR="00425FAE" w:rsidRPr="00921B4A">
        <w:rPr>
          <w:sz w:val="24"/>
          <w:szCs w:val="24"/>
        </w:rPr>
        <w:t xml:space="preserve"> There are many alternatives to antiperspirants with aluminum in it. Look for ones that are aluminum free or choose use deodorant instead so that your sweat ducts can be free, but you can still control the body odor. Some options include large crystals made from potassium aluminum sulfate that is wetted and applied to the underarm, corn starch and baking soda, and lemon juice. The large crystal, even though it as aluminum, the molecules are too large to be absorbed which is why it is a safer option. </w:t>
      </w:r>
    </w:p>
    <w:p w:rsidR="00921B4A" w:rsidRPr="00921B4A" w:rsidRDefault="00921B4A" w:rsidP="00EC2231">
      <w:pPr>
        <w:spacing w:before="240"/>
        <w:ind w:left="387"/>
      </w:pPr>
      <w:bookmarkStart w:id="0" w:name="_GoBack"/>
      <w:r w:rsidRPr="00921B4A">
        <w:rPr>
          <w:u w:val="single"/>
        </w:rPr>
        <w:t>Bibliography</w:t>
      </w:r>
    </w:p>
    <w:p w:rsidR="00921B4A" w:rsidRPr="00921B4A" w:rsidRDefault="00921B4A" w:rsidP="00921B4A">
      <w:pPr>
        <w:ind w:left="387"/>
      </w:pPr>
      <w:proofErr w:type="spellStart"/>
      <w:r w:rsidRPr="00921B4A">
        <w:t>Altivia</w:t>
      </w:r>
      <w:proofErr w:type="spellEnd"/>
      <w:r w:rsidRPr="00921B4A">
        <w:t xml:space="preserve">. "Aluminum </w:t>
      </w:r>
      <w:proofErr w:type="spellStart"/>
      <w:r w:rsidRPr="00921B4A">
        <w:t>Chlorohydrate</w:t>
      </w:r>
      <w:proofErr w:type="spellEnd"/>
      <w:r w:rsidRPr="00921B4A">
        <w:t xml:space="preserve">." </w:t>
      </w:r>
      <w:r w:rsidRPr="00921B4A">
        <w:rPr>
          <w:i/>
        </w:rPr>
        <w:t>Material Safety Data Sheet</w:t>
      </w:r>
      <w:r w:rsidRPr="00921B4A">
        <w:t xml:space="preserve"> (</w:t>
      </w:r>
      <w:proofErr w:type="spellStart"/>
      <w:r w:rsidRPr="00921B4A">
        <w:t>n.d.</w:t>
      </w:r>
      <w:proofErr w:type="spellEnd"/>
      <w:r w:rsidRPr="00921B4A">
        <w:t xml:space="preserve">): n. </w:t>
      </w:r>
      <w:proofErr w:type="spellStart"/>
      <w:r w:rsidRPr="00921B4A">
        <w:t>pag</w:t>
      </w:r>
      <w:proofErr w:type="spellEnd"/>
      <w:r w:rsidRPr="00921B4A">
        <w:t xml:space="preserve">. </w:t>
      </w:r>
      <w:proofErr w:type="spellStart"/>
      <w:r w:rsidRPr="00921B4A">
        <w:rPr>
          <w:i/>
        </w:rPr>
        <w:t>Altivia</w:t>
      </w:r>
      <w:proofErr w:type="spellEnd"/>
      <w:r w:rsidRPr="00921B4A">
        <w:t>. 31</w:t>
      </w:r>
    </w:p>
    <w:p w:rsidR="00921B4A" w:rsidRPr="00921B4A" w:rsidRDefault="00921B4A" w:rsidP="00921B4A">
      <w:pPr>
        <w:ind w:left="387" w:firstLine="333"/>
      </w:pPr>
      <w:r w:rsidRPr="00921B4A">
        <w:t>Jan. 2014. Web. 14 June 2015.</w:t>
      </w:r>
    </w:p>
    <w:p w:rsidR="00921B4A" w:rsidRPr="00921B4A" w:rsidRDefault="00921B4A" w:rsidP="00921B4A">
      <w:pPr>
        <w:ind w:left="387"/>
      </w:pPr>
      <w:proofErr w:type="spellStart"/>
      <w:r w:rsidRPr="00921B4A">
        <w:t>Mannello</w:t>
      </w:r>
      <w:proofErr w:type="spellEnd"/>
      <w:r w:rsidRPr="00921B4A">
        <w:t xml:space="preserve">, </w:t>
      </w:r>
      <w:proofErr w:type="spellStart"/>
      <w:r w:rsidRPr="00921B4A">
        <w:t>Ferdinando</w:t>
      </w:r>
      <w:proofErr w:type="spellEnd"/>
      <w:r w:rsidRPr="00921B4A">
        <w:t xml:space="preserve">, </w:t>
      </w:r>
      <w:proofErr w:type="spellStart"/>
      <w:r w:rsidRPr="00921B4A">
        <w:t>Gaetana</w:t>
      </w:r>
      <w:proofErr w:type="spellEnd"/>
      <w:r w:rsidRPr="00921B4A">
        <w:t xml:space="preserve"> A. Tonti, Virginia </w:t>
      </w:r>
      <w:proofErr w:type="spellStart"/>
      <w:r w:rsidRPr="00921B4A">
        <w:t>Medda</w:t>
      </w:r>
      <w:proofErr w:type="spellEnd"/>
      <w:r w:rsidRPr="00921B4A">
        <w:t xml:space="preserve">, </w:t>
      </w:r>
      <w:proofErr w:type="spellStart"/>
      <w:r w:rsidRPr="00921B4A">
        <w:t>Patrizia</w:t>
      </w:r>
      <w:proofErr w:type="spellEnd"/>
      <w:r w:rsidRPr="00921B4A">
        <w:t xml:space="preserve"> Simone, and Philippa </w:t>
      </w:r>
      <w:proofErr w:type="spellStart"/>
      <w:r w:rsidRPr="00921B4A">
        <w:t>D.</w:t>
      </w:r>
    </w:p>
    <w:p w:rsidR="00921B4A" w:rsidRPr="00921B4A" w:rsidRDefault="00921B4A" w:rsidP="00921B4A">
      <w:pPr>
        <w:ind w:left="387" w:firstLine="333"/>
      </w:pPr>
      <w:r w:rsidRPr="00921B4A">
        <w:t>Darbre</w:t>
      </w:r>
      <w:proofErr w:type="spellEnd"/>
      <w:r w:rsidRPr="00921B4A">
        <w:t xml:space="preserve">. "Analysis of </w:t>
      </w:r>
      <w:proofErr w:type="spellStart"/>
      <w:r w:rsidRPr="00921B4A">
        <w:t>Aluminium</w:t>
      </w:r>
      <w:proofErr w:type="spellEnd"/>
      <w:r w:rsidRPr="00921B4A">
        <w:t xml:space="preserve"> Content and Iron Homeostasis in Nipple Aspirate Fluids</w:t>
      </w:r>
    </w:p>
    <w:p w:rsidR="00921B4A" w:rsidRPr="00921B4A" w:rsidRDefault="00921B4A" w:rsidP="00921B4A">
      <w:pPr>
        <w:ind w:left="720"/>
      </w:pPr>
      <w:proofErr w:type="gramStart"/>
      <w:r w:rsidRPr="00921B4A">
        <w:t>from</w:t>
      </w:r>
      <w:proofErr w:type="gramEnd"/>
      <w:r w:rsidRPr="00921B4A">
        <w:t xml:space="preserve"> Healthy Women and Breast Cancer-affected Patients." </w:t>
      </w:r>
      <w:r w:rsidRPr="00921B4A">
        <w:rPr>
          <w:i/>
        </w:rPr>
        <w:t>Journal of Applied Toxicology</w:t>
      </w:r>
      <w:r w:rsidRPr="00921B4A">
        <w:t>. 31.3 (2011): 262-69. Web. 14 June 2015.</w:t>
      </w:r>
    </w:p>
    <w:p w:rsidR="00921B4A" w:rsidRPr="00921B4A" w:rsidRDefault="00921B4A" w:rsidP="00921B4A">
      <w:pPr>
        <w:ind w:left="387"/>
        <w:rPr>
          <w:i/>
        </w:rPr>
      </w:pPr>
      <w:proofErr w:type="spellStart"/>
      <w:r w:rsidRPr="00921B4A">
        <w:t>Tosa</w:t>
      </w:r>
      <w:proofErr w:type="spellEnd"/>
      <w:r w:rsidRPr="00921B4A">
        <w:t xml:space="preserve">, </w:t>
      </w:r>
      <w:proofErr w:type="spellStart"/>
      <w:r w:rsidRPr="00921B4A">
        <w:t>Yasunari</w:t>
      </w:r>
      <w:proofErr w:type="spellEnd"/>
      <w:r w:rsidRPr="00921B4A">
        <w:t xml:space="preserve">. "Opinion on the Safety of </w:t>
      </w:r>
      <w:proofErr w:type="spellStart"/>
      <w:r w:rsidRPr="00921B4A">
        <w:t>Aluminium</w:t>
      </w:r>
      <w:proofErr w:type="spellEnd"/>
      <w:r w:rsidRPr="00921B4A">
        <w:t xml:space="preserve"> in Cosmetic Products." </w:t>
      </w:r>
      <w:r w:rsidRPr="00921B4A">
        <w:rPr>
          <w:i/>
        </w:rPr>
        <w:t xml:space="preserve">Physical </w:t>
      </w:r>
    </w:p>
    <w:p w:rsidR="00921B4A" w:rsidRPr="00921B4A" w:rsidRDefault="00921B4A" w:rsidP="00921B4A">
      <w:pPr>
        <w:ind w:left="709"/>
      </w:pPr>
      <w:r w:rsidRPr="00921B4A">
        <w:rPr>
          <w:i/>
        </w:rPr>
        <w:t>Review D Phys.</w:t>
      </w:r>
      <w:r w:rsidRPr="00921B4A">
        <w:t xml:space="preserve"> 24.10 (1981): 2772. </w:t>
      </w:r>
      <w:r w:rsidRPr="00921B4A">
        <w:rPr>
          <w:i/>
        </w:rPr>
        <w:t>European Commission</w:t>
      </w:r>
      <w:r w:rsidRPr="00921B4A">
        <w:t>. 18 June 2014. Web. 14 June 2015.</w:t>
      </w:r>
    </w:p>
    <w:p w:rsidR="00921B4A" w:rsidRPr="00921B4A" w:rsidRDefault="00921B4A" w:rsidP="00921B4A">
      <w:pPr>
        <w:rPr>
          <w:i/>
        </w:rPr>
      </w:pPr>
    </w:p>
    <w:bookmarkEnd w:id="0"/>
    <w:p w:rsidR="00B35D25" w:rsidRPr="00921B4A" w:rsidRDefault="00B35D25" w:rsidP="00F51848">
      <w:pPr>
        <w:spacing w:before="240"/>
        <w:rPr>
          <w:sz w:val="24"/>
          <w:szCs w:val="24"/>
        </w:rPr>
      </w:pPr>
    </w:p>
    <w:sectPr w:rsidR="00B35D25" w:rsidRPr="00921B4A" w:rsidSect="004225A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3609C"/>
    <w:multiLevelType w:val="hybridMultilevel"/>
    <w:tmpl w:val="0128B180"/>
    <w:lvl w:ilvl="0" w:tplc="51D6D020">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481CDE"/>
    <w:multiLevelType w:val="hybridMultilevel"/>
    <w:tmpl w:val="AB60288E"/>
    <w:lvl w:ilvl="0" w:tplc="DA0EFD38">
      <w:start w:val="1"/>
      <w:numFmt w:val="upperLetter"/>
      <w:lvlText w:val="%1."/>
      <w:lvlJc w:val="right"/>
      <w:pPr>
        <w:ind w:left="720" w:hanging="360"/>
      </w:pPr>
      <w:rPr>
        <w:rFonts w:hint="default"/>
      </w:rPr>
    </w:lvl>
    <w:lvl w:ilvl="1" w:tplc="04090015">
      <w:start w:val="1"/>
      <w:numFmt w:val="upperLetter"/>
      <w:lvlText w:val="%2."/>
      <w:lvlJc w:val="left"/>
      <w:pPr>
        <w:ind w:left="1440" w:hanging="360"/>
      </w:pPr>
      <w:rPr>
        <w:rFonts w:hint="default"/>
      </w:rPr>
    </w:lvl>
    <w:lvl w:ilvl="2" w:tplc="0409000F">
      <w:start w:val="1"/>
      <w:numFmt w:val="decimal"/>
      <w:lvlText w:val="%3."/>
      <w:lvlJc w:val="left"/>
      <w:pPr>
        <w:ind w:left="18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AE0511"/>
    <w:multiLevelType w:val="hybridMultilevel"/>
    <w:tmpl w:val="F5BE22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52E3067A"/>
    <w:multiLevelType w:val="hybridMultilevel"/>
    <w:tmpl w:val="56568AF6"/>
    <w:lvl w:ilvl="0" w:tplc="DA0EFD38">
      <w:start w:val="1"/>
      <w:numFmt w:val="upperLetter"/>
      <w:lvlText w:val="%1."/>
      <w:lvlJc w:val="righ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47701D"/>
    <w:multiLevelType w:val="hybridMultilevel"/>
    <w:tmpl w:val="B1F205AE"/>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D94"/>
    <w:rsid w:val="000151C8"/>
    <w:rsid w:val="00096E37"/>
    <w:rsid w:val="000B5D4F"/>
    <w:rsid w:val="000E5FB1"/>
    <w:rsid w:val="000E64F1"/>
    <w:rsid w:val="000F0646"/>
    <w:rsid w:val="00103E04"/>
    <w:rsid w:val="001217DA"/>
    <w:rsid w:val="00127BA8"/>
    <w:rsid w:val="001573BE"/>
    <w:rsid w:val="001B170D"/>
    <w:rsid w:val="001E601B"/>
    <w:rsid w:val="002267B2"/>
    <w:rsid w:val="0022680F"/>
    <w:rsid w:val="00254078"/>
    <w:rsid w:val="00292A58"/>
    <w:rsid w:val="00293C06"/>
    <w:rsid w:val="0029650F"/>
    <w:rsid w:val="002D579A"/>
    <w:rsid w:val="003035B9"/>
    <w:rsid w:val="00323538"/>
    <w:rsid w:val="00387311"/>
    <w:rsid w:val="003B2868"/>
    <w:rsid w:val="003D40DD"/>
    <w:rsid w:val="0040274A"/>
    <w:rsid w:val="004225AB"/>
    <w:rsid w:val="00425FAE"/>
    <w:rsid w:val="004266A8"/>
    <w:rsid w:val="00433278"/>
    <w:rsid w:val="00447723"/>
    <w:rsid w:val="00465053"/>
    <w:rsid w:val="00466929"/>
    <w:rsid w:val="00473DF7"/>
    <w:rsid w:val="0048162F"/>
    <w:rsid w:val="00485019"/>
    <w:rsid w:val="0050498B"/>
    <w:rsid w:val="005167D6"/>
    <w:rsid w:val="005319C9"/>
    <w:rsid w:val="005400DB"/>
    <w:rsid w:val="00551EA9"/>
    <w:rsid w:val="00590153"/>
    <w:rsid w:val="005A748A"/>
    <w:rsid w:val="005B1010"/>
    <w:rsid w:val="005D2567"/>
    <w:rsid w:val="005D78E2"/>
    <w:rsid w:val="00627224"/>
    <w:rsid w:val="00646555"/>
    <w:rsid w:val="00656658"/>
    <w:rsid w:val="0067447F"/>
    <w:rsid w:val="006A1383"/>
    <w:rsid w:val="006C0C6A"/>
    <w:rsid w:val="006C6CC7"/>
    <w:rsid w:val="006E044D"/>
    <w:rsid w:val="006E10A7"/>
    <w:rsid w:val="006E7DEC"/>
    <w:rsid w:val="00702657"/>
    <w:rsid w:val="0071047A"/>
    <w:rsid w:val="00710595"/>
    <w:rsid w:val="00712FDA"/>
    <w:rsid w:val="00717B99"/>
    <w:rsid w:val="00722AA6"/>
    <w:rsid w:val="0072485C"/>
    <w:rsid w:val="00727596"/>
    <w:rsid w:val="007354E0"/>
    <w:rsid w:val="0073573F"/>
    <w:rsid w:val="0073731B"/>
    <w:rsid w:val="00746C85"/>
    <w:rsid w:val="007A5CDD"/>
    <w:rsid w:val="007B2485"/>
    <w:rsid w:val="00806DF5"/>
    <w:rsid w:val="0082327F"/>
    <w:rsid w:val="00823B03"/>
    <w:rsid w:val="008335C6"/>
    <w:rsid w:val="00892CC3"/>
    <w:rsid w:val="008D4A53"/>
    <w:rsid w:val="00921B4A"/>
    <w:rsid w:val="0092604E"/>
    <w:rsid w:val="00927825"/>
    <w:rsid w:val="00927C12"/>
    <w:rsid w:val="00935272"/>
    <w:rsid w:val="0097108D"/>
    <w:rsid w:val="009744F1"/>
    <w:rsid w:val="009A0D62"/>
    <w:rsid w:val="009B421C"/>
    <w:rsid w:val="009D3109"/>
    <w:rsid w:val="009E1244"/>
    <w:rsid w:val="00A03F3F"/>
    <w:rsid w:val="00A30E4F"/>
    <w:rsid w:val="00A527F8"/>
    <w:rsid w:val="00A77507"/>
    <w:rsid w:val="00AD6028"/>
    <w:rsid w:val="00AE4CD6"/>
    <w:rsid w:val="00AE591F"/>
    <w:rsid w:val="00B16744"/>
    <w:rsid w:val="00B22207"/>
    <w:rsid w:val="00B35D25"/>
    <w:rsid w:val="00B46081"/>
    <w:rsid w:val="00B54629"/>
    <w:rsid w:val="00B83F38"/>
    <w:rsid w:val="00BA3868"/>
    <w:rsid w:val="00BA3DE2"/>
    <w:rsid w:val="00BA51DC"/>
    <w:rsid w:val="00BB18C4"/>
    <w:rsid w:val="00BE7FD5"/>
    <w:rsid w:val="00C00602"/>
    <w:rsid w:val="00C1059E"/>
    <w:rsid w:val="00C8796D"/>
    <w:rsid w:val="00CA26B6"/>
    <w:rsid w:val="00D352E3"/>
    <w:rsid w:val="00D535AC"/>
    <w:rsid w:val="00D60DB7"/>
    <w:rsid w:val="00D6332B"/>
    <w:rsid w:val="00D82963"/>
    <w:rsid w:val="00D97285"/>
    <w:rsid w:val="00DA1574"/>
    <w:rsid w:val="00DB70FF"/>
    <w:rsid w:val="00E82E73"/>
    <w:rsid w:val="00EB4678"/>
    <w:rsid w:val="00EB72CC"/>
    <w:rsid w:val="00EC2231"/>
    <w:rsid w:val="00ED0F4C"/>
    <w:rsid w:val="00F30C56"/>
    <w:rsid w:val="00F33AB0"/>
    <w:rsid w:val="00F36958"/>
    <w:rsid w:val="00F41D94"/>
    <w:rsid w:val="00F51848"/>
    <w:rsid w:val="00F64EBB"/>
    <w:rsid w:val="00FA045F"/>
    <w:rsid w:val="00FE4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8EB3899-F132-43D3-813B-495DEE9D8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1D94"/>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F41D94"/>
    <w:pPr>
      <w:keepNext/>
      <w:tabs>
        <w:tab w:val="left" w:pos="720"/>
        <w:tab w:val="left" w:pos="3600"/>
        <w:tab w:val="right" w:pos="8640"/>
      </w:tabs>
      <w:outlineLvl w:val="0"/>
    </w:pPr>
    <w:rPr>
      <w:sz w:val="24"/>
    </w:rPr>
  </w:style>
  <w:style w:type="paragraph" w:styleId="Heading2">
    <w:name w:val="heading 2"/>
    <w:basedOn w:val="Normal"/>
    <w:next w:val="Normal"/>
    <w:link w:val="Heading2Char"/>
    <w:qFormat/>
    <w:rsid w:val="00F41D94"/>
    <w:pPr>
      <w:keepNext/>
      <w:tabs>
        <w:tab w:val="left" w:pos="720"/>
        <w:tab w:val="left" w:pos="3600"/>
        <w:tab w:val="right" w:pos="8640"/>
      </w:tabs>
      <w:outlineLvl w:val="1"/>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1D94"/>
    <w:rPr>
      <w:rFonts w:ascii="Times New Roman" w:eastAsia="Times New Roman" w:hAnsi="Times New Roman" w:cs="Times New Roman"/>
      <w:sz w:val="24"/>
      <w:szCs w:val="20"/>
    </w:rPr>
  </w:style>
  <w:style w:type="character" w:customStyle="1" w:styleId="Heading2Char">
    <w:name w:val="Heading 2 Char"/>
    <w:basedOn w:val="DefaultParagraphFont"/>
    <w:link w:val="Heading2"/>
    <w:rsid w:val="00F41D94"/>
    <w:rPr>
      <w:rFonts w:ascii="Times New Roman" w:eastAsia="Times New Roman" w:hAnsi="Times New Roman" w:cs="Times New Roman"/>
      <w:b/>
      <w:bCs/>
      <w:sz w:val="24"/>
      <w:szCs w:val="20"/>
    </w:rPr>
  </w:style>
  <w:style w:type="paragraph" w:styleId="ListParagraph">
    <w:name w:val="List Paragraph"/>
    <w:basedOn w:val="Normal"/>
    <w:uiPriority w:val="34"/>
    <w:qFormat/>
    <w:rsid w:val="00590153"/>
    <w:pPr>
      <w:ind w:left="720"/>
      <w:contextualSpacing/>
    </w:pPr>
  </w:style>
  <w:style w:type="character" w:styleId="Hyperlink">
    <w:name w:val="Hyperlink"/>
    <w:basedOn w:val="DefaultParagraphFont"/>
    <w:uiPriority w:val="99"/>
    <w:unhideWhenUsed/>
    <w:rsid w:val="00722AA6"/>
    <w:rPr>
      <w:color w:val="0000FF" w:themeColor="hyperlink"/>
      <w:u w:val="single"/>
    </w:rPr>
  </w:style>
  <w:style w:type="paragraph" w:styleId="BalloonText">
    <w:name w:val="Balloon Text"/>
    <w:basedOn w:val="Normal"/>
    <w:link w:val="BalloonTextChar"/>
    <w:uiPriority w:val="99"/>
    <w:semiHidden/>
    <w:unhideWhenUsed/>
    <w:rsid w:val="00A77507"/>
    <w:rPr>
      <w:rFonts w:ascii="Tahoma" w:hAnsi="Tahoma" w:cs="Tahoma"/>
      <w:sz w:val="16"/>
      <w:szCs w:val="16"/>
    </w:rPr>
  </w:style>
  <w:style w:type="character" w:customStyle="1" w:styleId="BalloonTextChar">
    <w:name w:val="Balloon Text Char"/>
    <w:basedOn w:val="DefaultParagraphFont"/>
    <w:link w:val="BalloonText"/>
    <w:uiPriority w:val="99"/>
    <w:semiHidden/>
    <w:rsid w:val="00A77507"/>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1B170D"/>
    <w:rPr>
      <w:color w:val="800080" w:themeColor="followedHyperlink"/>
      <w:u w:val="single"/>
    </w:rPr>
  </w:style>
  <w:style w:type="paragraph" w:styleId="PlainText">
    <w:name w:val="Plain Text"/>
    <w:basedOn w:val="Normal"/>
    <w:link w:val="PlainTextChar"/>
    <w:uiPriority w:val="99"/>
    <w:semiHidden/>
    <w:unhideWhenUsed/>
    <w:rsid w:val="00CA26B6"/>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CA26B6"/>
    <w:rPr>
      <w:rFonts w:ascii="Calibri" w:hAnsi="Calibri"/>
      <w:szCs w:val="21"/>
    </w:rPr>
  </w:style>
  <w:style w:type="character" w:customStyle="1" w:styleId="apple-converted-space">
    <w:name w:val="apple-converted-space"/>
    <w:basedOn w:val="DefaultParagraphFont"/>
    <w:rsid w:val="000B5D4F"/>
  </w:style>
  <w:style w:type="character" w:styleId="Emphasis">
    <w:name w:val="Emphasis"/>
    <w:basedOn w:val="DefaultParagraphFont"/>
    <w:uiPriority w:val="20"/>
    <w:qFormat/>
    <w:rsid w:val="00F64EB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367060">
      <w:bodyDiv w:val="1"/>
      <w:marLeft w:val="0"/>
      <w:marRight w:val="0"/>
      <w:marTop w:val="0"/>
      <w:marBottom w:val="0"/>
      <w:divBdr>
        <w:top w:val="none" w:sz="0" w:space="0" w:color="auto"/>
        <w:left w:val="none" w:sz="0" w:space="0" w:color="auto"/>
        <w:bottom w:val="none" w:sz="0" w:space="0" w:color="auto"/>
        <w:right w:val="none" w:sz="0" w:space="0" w:color="auto"/>
      </w:divBdr>
    </w:div>
    <w:div w:id="262154909">
      <w:bodyDiv w:val="1"/>
      <w:marLeft w:val="120"/>
      <w:marRight w:val="120"/>
      <w:marTop w:val="120"/>
      <w:marBottom w:val="120"/>
      <w:divBdr>
        <w:top w:val="none" w:sz="0" w:space="0" w:color="auto"/>
        <w:left w:val="none" w:sz="0" w:space="0" w:color="auto"/>
        <w:bottom w:val="none" w:sz="0" w:space="0" w:color="auto"/>
        <w:right w:val="none" w:sz="0" w:space="0" w:color="auto"/>
      </w:divBdr>
    </w:div>
    <w:div w:id="332729882">
      <w:bodyDiv w:val="1"/>
      <w:marLeft w:val="120"/>
      <w:marRight w:val="120"/>
      <w:marTop w:val="120"/>
      <w:marBottom w:val="120"/>
      <w:divBdr>
        <w:top w:val="none" w:sz="0" w:space="0" w:color="auto"/>
        <w:left w:val="none" w:sz="0" w:space="0" w:color="auto"/>
        <w:bottom w:val="none" w:sz="0" w:space="0" w:color="auto"/>
        <w:right w:val="none" w:sz="0" w:space="0" w:color="auto"/>
      </w:divBdr>
    </w:div>
    <w:div w:id="184674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smhbizness@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halloran@lifewest.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2B21882E-338A-48A2-AC54-E57D045FB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5</Pages>
  <Words>1908</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djohnson</dc:creator>
  <cp:lastModifiedBy>J C</cp:lastModifiedBy>
  <cp:revision>28</cp:revision>
  <dcterms:created xsi:type="dcterms:W3CDTF">2015-06-08T11:43:00Z</dcterms:created>
  <dcterms:modified xsi:type="dcterms:W3CDTF">2015-06-14T22:06:00Z</dcterms:modified>
</cp:coreProperties>
</file>