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домашней работе № 2</w:t>
      </w:r>
    </w:p>
    <w:p>
      <w:pPr>
        <w:pStyle w:val="Subtitle"/>
      </w:pPr>
      <w:r>
        <w:t xml:space="preserve">Расчёт сети Fast Ethernet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</w:p>
    <w:p>
      <w:pPr>
        <w:pStyle w:val="BodyText"/>
      </w:pPr>
      <w:r>
        <w:t xml:space="preserve">Конфигурации сети приведены в табл. 10.4. Топология сети представлена на рис. 10.4.</w:t>
      </w:r>
    </w:p>
    <w:bookmarkEnd w:id="21"/>
    <w:bookmarkStart w:id="63" w:name="выполнение-домашне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домашней работы</w:t>
      </w:r>
    </w:p>
    <w:bookmarkStart w:id="26" w:name="алгоритм-расчёта-моделей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Алгоритм расчёта моделей</w:t>
      </w:r>
    </w:p>
    <w:p>
      <w:pPr>
        <w:pStyle w:val="FirstParagraph"/>
      </w:pPr>
      <w:r>
        <w:t xml:space="preserve">Перед выполнением расчётов необходимо чётко определить порядок действий для каждой модели. Алгоритм расчёта представлен на рис. 1.</w:t>
      </w:r>
    </w:p>
    <w:bookmarkStart w:id="25" w:name="fig:001"/>
    <w:p>
      <w:pPr>
        <w:pStyle w:val="CaptionedFigure"/>
      </w:pPr>
      <w:r>
        <w:drawing>
          <wp:inline>
            <wp:extent cx="3733800" cy="2004065"/>
            <wp:effectExtent b="0" l="0" r="0" t="0"/>
            <wp:docPr descr="Рис. 1: Алгоритм расчёта моделей" title="" id="23" name="Picture"/>
            <a:graphic>
              <a:graphicData uri="http://schemas.openxmlformats.org/drawingml/2006/picture">
                <pic:pic>
                  <pic:nvPicPr>
                    <pic:cNvPr descr="/home/mavinogradova/skreens/hw2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Алгоритм расчёта моделей</w:t>
      </w:r>
    </w:p>
    <w:bookmarkEnd w:id="25"/>
    <w:p>
      <w:pPr>
        <w:pStyle w:val="BodyText"/>
      </w:pPr>
      <w:r>
        <w:rPr>
          <w:b/>
          <w:bCs/>
        </w:rPr>
        <w:t xml:space="preserve">Первая модель</w:t>
      </w:r>
      <w:r>
        <w:t xml:space="preserve"> </w:t>
      </w:r>
      <w:r>
        <w:t xml:space="preserve">— это набор правил построения сети. Согласно методичке, длина каждого сегмента витой пары должна быть меньше 100 м, длина каждого оптоволоконного сегмента — меньше 412 м, а кабели MII — меньше 0,5 м. Также проверяется диаметр домена коллизий: для двух повторителей класса II он не должен превышать 205 м. Если оба условия выполнены — сеть, скорее всего, работает.</w:t>
      </w:r>
    </w:p>
    <w:p>
      <w:pPr>
        <w:pStyle w:val="BodyText"/>
      </w:pPr>
      <w:r>
        <w:rPr>
          <w:b/>
          <w:bCs/>
        </w:rPr>
        <w:t xml:space="preserve">Вторая модель</w:t>
      </w:r>
      <w:r>
        <w:t xml:space="preserve"> </w:t>
      </w:r>
      <w:r>
        <w:t xml:space="preserve">— это точный расчёт времени двойного оборота. Он выполняется для наихудшего (в смысле распространения сигнала) пути между двумя узлами домена коллизий. Расчёт ведётся путём суммирования временных задержек в сегментах, повторителях и терминалах. К полученному результату рекомендуется добавить ещё 4 битовых интервала и сравнить с числом 512. Если результат не превышает 512 би, сеть считается работоспособной.</w:t>
      </w:r>
    </w:p>
    <w:bookmarkEnd w:id="26"/>
    <w:bookmarkStart w:id="31" w:name="теоретические-сведения-о-моделях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Теоретические сведения о моделях</w:t>
      </w:r>
    </w:p>
    <w:p>
      <w:pPr>
        <w:pStyle w:val="FirstParagraph"/>
      </w:pPr>
      <w:r>
        <w:t xml:space="preserve">Подтверждение информации о первой и второй моделях Fast Ethernet из методички представлено на рис. 2.</w:t>
      </w:r>
    </w:p>
    <w:bookmarkStart w:id="30" w:name="fig:002"/>
    <w:p>
      <w:pPr>
        <w:pStyle w:val="CaptionedFigure"/>
      </w:pPr>
      <w:r>
        <w:drawing>
          <wp:inline>
            <wp:extent cx="3733800" cy="2152545"/>
            <wp:effectExtent b="0" l="0" r="0" t="0"/>
            <wp:docPr descr="Рис. 2: Подтверждение информации о моделях" title="" id="28" name="Picture"/>
            <a:graphic>
              <a:graphicData uri="http://schemas.openxmlformats.org/drawingml/2006/picture">
                <pic:pic>
                  <pic:nvPicPr>
                    <pic:cNvPr descr="/home/mavinogradova/skreens/hw2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Подтверждение информации о моделях</w:t>
      </w:r>
    </w:p>
    <w:bookmarkEnd w:id="30"/>
    <w:p>
      <w:pPr>
        <w:pStyle w:val="BodyText"/>
      </w:pPr>
      <w:r>
        <w:t xml:space="preserve">В тексте методички (раздел 10.2.2.1) сказано, что первая модель представляет собой набор правил построения сети, а вторая модель содержит последовательность расчётов временных параметров сети при полудуплексном режиме обмена данными. Диаметр домена коллизий и количество сегментов в нём ограничены временем двойного оборота, необходимым для правильной работы механизма обнаружения и разрешения коллизий. Время двойного оборота рассчитывается для наихудшего пути между двумя узлами домена коллизий и получается путём суммирования временных задержек в сегментах, повторителях и терминалах.</w:t>
      </w:r>
    </w:p>
    <w:bookmarkEnd w:id="31"/>
    <w:bookmarkStart w:id="36" w:name="данные-необходимые-для-расчётов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Данные, необходимые для расчётов</w:t>
      </w:r>
    </w:p>
    <w:p>
      <w:pPr>
        <w:pStyle w:val="FirstParagraph"/>
      </w:pPr>
      <w:r>
        <w:t xml:space="preserve">Для выполнения расчётов используем сводные данные: длины сегментов для всех шести вариантов и константы, необходимые для второй модели (рис. 3).</w:t>
      </w:r>
    </w:p>
    <w:bookmarkStart w:id="35" w:name="fig:003"/>
    <w:p>
      <w:pPr>
        <w:pStyle w:val="CaptionedFigure"/>
      </w:pPr>
      <w:r>
        <w:drawing>
          <wp:inline>
            <wp:extent cx="3733800" cy="2832065"/>
            <wp:effectExtent b="0" l="0" r="0" t="0"/>
            <wp:docPr descr="Рис. 3: Данные, необходимые для просчётов" title="" id="33" name="Picture"/>
            <a:graphic>
              <a:graphicData uri="http://schemas.openxmlformats.org/drawingml/2006/picture">
                <pic:pic>
                  <pic:nvPicPr>
                    <pic:cNvPr descr="/home/mavinogradova/skreens/hw2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Данные, необходимые для просчётов</w:t>
      </w:r>
    </w:p>
    <w:bookmarkEnd w:id="35"/>
    <w:p>
      <w:pPr>
        <w:pStyle w:val="BodyText"/>
      </w:pPr>
      <w:r>
        <w:t xml:space="preserve">Из рисунка видно, что для первой модели используются пределы: диаметр ≤ 205 м, длина сегмента ≤ 100 м. Для второй модели: пара терминалов — 100 бит, повторитель класса II — 92 бита, витая пара категории 5 — 1,112 бит/м, предел времени двойного оборота — 512 бит.</w:t>
      </w:r>
    </w:p>
    <w:bookmarkEnd w:id="36"/>
    <w:bookmarkStart w:id="41" w:name="варианты-заданий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Варианты заданий</w:t>
      </w:r>
    </w:p>
    <w:p>
      <w:pPr>
        <w:pStyle w:val="FirstParagraph"/>
      </w:pPr>
      <w:r>
        <w:t xml:space="preserve">Конфигурации сети для шести вариантов представлены в табл. 10.4 (рис. 4).</w:t>
      </w:r>
    </w:p>
    <w:bookmarkStart w:id="40" w:name="fig:004"/>
    <w:p>
      <w:pPr>
        <w:pStyle w:val="CaptionedFigure"/>
      </w:pPr>
      <w:r>
        <w:drawing>
          <wp:inline>
            <wp:extent cx="3733800" cy="2379784"/>
            <wp:effectExtent b="0" l="0" r="0" t="0"/>
            <wp:docPr descr="Рис. 4: Варианты заданий (Таблица 10.4)" title="" id="38" name="Picture"/>
            <a:graphic>
              <a:graphicData uri="http://schemas.openxmlformats.org/drawingml/2006/picture">
                <pic:pic>
                  <pic:nvPicPr>
                    <pic:cNvPr descr="/home/mavinogradova/skreens/hw2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Варианты заданий (Таблица 10.4)</w:t>
      </w:r>
    </w:p>
    <w:bookmarkEnd w:id="40"/>
    <w:p>
      <w:pPr>
        <w:pStyle w:val="BodyText"/>
      </w:pPr>
      <w:r>
        <w:t xml:space="preserve">Каждый вариант содержит длины шести сегментов витой пары 100BASE-TX. Топология сети (рис. 10.4 методички) включает два повторителя класса II, пять узлов и шесть сегментов.</w:t>
      </w:r>
    </w:p>
    <w:bookmarkEnd w:id="41"/>
    <w:bookmarkStart w:id="46" w:name="X08cdcf2f516f9385753cd35f08ec5555f0f784f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Предельные параметры и временные задержки</w:t>
      </w:r>
    </w:p>
    <w:p>
      <w:pPr>
        <w:pStyle w:val="FirstParagraph"/>
      </w:pPr>
      <w:r>
        <w:t xml:space="preserve">Предельно допустимый диаметр домена коллизий (табл. 10.1) и временные задержки компонентов сети Fast Ethernet (табл. 10.2) представлены на рис. 5.</w:t>
      </w:r>
    </w:p>
    <w:bookmarkStart w:id="45" w:name="fig:005"/>
    <w:p>
      <w:pPr>
        <w:pStyle w:val="CaptionedFigure"/>
      </w:pPr>
      <w:r>
        <w:drawing>
          <wp:inline>
            <wp:extent cx="3733800" cy="4675510"/>
            <wp:effectExtent b="0" l="0" r="0" t="0"/>
            <wp:docPr descr="Рис. 5: Таблицы 10.1 и 10.2" title="" id="43" name="Picture"/>
            <a:graphic>
              <a:graphicData uri="http://schemas.openxmlformats.org/drawingml/2006/picture">
                <pic:pic>
                  <pic:nvPicPr>
                    <pic:cNvPr descr="/home/mavinogradova/skreens/hw2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Таблицы 10.1 и 10.2</w:t>
      </w:r>
    </w:p>
    <w:bookmarkEnd w:id="45"/>
    <w:p>
      <w:pPr>
        <w:pStyle w:val="BodyText"/>
      </w:pPr>
      <w:r>
        <w:t xml:space="preserve">Из табл. 10.1 следует, что для двух повторителей класса II предельный диаметр домена коллизий составляет 205 м для сегментов TX/T4 и 216,2 м для сочетания сегментов TX и FX. Из табл. 10.2 берутся значения задержек: пара терминалов TX/FX — 100 бит, повторитель класса II с портами TX/FX — 92 бита, витая пара категории 5 — 1,112 бит/м.</w:t>
      </w:r>
    </w:p>
    <w:bookmarkEnd w:id="46"/>
    <w:bookmarkStart w:id="51" w:name="расчёт-первой-модели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Расчёт первой модели</w:t>
      </w:r>
    </w:p>
    <w:p>
      <w:pPr>
        <w:pStyle w:val="FirstParagraph"/>
      </w:pPr>
      <w:r>
        <w:t xml:space="preserve">Для каждого варианта определим самый длинный путь между двумя наиболее удалёнными узлами и вычислим диаметр домена коллизий. Результаты расчёта представлены на рис. 6.</w:t>
      </w:r>
    </w:p>
    <w:bookmarkStart w:id="50" w:name="fig:006"/>
    <w:p>
      <w:pPr>
        <w:pStyle w:val="CaptionedFigure"/>
      </w:pPr>
      <w:r>
        <w:drawing>
          <wp:inline>
            <wp:extent cx="3733800" cy="1530858"/>
            <wp:effectExtent b="0" l="0" r="0" t="0"/>
            <wp:docPr descr="Рис. 6: Результаты первой модели" title="" id="48" name="Picture"/>
            <a:graphic>
              <a:graphicData uri="http://schemas.openxmlformats.org/drawingml/2006/picture">
                <pic:pic>
                  <pic:nvPicPr>
                    <pic:cNvPr descr="/home/mavinogradova/skreens/hw2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Результаты первой модели</w:t>
      </w:r>
    </w:p>
    <w:bookmarkEnd w:id="50"/>
    <w:p>
      <w:pPr>
        <w:pStyle w:val="BodyText"/>
      </w:pPr>
      <w:r>
        <w:t xml:space="preserve">Проверка условия: диаметр не должен превышать 205 м. Как видно из рисунка, варианты 1, 3 и 4 удовлетворяют условию (198 м, 200 м и 170 м соответственно), а варианты 2, 5 и 6 — нет (283 м, 210 м и 207 м соответственно). Таким образом, по первой модели скорее всего работают сети: 1, 3, 4.</w:t>
      </w:r>
    </w:p>
    <w:bookmarkEnd w:id="51"/>
    <w:bookmarkStart w:id="56" w:name="расчёт-второй-модели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Расчёт второй модели</w:t>
      </w:r>
    </w:p>
    <w:p>
      <w:pPr>
        <w:pStyle w:val="FirstParagraph"/>
      </w:pPr>
      <w:r>
        <w:t xml:space="preserve">Для второй модели используем данные из табл. 10.2 и рассчитываем время двойного оборота для наихудшего пути каждого варианта. Расчёты представлены на рис. 7.</w:t>
      </w:r>
    </w:p>
    <w:bookmarkStart w:id="55" w:name="fig:007"/>
    <w:p>
      <w:pPr>
        <w:pStyle w:val="CaptionedFigure"/>
      </w:pPr>
      <w:r>
        <w:drawing>
          <wp:inline>
            <wp:extent cx="3733800" cy="3412202"/>
            <wp:effectExtent b="0" l="0" r="0" t="0"/>
            <wp:docPr descr="Рис. 7: Результаты второй модели" title="" id="53" name="Picture"/>
            <a:graphic>
              <a:graphicData uri="http://schemas.openxmlformats.org/drawingml/2006/picture">
                <pic:pic>
                  <pic:nvPicPr>
                    <pic:cNvPr descr="/home/mavinogradova/skreens/hw2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Результаты второй модели</w:t>
      </w:r>
    </w:p>
    <w:bookmarkEnd w:id="55"/>
    <w:p>
      <w:pPr>
        <w:pStyle w:val="BodyText"/>
      </w:pPr>
      <w:r>
        <w:t xml:space="preserve">В расчётах использованы формулы:</w:t>
      </w:r>
      <w:r>
        <w:t xml:space="preserve"> </w:t>
      </w:r>
      <w:r>
        <w:t xml:space="preserve">- для пути через два повторителя:</w:t>
      </w:r>
      <w:r>
        <w:t xml:space="preserve"> </w:t>
      </w:r>
      <w:r>
        <w:rPr>
          <w:rStyle w:val="VerbatimChar"/>
        </w:rPr>
        <w:t xml:space="preserve">Время = (пара терминалов) + (повторитель × 2) + (Сег_а × уд. задержка) + (Сег_б × уд. задержка) + (Сег_в × уд. задержка)</w:t>
      </w:r>
      <w:r>
        <w:t xml:space="preserve">;</w:t>
      </w:r>
      <w:r>
        <w:t xml:space="preserve"> </w:t>
      </w:r>
      <w:r>
        <w:t xml:space="preserve">- для пути через один повторитель:</w:t>
      </w:r>
      <w:r>
        <w:t xml:space="preserve"> </w:t>
      </w:r>
      <w:r>
        <w:rPr>
          <w:rStyle w:val="VerbatimChar"/>
        </w:rPr>
        <w:t xml:space="preserve">Время = (пара терминалов) + (повторитель) + (Сег_а × уд. задержка) + (Сег_б × уд. задержка)</w:t>
      </w:r>
      <w:r>
        <w:t xml:space="preserve">.</w:t>
      </w:r>
    </w:p>
    <w:p>
      <w:pPr>
        <w:pStyle w:val="BodyText"/>
      </w:pPr>
      <w:r>
        <w:t xml:space="preserve">Полученные значения времени двойного оборота: вариант 1 — 504,176 бит; вариант 2 — 598,696 бит; вариант 3 — 506,4 бит; вариант 4 — 381,04 бит; вариант 5 — 517,52 бит; вариант 6 — 514,184 бит. Сравнение с пределом 512 бит показывает, что варианты 1, 3 и 4 удовлетворяют условию, а варианты 2, 5 и 6 — нет. Таким образом, по второй модели точно работают сети: 1, 3, 4.</w:t>
      </w:r>
    </w:p>
    <w:bookmarkEnd w:id="56"/>
    <w:bookmarkStart w:id="61" w:name="общий-вывод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Общий вывод</w:t>
      </w:r>
    </w:p>
    <w:p>
      <w:pPr>
        <w:pStyle w:val="FirstParagraph"/>
      </w:pPr>
      <w:r>
        <w:t xml:space="preserve">Общий результат по обеим моделям представлен на рис. 8.</w:t>
      </w:r>
    </w:p>
    <w:bookmarkStart w:id="60" w:name="fig:008"/>
    <w:p>
      <w:pPr>
        <w:pStyle w:val="CaptionedFigure"/>
      </w:pPr>
      <w:r>
        <w:drawing>
          <wp:inline>
            <wp:extent cx="3733800" cy="1442261"/>
            <wp:effectExtent b="0" l="0" r="0" t="0"/>
            <wp:docPr descr="Рис. 8: Общий вывод" title="" id="58" name="Picture"/>
            <a:graphic>
              <a:graphicData uri="http://schemas.openxmlformats.org/drawingml/2006/picture">
                <pic:pic>
                  <pic:nvPicPr>
                    <pic:cNvPr descr="/home/mavinogradova/skreens/hw2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Общий вывод</w:t>
      </w:r>
    </w:p>
    <w:bookmarkEnd w:id="60"/>
    <w:p>
      <w:pPr>
        <w:pStyle w:val="BodyText"/>
      </w:pPr>
      <w:r>
        <w:t xml:space="preserve">Итоговая таблица показывает, что варианты 1, 3 и 4 работоспособны по обеим моделям, а варианты 2, 5 и 6 — неработоспособны.</w:t>
      </w:r>
    </w:p>
    <w:bookmarkEnd w:id="61"/>
    <w:bookmarkStart w:id="62" w:name="вывод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домашней работы были изучены принципы технологий Ethernet и Fast Ethernet, а также освоены методики оценки работоспособности сети Fast Ethernet. Для шести вариантов конфигурации сети были выполнены расчёты по первой и второй моделям. По первой модели проверялись длины сегментов и диаметр домена коллизий; по второй — время двойного оборота. В результате варианты 1, 3 и 4 оказались работоспособными, а варианты 2, 5 и 6 — неработоспособными из-за превышения допустимого диаметра и времени двойного оборота.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домашней работе № 2</dc:title>
  <dc:creator>Виноградова Мария Андреевна</dc:creator>
  <dc:language>ru-RU</dc:language>
  <cp:keywords/>
  <dcterms:created xsi:type="dcterms:W3CDTF">2026-09-25T16:48:21Z</dcterms:created>
  <dcterms:modified xsi:type="dcterms:W3CDTF">2026-09-25T16:48:21Z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Расчёт сети Fast Ethernet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