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11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114" w:name="выполнение-упражн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Выполнение упражнения</w:t>
      </w:r>
    </w:p>
    <w:p>
      <w:pPr>
        <w:pStyle w:val="FirstParagraph"/>
      </w:pPr>
      <w:r>
        <w:t xml:space="preserve">Скачиваем emacs. (рис. 1).</w:t>
      </w:r>
    </w:p>
    <w:bookmarkStart w:id="25" w:name="fig:001"/>
    <w:p>
      <w:pPr>
        <w:pStyle w:val="CaptionedFigure"/>
      </w:pPr>
      <w:r>
        <w:drawing>
          <wp:inline>
            <wp:extent cx="3733800" cy="609996"/>
            <wp:effectExtent b="0" l="0" r="0" t="0"/>
            <wp:docPr descr="Рис. 1: Скачиваем emacs" title="" id="23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9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Скачиваем emacs</w:t>
      </w:r>
    </w:p>
    <w:bookmarkEnd w:id="25"/>
    <w:p>
      <w:pPr>
        <w:pStyle w:val="Compact"/>
        <w:numPr>
          <w:ilvl w:val="0"/>
          <w:numId w:val="1002"/>
        </w:numPr>
      </w:pPr>
      <w:r>
        <w:t xml:space="preserve">Открыть emacs. (рис. 2).</w:t>
      </w:r>
    </w:p>
    <w:bookmarkStart w:id="29" w:name="fig:002"/>
    <w:p>
      <w:pPr>
        <w:pStyle w:val="CaptionedFigure"/>
      </w:pPr>
      <w:r>
        <w:drawing>
          <wp:inline>
            <wp:extent cx="3733800" cy="4039610"/>
            <wp:effectExtent b="0" l="0" r="0" t="0"/>
            <wp:docPr descr="Рис. 2: Открываем emacs" title="" id="27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Открываем emacs</w:t>
      </w:r>
    </w:p>
    <w:bookmarkEnd w:id="29"/>
    <w:p>
      <w:pPr>
        <w:pStyle w:val="Compact"/>
        <w:numPr>
          <w:ilvl w:val="0"/>
          <w:numId w:val="1003"/>
        </w:numPr>
      </w:pPr>
      <w:r>
        <w:t xml:space="preserve">Создать файл lab07.sh с помощью комбинации Ctrl-x Ctrl-f (C-x C-f). (рис. 3).</w:t>
      </w:r>
    </w:p>
    <w:bookmarkStart w:id="33" w:name="fig:003"/>
    <w:p>
      <w:pPr>
        <w:pStyle w:val="CaptionedFigure"/>
      </w:pPr>
      <w:r>
        <w:drawing>
          <wp:inline>
            <wp:extent cx="3733800" cy="4943759"/>
            <wp:effectExtent b="0" l="0" r="0" t="0"/>
            <wp:docPr descr="Рис. 3: Создаем файл lab07.sh" title="" id="31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4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Создаем файл lab07.sh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Наберите текст. (рис. 4).</w:t>
      </w:r>
    </w:p>
    <w:bookmarkStart w:id="37" w:name="fig:004"/>
    <w:p>
      <w:pPr>
        <w:pStyle w:val="CaptionedFigure"/>
      </w:pPr>
      <w:r>
        <w:drawing>
          <wp:inline>
            <wp:extent cx="3733800" cy="2427156"/>
            <wp:effectExtent b="0" l="0" r="0" t="0"/>
            <wp:docPr descr="Рис. 4: Набираем текст" title="" id="35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Набираем текст</w:t>
      </w:r>
    </w:p>
    <w:bookmarkEnd w:id="37"/>
    <w:p>
      <w:pPr>
        <w:numPr>
          <w:ilvl w:val="0"/>
          <w:numId w:val="1005"/>
        </w:numPr>
      </w:pPr>
      <w:r>
        <w:t xml:space="preserve">Сохранить файл с помощью комбинации Ctrl-x Ctrl-s (C-x C-s).</w:t>
      </w:r>
    </w:p>
    <w:p>
      <w:pPr>
        <w:numPr>
          <w:ilvl w:val="0"/>
          <w:numId w:val="1005"/>
        </w:numPr>
      </w:pPr>
      <w:r>
        <w:t xml:space="preserve">Проделать с текстом стандартные процедуры редактирования, каждое действие должно осуществляться комбинацией клавиш:</w:t>
      </w:r>
      <w:r>
        <w:t xml:space="preserve"> </w:t>
      </w:r>
      <w:r>
        <w:t xml:space="preserve">5.1. Вырезать одной командой целую строку (С-k). (рис. 5).</w:t>
      </w:r>
    </w:p>
    <w:bookmarkStart w:id="41" w:name="fig:005"/>
    <w:p>
      <w:pPr>
        <w:pStyle w:val="CaptionedFigure"/>
      </w:pPr>
      <w:r>
        <w:drawing>
          <wp:inline>
            <wp:extent cx="2672861" cy="2692044"/>
            <wp:effectExtent b="0" l="0" r="0" t="0"/>
            <wp:docPr descr="Рис. 5: Вырезаем строку" title="" id="39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861" cy="269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Вырезаем строку</w:t>
      </w:r>
    </w:p>
    <w:bookmarkEnd w:id="41"/>
    <w:p>
      <w:pPr>
        <w:pStyle w:val="BodyText"/>
      </w:pPr>
      <w:r>
        <w:t xml:space="preserve">5.2. Вставить эту строку в конец файла (C-y). (рис. 6).</w:t>
      </w:r>
    </w:p>
    <w:bookmarkStart w:id="45" w:name="fig:006"/>
    <w:p>
      <w:pPr>
        <w:pStyle w:val="CaptionedFigure"/>
      </w:pPr>
      <w:r>
        <w:drawing>
          <wp:inline>
            <wp:extent cx="3733800" cy="1708014"/>
            <wp:effectExtent b="0" l="0" r="0" t="0"/>
            <wp:docPr descr="Рис. 6: Вставляем строку" title="" id="43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Вставляем строку</w:t>
      </w:r>
    </w:p>
    <w:bookmarkEnd w:id="45"/>
    <w:p>
      <w:pPr>
        <w:pStyle w:val="BodyText"/>
      </w:pPr>
      <w:r>
        <w:t xml:space="preserve">5.3. Выделить область текста (C-space). (рис. 7).</w:t>
      </w:r>
    </w:p>
    <w:bookmarkStart w:id="49" w:name="fig:007"/>
    <w:p>
      <w:pPr>
        <w:pStyle w:val="CaptionedFigure"/>
      </w:pPr>
      <w:r>
        <w:drawing>
          <wp:inline>
            <wp:extent cx="3733800" cy="2137932"/>
            <wp:effectExtent b="0" l="0" r="0" t="0"/>
            <wp:docPr descr="Рис. 7: Выделяем область текста" title="" id="47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Выделяем область текста</w:t>
      </w:r>
    </w:p>
    <w:bookmarkEnd w:id="49"/>
    <w:p>
      <w:pPr>
        <w:pStyle w:val="BodyText"/>
      </w:pPr>
      <w:r>
        <w:t xml:space="preserve">5.4. Скопировать область в буфер обмена (M-w).</w:t>
      </w:r>
    </w:p>
    <w:p>
      <w:pPr>
        <w:pStyle w:val="BodyText"/>
      </w:pPr>
      <w:r>
        <w:t xml:space="preserve">5.5. Вставить область в конец файла. (рис. 8).</w:t>
      </w:r>
    </w:p>
    <w:bookmarkStart w:id="53" w:name="fig:008"/>
    <w:p>
      <w:pPr>
        <w:pStyle w:val="CaptionedFigure"/>
      </w:pPr>
      <w:r>
        <w:drawing>
          <wp:inline>
            <wp:extent cx="3733800" cy="2403411"/>
            <wp:effectExtent b="0" l="0" r="0" t="0"/>
            <wp:docPr descr="Рис. 8: Вставляем область текста в конец файла" title="" id="51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Вставляем область текста в конец файла</w:t>
      </w:r>
    </w:p>
    <w:bookmarkEnd w:id="53"/>
    <w:p>
      <w:pPr>
        <w:pStyle w:val="BodyText"/>
      </w:pPr>
      <w:r>
        <w:t xml:space="preserve">5.6. Вновь выделить эту область и на этот раз вырезать её (C-w). (рис. 9).</w:t>
      </w:r>
    </w:p>
    <w:bookmarkStart w:id="57" w:name="fig:009"/>
    <w:p>
      <w:pPr>
        <w:pStyle w:val="CaptionedFigure"/>
      </w:pPr>
      <w:r>
        <w:drawing>
          <wp:inline>
            <wp:extent cx="2282802" cy="2154914"/>
            <wp:effectExtent b="0" l="0" r="0" t="0"/>
            <wp:docPr descr="Рис. 9: Вновь выделяем область и вырезаем её" title="" id="55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02" cy="215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Вновь выделяем область и вырезаем её</w:t>
      </w:r>
    </w:p>
    <w:bookmarkEnd w:id="57"/>
    <w:p>
      <w:pPr>
        <w:pStyle w:val="BodyText"/>
      </w:pPr>
      <w:r>
        <w:t xml:space="preserve">5.7. Отмените последнее действие (C-/). (рис. 10).</w:t>
      </w:r>
    </w:p>
    <w:bookmarkStart w:id="61" w:name="fig:010"/>
    <w:p>
      <w:pPr>
        <w:pStyle w:val="CaptionedFigure"/>
      </w:pPr>
      <w:r>
        <w:drawing>
          <wp:inline>
            <wp:extent cx="3733800" cy="2510728"/>
            <wp:effectExtent b="0" l="0" r="0" t="0"/>
            <wp:docPr descr="Рис. 10: Отменяем последнее действие" title="" id="59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Отменяем последнее действие</w:t>
      </w:r>
    </w:p>
    <w:bookmarkEnd w:id="61"/>
    <w:p>
      <w:pPr>
        <w:pStyle w:val="Compact"/>
        <w:numPr>
          <w:ilvl w:val="0"/>
          <w:numId w:val="1006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 (рис. 11).</w:t>
      </w:r>
    </w:p>
    <w:bookmarkStart w:id="65" w:name="fig:011"/>
    <w:p>
      <w:pPr>
        <w:pStyle w:val="CaptionedFigure"/>
      </w:pPr>
      <w:r>
        <w:drawing>
          <wp:inline>
            <wp:extent cx="3733800" cy="2619714"/>
            <wp:effectExtent b="0" l="0" r="0" t="0"/>
            <wp:docPr descr="Рис. 11: Перемещаем курсор в начало строки" title="" id="63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Перемещаем курсор в начало строки</w:t>
      </w:r>
    </w:p>
    <w:bookmarkEnd w:id="65"/>
    <w:p>
      <w:pPr>
        <w:pStyle w:val="BodyText"/>
      </w:pPr>
      <w:r>
        <w:t xml:space="preserve">6.2. Переместите курсор в конец строки (C-e). (рис. 12).</w:t>
      </w:r>
    </w:p>
    <w:bookmarkStart w:id="69" w:name="fig:012"/>
    <w:p>
      <w:pPr>
        <w:pStyle w:val="CaptionedFigure"/>
      </w:pPr>
      <w:r>
        <w:drawing>
          <wp:inline>
            <wp:extent cx="3733800" cy="2210214"/>
            <wp:effectExtent b="0" l="0" r="0" t="0"/>
            <wp:docPr descr="Рис. 12: Перемещаем курсор в конец строки" title="" id="67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Перемещаем курсор в конец строки</w:t>
      </w:r>
    </w:p>
    <w:bookmarkEnd w:id="69"/>
    <w:p>
      <w:pPr>
        <w:pStyle w:val="BodyText"/>
      </w:pPr>
      <w:r>
        <w:t xml:space="preserve">6.3. Переместите курсор в начало буфера (M-&lt;). (рис. 13).</w:t>
      </w:r>
    </w:p>
    <w:bookmarkStart w:id="73" w:name="fig:013"/>
    <w:p>
      <w:pPr>
        <w:pStyle w:val="CaptionedFigure"/>
      </w:pPr>
      <w:r>
        <w:drawing>
          <wp:inline>
            <wp:extent cx="3733800" cy="4970969"/>
            <wp:effectExtent b="0" l="0" r="0" t="0"/>
            <wp:docPr descr="Рис. 13: Перемещаем курсор в начало буфера" title="" id="71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Перемещаем курсор в начало буфера</w:t>
      </w:r>
    </w:p>
    <w:bookmarkEnd w:id="73"/>
    <w:p>
      <w:pPr>
        <w:pStyle w:val="BodyText"/>
      </w:pP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7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 (рис. 14).</w:t>
      </w:r>
    </w:p>
    <w:bookmarkStart w:id="77" w:name="fig:014"/>
    <w:p>
      <w:pPr>
        <w:pStyle w:val="CaptionedFigure"/>
      </w:pPr>
      <w:r>
        <w:drawing>
          <wp:inline>
            <wp:extent cx="3733800" cy="4012164"/>
            <wp:effectExtent b="0" l="0" r="0" t="0"/>
            <wp:docPr descr="Рис. 14: Выводим список активных буферов на экран" title="" id="75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2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Выводим список активных буферов на экран</w:t>
      </w:r>
    </w:p>
    <w:bookmarkEnd w:id="77"/>
    <w:p>
      <w:pPr>
        <w:pStyle w:val="BodyText"/>
      </w:pPr>
      <w:r>
        <w:t xml:space="preserve">7.2. Переместитесь во вновь открытое окно (C-x) o со списком открытых буферов и переключитесь на другой буфер. (рис. 15).</w:t>
      </w:r>
    </w:p>
    <w:bookmarkStart w:id="81" w:name="fig:015"/>
    <w:p>
      <w:pPr>
        <w:pStyle w:val="CaptionedFigure"/>
      </w:pPr>
      <w:r>
        <w:drawing>
          <wp:inline>
            <wp:extent cx="3733800" cy="1551078"/>
            <wp:effectExtent b="0" l="0" r="0" t="0"/>
            <wp:docPr descr="Рис. 15: Переключаемся на другой буфер" title="" id="79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Переключаемся на другой буфер</w:t>
      </w:r>
    </w:p>
    <w:bookmarkEnd w:id="81"/>
    <w:p>
      <w:pPr>
        <w:pStyle w:val="BodyText"/>
      </w:pPr>
      <w:r>
        <w:t xml:space="preserve">7.3. Закройте это окно (C-x 0). (рис. 16).</w:t>
      </w:r>
    </w:p>
    <w:bookmarkStart w:id="85" w:name="fig:016"/>
    <w:p>
      <w:pPr>
        <w:pStyle w:val="CaptionedFigure"/>
      </w:pPr>
      <w:r>
        <w:drawing>
          <wp:inline>
            <wp:extent cx="3733800" cy="4951100"/>
            <wp:effectExtent b="0" l="0" r="0" t="0"/>
            <wp:docPr descr="Рис. 16: Закрываем это окно" title="" id="83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Закрываем это окно</w:t>
      </w:r>
    </w:p>
    <w:bookmarkEnd w:id="85"/>
    <w:p>
      <w:pPr>
        <w:pStyle w:val="BodyText"/>
      </w:pPr>
      <w:r>
        <w:t xml:space="preserve">7.4. Теперь вновь переключайтесь между буферами, но уже без вывода их списка на экран (C-x b). (рис. 17).</w:t>
      </w:r>
    </w:p>
    <w:bookmarkStart w:id="89" w:name="fig:017"/>
    <w:p>
      <w:pPr>
        <w:pStyle w:val="CaptionedFigure"/>
      </w:pPr>
      <w:r>
        <w:drawing>
          <wp:inline>
            <wp:extent cx="3733800" cy="4124676"/>
            <wp:effectExtent b="0" l="0" r="0" t="0"/>
            <wp:docPr descr="Рис. 17: Переключаемся между буферами без списка" title="" id="87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Переключаемся между буферами без списка</w:t>
      </w:r>
    </w:p>
    <w:bookmarkEnd w:id="89"/>
    <w:p>
      <w:pPr>
        <w:pStyle w:val="Compact"/>
        <w:numPr>
          <w:ilvl w:val="0"/>
          <w:numId w:val="1008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 а затем каждое из этих окон на две части по горизонтали (C-x 2). (рис. 18).</w:t>
      </w:r>
    </w:p>
    <w:bookmarkStart w:id="93" w:name="fig:018"/>
    <w:p>
      <w:pPr>
        <w:pStyle w:val="CaptionedFigure"/>
      </w:pPr>
      <w:r>
        <w:drawing>
          <wp:inline>
            <wp:extent cx="3733800" cy="4980896"/>
            <wp:effectExtent b="0" l="0" r="0" t="0"/>
            <wp:docPr descr="Рис. 18: Переключаемся между буферами без списка" title="" id="91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8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Переключаемся между буферами без списка</w:t>
      </w:r>
    </w:p>
    <w:bookmarkEnd w:id="93"/>
    <w:p>
      <w:pPr>
        <w:pStyle w:val="BodyText"/>
      </w:pPr>
      <w:r>
        <w:t xml:space="preserve">8.2. В каждом из четырёх созданных окон откройте новый буфер (файл) и введите несколько строк текста. (рис. 19).</w:t>
      </w:r>
    </w:p>
    <w:bookmarkStart w:id="97" w:name="fig:019"/>
    <w:p>
      <w:pPr>
        <w:pStyle w:val="CaptionedFigure"/>
      </w:pPr>
      <w:r>
        <w:drawing>
          <wp:inline>
            <wp:extent cx="3733800" cy="4904095"/>
            <wp:effectExtent b="0" l="0" r="0" t="0"/>
            <wp:docPr descr="Рис. 19: Создаем новые файлы и пишем в них пару строчек текста" title="" id="95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Создаем новые файлы и пишем в них пару строчек текста</w:t>
      </w:r>
    </w:p>
    <w:bookmarkEnd w:id="97"/>
    <w:p>
      <w:pPr>
        <w:pStyle w:val="Compact"/>
        <w:numPr>
          <w:ilvl w:val="0"/>
          <w:numId w:val="1009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 в тексте. (рис. 20).</w:t>
      </w:r>
    </w:p>
    <w:bookmarkStart w:id="101" w:name="fig:020"/>
    <w:p>
      <w:pPr>
        <w:pStyle w:val="CaptionedFigure"/>
      </w:pPr>
      <w:r>
        <w:drawing>
          <wp:inline>
            <wp:extent cx="3733800" cy="4930388"/>
            <wp:effectExtent b="0" l="0" r="0" t="0"/>
            <wp:docPr descr="Рис. 20: Переключаемся в режим поиска" title="" id="99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0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Переключаемся в режим поиска</w:t>
      </w:r>
    </w:p>
    <w:bookmarkEnd w:id="101"/>
    <w:p>
      <w:pPr>
        <w:pStyle w:val="BodyText"/>
      </w:pPr>
      <w:r>
        <w:t xml:space="preserve">9.2. Переключайтесь между результатами поиска, нажимая C-s. (рис. 21).</w:t>
      </w:r>
    </w:p>
    <w:bookmarkStart w:id="105" w:name="fig:021"/>
    <w:p>
      <w:pPr>
        <w:pStyle w:val="CaptionedFigure"/>
      </w:pPr>
      <w:r>
        <w:drawing>
          <wp:inline>
            <wp:extent cx="3126864" cy="2647283"/>
            <wp:effectExtent b="0" l="0" r="0" t="0"/>
            <wp:docPr descr="Рис. 21: Переключаемся между результатами поиска" title="" id="103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864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Переключаемся между результатами поиска</w:t>
      </w:r>
    </w:p>
    <w:bookmarkEnd w:id="105"/>
    <w:p>
      <w:pPr>
        <w:pStyle w:val="BodyText"/>
      </w:pPr>
      <w:r>
        <w:t xml:space="preserve">9.3. Выйдите из режима поиска, нажав C-g.</w:t>
      </w:r>
    </w:p>
    <w:p>
      <w:pPr>
        <w:pStyle w:val="BodyText"/>
      </w:pPr>
      <w:r>
        <w:t xml:space="preserve">9.4. Перейдите в режим поиска и замены (M-%), введите текст, который следует найти и заменить, нажмите Enter , затем введите текст для замены. После того как будут подсвечены результаты поиска, нажмите ! для подтверждения замены. (рис. 22).</w:t>
      </w:r>
    </w:p>
    <w:bookmarkStart w:id="109" w:name="fig:022"/>
    <w:p>
      <w:pPr>
        <w:pStyle w:val="CaptionedFigure"/>
      </w:pPr>
      <w:r>
        <w:drawing>
          <wp:inline>
            <wp:extent cx="3733800" cy="4988356"/>
            <wp:effectExtent b="0" l="0" r="0" t="0"/>
            <wp:docPr descr="Рис. 22: Заменяем слово" title="" id="107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88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Заменяем слово</w:t>
      </w:r>
    </w:p>
    <w:bookmarkEnd w:id="109"/>
    <w:p>
      <w:pPr>
        <w:pStyle w:val="BodyText"/>
      </w:pPr>
      <w:r>
        <w:t xml:space="preserve">9.5. Испробуйте другой режим поиска, нажав M-s o. Объясните, чем он отличается от обычного режима? (рис. 23).</w:t>
      </w:r>
    </w:p>
    <w:bookmarkStart w:id="113" w:name="fig:023"/>
    <w:p>
      <w:pPr>
        <w:pStyle w:val="CaptionedFigure"/>
      </w:pPr>
      <w:r>
        <w:drawing>
          <wp:inline>
            <wp:extent cx="3733800" cy="4114647"/>
            <wp:effectExtent b="0" l="0" r="0" t="0"/>
            <wp:docPr descr="Рис. 23: Используем другой режим поиска" title="" id="111" name="Picture"/>
            <a:graphic>
              <a:graphicData uri="http://schemas.openxmlformats.org/drawingml/2006/picture">
                <pic:pic>
                  <pic:nvPicPr>
                    <pic:cNvPr descr="/home/mavinogradova/skreens/skreens%2011/СКРИНЫ11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Используем другой режим поиска</w:t>
      </w:r>
    </w:p>
    <w:bookmarkEnd w:id="113"/>
    <w:bookmarkEnd w:id="114"/>
    <w:bookmarkStart w:id="115" w:name="ответы-на-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10"/>
        </w:numPr>
      </w:pPr>
      <w:r>
        <w:t xml:space="preserve">Emacs — мощный расширяемый текстовый редактор с поддержкой множества языков программирования, встроенной документацией и возможностью тонкой настройки всех аспектов работы. Отличается интерактивностью и широкими возможностями автоматизации.</w:t>
      </w:r>
    </w:p>
    <w:p>
      <w:pPr>
        <w:numPr>
          <w:ilvl w:val="0"/>
          <w:numId w:val="1010"/>
        </w:numPr>
      </w:pPr>
      <w:r>
        <w:t xml:space="preserve">Сложности для новичков:</w:t>
      </w:r>
    </w:p>
    <w:p>
      <w:pPr>
        <w:pStyle w:val="FirstParagraph"/>
      </w:pPr>
      <w:r>
        <w:t xml:space="preserve">Нестандартные сочетания клавиш (Ctrl/Alt комбинации)</w:t>
      </w:r>
      <w:r>
        <w:t xml:space="preserve"> </w:t>
      </w:r>
      <w:r>
        <w:t xml:space="preserve">Одновременная работа с множеством буферов и окон</w:t>
      </w:r>
      <w:r>
        <w:t xml:space="preserve"> </w:t>
      </w:r>
      <w:r>
        <w:t xml:space="preserve">Обилие функций и команд</w:t>
      </w:r>
      <w:r>
        <w:t xml:space="preserve"> </w:t>
      </w:r>
      <w:r>
        <w:t xml:space="preserve">Необходимость изучения основ Elisp для глубокой настройки</w:t>
      </w:r>
    </w:p>
    <w:p>
      <w:pPr>
        <w:numPr>
          <w:ilvl w:val="0"/>
          <w:numId w:val="1011"/>
        </w:numPr>
      </w:pPr>
      <w:r>
        <w:t xml:space="preserve">Буфер в терминологии Emacs — это объект, содержащий редактируемый текст (файл, результаты команд, справку и т.д.). Аналог вкладки в современных редакторах, но более функциональный.</w:t>
      </w:r>
    </w:p>
    <w:p>
      <w:pPr>
        <w:numPr>
          <w:ilvl w:val="0"/>
          <w:numId w:val="1011"/>
        </w:numPr>
      </w:pPr>
      <w:r>
        <w:t xml:space="preserve">Да, можно открыть сколько угодно буферов в одном окне (ограничение — только ресурсы системы). Управление через список буферов (C-x C-b).</w:t>
      </w:r>
    </w:p>
    <w:p>
      <w:pPr>
        <w:numPr>
          <w:ilvl w:val="0"/>
          <w:numId w:val="1011"/>
        </w:numPr>
      </w:pPr>
      <w:r>
        <w:t xml:space="preserve">Буферы по умолчанию:</w:t>
      </w:r>
    </w:p>
    <w:p>
      <w:pPr>
        <w:pStyle w:val="FirstParagraph"/>
      </w:pPr>
      <w:r>
        <w:rPr>
          <w:i/>
          <w:iCs/>
        </w:rPr>
        <w:t xml:space="preserve">scratch</w:t>
      </w:r>
      <w:r>
        <w:t xml:space="preserve"> </w:t>
      </w:r>
      <w:r>
        <w:t xml:space="preserve">(буфер для экспериментов)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(системные сообщения)</w:t>
      </w:r>
      <w:r>
        <w:t xml:space="preserve"> </w:t>
      </w:r>
      <w:r>
        <w:rPr>
          <w:i/>
          <w:iCs/>
        </w:rPr>
        <w:t xml:space="preserve">GNU Emacs</w:t>
      </w:r>
      <w:r>
        <w:t xml:space="preserve"> </w:t>
      </w:r>
      <w:r>
        <w:t xml:space="preserve">(справка)</w:t>
      </w:r>
    </w:p>
    <w:p>
      <w:pPr>
        <w:numPr>
          <w:ilvl w:val="0"/>
          <w:numId w:val="1012"/>
        </w:numPr>
      </w:pPr>
      <w:r>
        <w:t xml:space="preserve">Для ввода C-c |:</w:t>
      </w:r>
      <w:r>
        <w:t xml:space="preserve"> </w:t>
      </w:r>
      <w:r>
        <w:t xml:space="preserve">Удерживая Ctrl, нажать c, отпустить, затем нажать |</w:t>
      </w:r>
      <w:r>
        <w:t xml:space="preserve"> </w:t>
      </w:r>
      <w:r>
        <w:t xml:space="preserve">Для C-c C-|:</w:t>
      </w:r>
      <w:r>
        <w:t xml:space="preserve"> </w:t>
      </w:r>
      <w:r>
        <w:t xml:space="preserve">Удерживая Ctrl, нажать c, затем (не отпуская Ctrl) нажать |</w:t>
      </w:r>
    </w:p>
    <w:p>
      <w:pPr>
        <w:numPr>
          <w:ilvl w:val="0"/>
          <w:numId w:val="1012"/>
        </w:numPr>
      </w:pPr>
      <w:r>
        <w:t xml:space="preserve">Разделение окна:</w:t>
      </w:r>
    </w:p>
    <w:p>
      <w:pPr>
        <w:pStyle w:val="FirstParagraph"/>
      </w:pPr>
      <w:r>
        <w:t xml:space="preserve">Горизонтально: C-x 2</w:t>
      </w:r>
      <w:r>
        <w:t xml:space="preserve"> </w:t>
      </w:r>
      <w:r>
        <w:t xml:space="preserve">Вертикально: C-x 3</w:t>
      </w:r>
    </w:p>
    <w:p>
      <w:pPr>
        <w:numPr>
          <w:ilvl w:val="0"/>
          <w:numId w:val="1013"/>
        </w:numPr>
      </w:pPr>
      <w:r>
        <w:t xml:space="preserve">Настройки хранятся в файле ~/.emacs или ~/.emacs.d/init.el</w:t>
      </w:r>
    </w:p>
    <w:p>
      <w:pPr>
        <w:numPr>
          <w:ilvl w:val="0"/>
          <w:numId w:val="1013"/>
        </w:numPr>
      </w:pPr>
      <w:r>
        <w:t xml:space="preserve">Клавиша → выполняет функцию перемещения курсора вправо.</w:t>
      </w:r>
    </w:p>
    <w:p>
      <w:pPr>
        <w:numPr>
          <w:ilvl w:val="0"/>
          <w:numId w:val="1013"/>
        </w:numPr>
      </w:pPr>
      <w:r>
        <w:t xml:space="preserve">Сравнение vi/Emacs (личное мнение):</w:t>
      </w:r>
      <w:r>
        <w:t xml:space="preserve"> </w:t>
      </w:r>
      <w:r>
        <w:t xml:space="preserve">Vi удобнее для быстрого редактирования в терминале благодаря:</w:t>
      </w:r>
    </w:p>
    <w:p>
      <w:pPr>
        <w:pStyle w:val="FirstParagraph"/>
      </w:pPr>
      <w:r>
        <w:t xml:space="preserve">Модальному редактированию</w:t>
      </w:r>
      <w:r>
        <w:t xml:space="preserve"> </w:t>
      </w:r>
      <w:r>
        <w:t xml:space="preserve">Меньшему потреблению ресурсов</w:t>
      </w:r>
      <w:r>
        <w:t xml:space="preserve"> </w:t>
      </w:r>
      <w:r>
        <w:t xml:space="preserve">Стандартному наличию во всех UNIX-системах</w:t>
      </w:r>
    </w:p>
    <w:p>
      <w:pPr>
        <w:pStyle w:val="BodyText"/>
      </w:pPr>
      <w:r>
        <w:t xml:space="preserve">Emacs мощнее для:</w:t>
      </w:r>
    </w:p>
    <w:p>
      <w:pPr>
        <w:pStyle w:val="BodyText"/>
      </w:pPr>
      <w:r>
        <w:t xml:space="preserve">Работы с кодом (встроенный IDE-функционал)</w:t>
      </w:r>
      <w:r>
        <w:t xml:space="preserve"> </w:t>
      </w:r>
      <w:r>
        <w:t xml:space="preserve">Гибкой настройки среды</w:t>
      </w:r>
      <w:r>
        <w:t xml:space="preserve"> </w:t>
      </w:r>
      <w:r>
        <w:t xml:space="preserve">Долгой работы с текстами</w:t>
      </w:r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Здесь кратко описываются итоги проделанной работы.</w:t>
      </w:r>
    </w:p>
    <w:bookmarkEnd w:id="115"/>
    <w:bookmarkEnd w:id="116"/>
    <w:bookmarkStart w:id="118" w:name="список-литературы"/>
    <w:p>
      <w:pPr>
        <w:pStyle w:val="Heading1"/>
      </w:pPr>
      <w:r>
        <w:t xml:space="preserve">Список литературы</w:t>
      </w:r>
    </w:p>
    <w:bookmarkStart w:id="117" w:name="refs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№11</dc:title>
  <dc:creator>Виноградова Мария Андреевна</dc:creator>
  <dc:language>ru-RU</dc:language>
  <cp:keywords/>
  <dcterms:created xsi:type="dcterms:W3CDTF">2025-04-26T13:51:54Z</dcterms:created>
  <dcterms:modified xsi:type="dcterms:W3CDTF">2025-04-26T13:51:54Z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Текстовой редактор emacs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