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3.png" ContentType="image/png"/>
  <Override PartName="/word/media/rId69.png" ContentType="image/png"/>
  <Override PartName="/word/media/rId85.png" ContentType="image/png"/>
  <Override PartName="/word/media/rId89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25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2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77.png" ContentType="image/png"/>
  <Override PartName="/word/media/rId81.png" ContentType="image/png"/>
  <Override PartName="/word/media/rId93.png" ContentType="image/png"/>
  <Override PartName="/word/media/rId97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второму этапу внешнего курса</w:t>
      </w:r>
    </w:p>
    <w:p>
      <w:pPr>
        <w:pStyle w:val="Subtitle"/>
      </w:pPr>
      <w:r>
        <w:t xml:space="preserve">Работа на сервере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заходить на сервер, запускать различные программы удаленно, а также копировать результаты их выполнения на свой локальный компьютер для дальнейшего анализа.</w:t>
      </w:r>
    </w:p>
    <w:bookmarkEnd w:id="20"/>
    <w:bookmarkStart w:id="17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Ознакамливаемся с первым вопросом (рис. 1).</w:t>
      </w:r>
    </w:p>
    <w:bookmarkStart w:id="24" w:name="fig:001"/>
    <w:p>
      <w:pPr>
        <w:pStyle w:val="CaptionedFigure"/>
      </w:pPr>
      <w:r>
        <w:drawing>
          <wp:inline>
            <wp:extent cx="3733800" cy="1737595"/>
            <wp:effectExtent b="0" l="0" r="0" t="0"/>
            <wp:docPr descr="Рис. 1: Отвечаем на вопрос" title="" id="2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Отвечаем на вопрос</w:t>
      </w:r>
    </w:p>
    <w:bookmarkEnd w:id="24"/>
    <w:p>
      <w:pPr>
        <w:pStyle w:val="BodyText"/>
      </w:pPr>
      <w:r>
        <w:t xml:space="preserve">Почему ответ верен:</w:t>
      </w:r>
    </w:p>
    <w:p>
      <w:pPr>
        <w:pStyle w:val="Compact"/>
        <w:numPr>
          <w:ilvl w:val="0"/>
          <w:numId w:val="1001"/>
        </w:numPr>
      </w:pPr>
      <w:r>
        <w:t xml:space="preserve">Серверы предназначены для централизованного хранения данных (как открытых, так и защищенных).</w:t>
      </w:r>
    </w:p>
    <w:p>
      <w:pPr>
        <w:pStyle w:val="Compact"/>
        <w:numPr>
          <w:ilvl w:val="0"/>
          <w:numId w:val="1001"/>
        </w:numPr>
      </w:pPr>
      <w:r>
        <w:t xml:space="preserve">Они обладают мощными ресурсами (CPU, RAM, дисковое пространство), поэтому подходят для ресурсоемких задач.</w:t>
      </w:r>
    </w:p>
    <w:p>
      <w:pPr>
        <w:pStyle w:val="Compact"/>
        <w:numPr>
          <w:ilvl w:val="0"/>
          <w:numId w:val="1001"/>
        </w:numPr>
      </w:pPr>
      <w:r>
        <w:t xml:space="preserve">Конфиденциальные данные можно защитить с помощью разграничения доступа (например, SSH-ключи, VPN).</w:t>
      </w:r>
    </w:p>
    <w:p>
      <w:pPr>
        <w:pStyle w:val="FirstParagraph"/>
      </w:pPr>
      <w:r>
        <w:t xml:space="preserve">Ознакамливаемся со вторым вопросом (рис. 2).</w:t>
      </w:r>
    </w:p>
    <w:bookmarkStart w:id="28" w:name="fig:002"/>
    <w:p>
      <w:pPr>
        <w:pStyle w:val="CaptionedFigure"/>
      </w:pPr>
      <w:r>
        <w:drawing>
          <wp:inline>
            <wp:extent cx="3733800" cy="1801283"/>
            <wp:effectExtent b="0" l="0" r="0" t="0"/>
            <wp:docPr descr="Рис. 2: Отвечаем на вопрос" title="" id="2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Отвечаем на вопрос</w:t>
      </w:r>
    </w:p>
    <w:bookmarkEnd w:id="28"/>
    <w:p>
      <w:pPr>
        <w:pStyle w:val="BodyText"/>
      </w:pPr>
      <w:r>
        <w:t xml:space="preserve">Почему ответ верен:</w:t>
      </w:r>
    </w:p>
    <w:p>
      <w:pPr>
        <w:pStyle w:val="Compact"/>
        <w:numPr>
          <w:ilvl w:val="0"/>
          <w:numId w:val="1002"/>
        </w:numPr>
      </w:pPr>
      <w:r>
        <w:t xml:space="preserve">id_rsa — приватный ключ, который должен храниться только у владельца. Его утечка компрометирует безопасность.</w:t>
      </w:r>
    </w:p>
    <w:p>
      <w:pPr>
        <w:pStyle w:val="Compact"/>
        <w:numPr>
          <w:ilvl w:val="0"/>
          <w:numId w:val="1002"/>
        </w:numPr>
      </w:pPr>
      <w:r>
        <w:t xml:space="preserve">id_rsa.pub — публичный ключ, который можно свободно передавать. Он используется для шифрования данных, но без приватного ключа бесполезен.</w:t>
      </w:r>
    </w:p>
    <w:p>
      <w:pPr>
        <w:pStyle w:val="FirstParagraph"/>
      </w:pPr>
      <w:r>
        <w:t xml:space="preserve">Ознакамливаемся с третьим вопросом (рис. 3).</w:t>
      </w:r>
    </w:p>
    <w:bookmarkStart w:id="32" w:name="fig:003"/>
    <w:p>
      <w:pPr>
        <w:pStyle w:val="CaptionedFigure"/>
      </w:pPr>
      <w:r>
        <w:drawing>
          <wp:inline>
            <wp:extent cx="3733800" cy="1727358"/>
            <wp:effectExtent b="0" l="0" r="0" t="0"/>
            <wp:docPr descr="Рис. 3: Отвечаем на вопрос" title="" id="3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Отвечаем на вопрос</w:t>
      </w:r>
    </w:p>
    <w:bookmarkEnd w:id="32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Смотрим справку по команде команде (рис. 4).</w:t>
      </w:r>
    </w:p>
    <w:bookmarkStart w:id="36" w:name="fig:004"/>
    <w:p>
      <w:pPr>
        <w:pStyle w:val="CaptionedFigure"/>
      </w:pPr>
      <w:r>
        <w:drawing>
          <wp:inline>
            <wp:extent cx="3733800" cy="5370666"/>
            <wp:effectExtent b="0" l="0" r="0" t="0"/>
            <wp:docPr descr="Рис. 4: Узнаем ответ на вопрос" title="" id="3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Узнаем ответ на вопрос</w:t>
      </w:r>
    </w:p>
    <w:bookmarkEnd w:id="36"/>
    <w:p>
      <w:pPr>
        <w:pStyle w:val="BodyText"/>
      </w:pPr>
      <w:r>
        <w:t xml:space="preserve">Ознакамливаемся с четвертым вопросом (рис. 5).</w:t>
      </w:r>
    </w:p>
    <w:bookmarkStart w:id="40" w:name="fig:005"/>
    <w:p>
      <w:pPr>
        <w:pStyle w:val="CaptionedFigure"/>
      </w:pPr>
      <w:r>
        <w:drawing>
          <wp:inline>
            <wp:extent cx="3733800" cy="2020097"/>
            <wp:effectExtent b="0" l="0" r="0" t="0"/>
            <wp:docPr descr="Рис. 5: Отвечаем на вопрос" title="" id="3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Отвечаем на вопрос</w:t>
      </w:r>
    </w:p>
    <w:bookmarkEnd w:id="40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03"/>
        </w:numPr>
      </w:pPr>
      <w:r>
        <w:t xml:space="preserve">sudo apt-get update — обновляет список доступных пакетов (возможно, программа есть в новых репозиториях).</w:t>
      </w:r>
    </w:p>
    <w:p>
      <w:pPr>
        <w:numPr>
          <w:ilvl w:val="0"/>
          <w:numId w:val="1003"/>
        </w:numPr>
      </w:pPr>
      <w:r>
        <w:t xml:space="preserve">Проверить интернет-соединение — без сети пакеты не скачаются.</w:t>
      </w:r>
    </w:p>
    <w:p>
      <w:pPr>
        <w:numPr>
          <w:ilvl w:val="0"/>
          <w:numId w:val="1003"/>
        </w:numPr>
      </w:pPr>
      <w:r>
        <w:t xml:space="preserve">sudo apt-get upgrade — обновляет уже установленные пакеты (может устранить конфликты зависимостей).</w:t>
      </w:r>
    </w:p>
    <w:p>
      <w:pPr>
        <w:pStyle w:val="FirstParagraph"/>
      </w:pPr>
      <w:r>
        <w:t xml:space="preserve">Почему не –only-upgrade?</w:t>
      </w:r>
    </w:p>
    <w:p>
      <w:pPr>
        <w:pStyle w:val="BodyText"/>
      </w:pPr>
      <w:r>
        <w:t xml:space="preserve">Эта опция обновляет только уже установленные пакеты, но не устанавливает новые.</w:t>
      </w:r>
    </w:p>
    <w:p>
      <w:pPr>
        <w:pStyle w:val="BodyText"/>
      </w:pPr>
      <w:r>
        <w:t xml:space="preserve">Ознакамливаемся с пятым вопросом (рис. 6).</w:t>
      </w:r>
    </w:p>
    <w:bookmarkStart w:id="44" w:name="fig:006"/>
    <w:p>
      <w:pPr>
        <w:pStyle w:val="CaptionedFigure"/>
      </w:pPr>
      <w:r>
        <w:drawing>
          <wp:inline>
            <wp:extent cx="3733800" cy="1826637"/>
            <wp:effectExtent b="0" l="0" r="0" t="0"/>
            <wp:docPr descr="Рис. 6: Отвечаем на вопрос" title="" id="4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Отвечаем на вопрос</w:t>
      </w:r>
    </w:p>
    <w:bookmarkEnd w:id="44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FileZilla — это FTP/SFTP-клиент, предназначенный для:</w:t>
      </w:r>
    </w:p>
    <w:p>
      <w:pPr>
        <w:numPr>
          <w:ilvl w:val="0"/>
          <w:numId w:val="1004"/>
        </w:numPr>
      </w:pPr>
      <w:r>
        <w:t xml:space="preserve">Передачи файлов между локальной машиной и сервером.</w:t>
      </w:r>
    </w:p>
    <w:p>
      <w:pPr>
        <w:numPr>
          <w:ilvl w:val="0"/>
          <w:numId w:val="1004"/>
        </w:numPr>
      </w:pPr>
      <w:r>
        <w:t xml:space="preserve">Навигации по файловой системе (аналогично проводнику).</w:t>
      </w:r>
    </w:p>
    <w:p>
      <w:pPr>
        <w:pStyle w:val="FirstParagraph"/>
      </w:pPr>
      <w:r>
        <w:t xml:space="preserve">Не подходит для:</w:t>
      </w:r>
    </w:p>
    <w:p>
      <w:pPr>
        <w:numPr>
          <w:ilvl w:val="0"/>
          <w:numId w:val="1005"/>
        </w:numPr>
      </w:pPr>
      <w:r>
        <w:t xml:space="preserve">Установки программ (это делается через терминал, например, apt).</w:t>
      </w:r>
    </w:p>
    <w:p>
      <w:pPr>
        <w:numPr>
          <w:ilvl w:val="0"/>
          <w:numId w:val="1005"/>
        </w:numPr>
      </w:pPr>
      <w:r>
        <w:t xml:space="preserve">Запуска программ (требует командной строки или SSH</w:t>
      </w:r>
    </w:p>
    <w:p>
      <w:pPr>
        <w:pStyle w:val="FirstParagraph"/>
      </w:pPr>
      <w:r>
        <w:t xml:space="preserve">(справка по программе)</w:t>
      </w:r>
    </w:p>
    <w:p>
      <w:pPr>
        <w:pStyle w:val="BodyText"/>
      </w:pPr>
      <w:r>
        <w:t xml:space="preserve">Ознакамливаемся с шестым вопросом (рис. 7).</w:t>
      </w:r>
    </w:p>
    <w:bookmarkStart w:id="48" w:name="fig:007"/>
    <w:p>
      <w:pPr>
        <w:pStyle w:val="CaptionedFigure"/>
      </w:pPr>
      <w:r>
        <w:drawing>
          <wp:inline>
            <wp:extent cx="3733800" cy="1724922"/>
            <wp:effectExtent b="0" l="0" r="0" t="0"/>
            <wp:docPr descr="Рис. 7: Отвечаем на вопрос" title="" id="4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Отвечаем на вопрос</w:t>
      </w:r>
    </w:p>
    <w:bookmarkEnd w:id="48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06"/>
        </w:numPr>
      </w:pPr>
      <w:r>
        <w:t xml:space="preserve">Настроить сервер для вывода на экран (например, через X11-форвардинг).</w:t>
      </w:r>
    </w:p>
    <w:p>
      <w:pPr>
        <w:numPr>
          <w:ilvl w:val="0"/>
          <w:numId w:val="1006"/>
        </w:numPr>
      </w:pPr>
      <w:r>
        <w:t xml:space="preserve">Искать терминальную версию программы (например, program –cli).</w:t>
      </w:r>
    </w:p>
    <w:p>
      <w:pPr>
        <w:pStyle w:val="FirstParagraph"/>
      </w:pPr>
      <w:r>
        <w:t xml:space="preserve">Почему нельзя просто запустить на своем ПК?</w:t>
      </w:r>
      <w:r>
        <w:t xml:space="preserve"> </w:t>
      </w:r>
      <w:r>
        <w:t xml:space="preserve">Задание предполагает работу именно на сервере, где может не быть графической среды.</w:t>
      </w:r>
    </w:p>
    <w:p>
      <w:pPr>
        <w:pStyle w:val="BodyText"/>
      </w:pPr>
      <w:r>
        <w:t xml:space="preserve">Ознакамливаемся с седьмым вопросом (рис. 8).</w:t>
      </w:r>
    </w:p>
    <w:bookmarkStart w:id="52" w:name="fig:008"/>
    <w:p>
      <w:pPr>
        <w:pStyle w:val="CaptionedFigure"/>
      </w:pPr>
      <w:r>
        <w:drawing>
          <wp:inline>
            <wp:extent cx="3733800" cy="1931568"/>
            <wp:effectExtent b="0" l="0" r="0" t="0"/>
            <wp:docPr descr="Рис. 8: Отвечаем на вопрос" title="" id="5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Отвечаем на вопрос</w:t>
      </w:r>
    </w:p>
    <w:bookmarkEnd w:id="52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Правильные команды:</w:t>
      </w:r>
    </w:p>
    <w:p>
      <w:pPr>
        <w:numPr>
          <w:ilvl w:val="0"/>
          <w:numId w:val="1007"/>
        </w:numPr>
      </w:pPr>
      <w:r>
        <w:t xml:space="preserve">man program — стандартное руководство в Linux.</w:t>
      </w:r>
    </w:p>
    <w:p>
      <w:pPr>
        <w:numPr>
          <w:ilvl w:val="0"/>
          <w:numId w:val="1007"/>
        </w:numPr>
      </w:pPr>
      <w:r>
        <w:t xml:space="preserve">program –help (или -h) — встроенная справка большинства программ.</w:t>
      </w:r>
    </w:p>
    <w:p>
      <w:pPr>
        <w:numPr>
          <w:ilvl w:val="0"/>
          <w:numId w:val="1007"/>
        </w:numPr>
      </w:pPr>
      <w:r>
        <w:t xml:space="preserve">help program — работает для встроенных команд shell (например, help cd).</w:t>
      </w:r>
    </w:p>
    <w:p>
      <w:pPr>
        <w:pStyle w:val="FirstParagraph"/>
      </w:pPr>
      <w:r>
        <w:t xml:space="preserve">Почему не program ?</w:t>
      </w:r>
      <w:r>
        <w:t xml:space="preserve"> </w:t>
      </w:r>
      <w:r>
        <w:t xml:space="preserve">Такой синтаксис не поддерживается в Linux.</w:t>
      </w:r>
    </w:p>
    <w:p>
      <w:pPr>
        <w:pStyle w:val="BodyText"/>
      </w:pPr>
      <w:r>
        <w:t xml:space="preserve">Ознакамливаемся с восьмым вопросом (рис. 9).</w:t>
      </w:r>
    </w:p>
    <w:bookmarkStart w:id="56" w:name="fig:009"/>
    <w:p>
      <w:pPr>
        <w:pStyle w:val="CaptionedFigure"/>
      </w:pPr>
      <w:r>
        <w:drawing>
          <wp:inline>
            <wp:extent cx="3733800" cy="2494144"/>
            <wp:effectExtent b="0" l="0" r="0" t="0"/>
            <wp:docPr descr="Рис. 9: Отвечаем на вопрос" title="" id="5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Отвечаем на вопрос</w:t>
      </w:r>
    </w:p>
    <w:bookmarkEnd w:id="56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FastQC анализирует сырые данные секвенирования (FASTQ) и выровненные данные (BAM/SAM). Версии *_mapped — это подмножества BAM/SAM с отфильтрованными данными.</w:t>
      </w:r>
    </w:p>
    <w:p>
      <w:pPr>
        <w:pStyle w:val="BodyText"/>
      </w:pPr>
      <w:r>
        <w:t xml:space="preserve">(справка по команде)</w:t>
      </w:r>
    </w:p>
    <w:p>
      <w:pPr>
        <w:pStyle w:val="BodyText"/>
      </w:pPr>
      <w:r>
        <w:t xml:space="preserve">Ознакамливаемся с девятым вопросом (рис. 10).</w:t>
      </w:r>
    </w:p>
    <w:bookmarkStart w:id="60" w:name="fig:010"/>
    <w:p>
      <w:pPr>
        <w:pStyle w:val="CaptionedFigure"/>
      </w:pPr>
      <w:r>
        <w:drawing>
          <wp:inline>
            <wp:extent cx="3733800" cy="2356961"/>
            <wp:effectExtent b="0" l="0" r="0" t="0"/>
            <wp:docPr descr="Рис. 10: Отвечаем на вопрос" title="" id="5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Отвечаем на вопрос</w:t>
      </w:r>
    </w:p>
    <w:bookmarkEnd w:id="60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Смотрим справку по команде и проверяем её выполняя алгоритм выравнивания (рис. 11).</w:t>
      </w:r>
    </w:p>
    <w:bookmarkStart w:id="64" w:name="fig:011"/>
    <w:p>
      <w:pPr>
        <w:pStyle w:val="CaptionedFigure"/>
      </w:pPr>
      <w:r>
        <w:drawing>
          <wp:inline>
            <wp:extent cx="3733800" cy="5552959"/>
            <wp:effectExtent b="0" l="0" r="0" t="0"/>
            <wp:docPr descr="Рис. 11: Узнаем ответ на вопрос" title="" id="6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Узнаем ответ на вопрос</w:t>
      </w:r>
    </w:p>
    <w:bookmarkEnd w:id="64"/>
    <w:p>
      <w:pPr>
        <w:pStyle w:val="BodyText"/>
      </w:pPr>
      <w:r>
        <w:t xml:space="preserve">Ознакамливаемся с десятым вопросом (рис. 12).</w:t>
      </w:r>
    </w:p>
    <w:bookmarkStart w:id="68" w:name="fig:012"/>
    <w:p>
      <w:pPr>
        <w:pStyle w:val="CaptionedFigure"/>
      </w:pPr>
      <w:r>
        <w:drawing>
          <wp:inline>
            <wp:extent cx="3733800" cy="1856710"/>
            <wp:effectExtent b="0" l="0" r="0" t="0"/>
            <wp:docPr descr="Рис. 12: Смотрим текст вопроса" title="" id="6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Смотрим текст вопроса</w:t>
      </w:r>
    </w:p>
    <w:bookmarkEnd w:id="68"/>
    <w:p>
      <w:pPr>
        <w:pStyle w:val="BodyText"/>
      </w:pPr>
      <w:r>
        <w:t xml:space="preserve">Выясняем правильный ответ:</w:t>
      </w:r>
    </w:p>
    <w:p>
      <w:pPr>
        <w:pStyle w:val="BodyText"/>
      </w:pPr>
      <w:r>
        <w:t xml:space="preserve">Запускаем в кансоли три программы в фоновом режиме и после этого выполняем предложенные в задании действия и узнаем правильный ответ (рис. 13).</w:t>
      </w:r>
    </w:p>
    <w:bookmarkStart w:id="72" w:name="fig:013"/>
    <w:p>
      <w:pPr>
        <w:pStyle w:val="CaptionedFigure"/>
      </w:pPr>
      <w:r>
        <w:drawing>
          <wp:inline>
            <wp:extent cx="3733800" cy="3716229"/>
            <wp:effectExtent b="0" l="0" r="0" t="0"/>
            <wp:docPr descr="Рис. 13: Смотрим текст вопроса" title="" id="7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6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Смотрим текст вопроса</w:t>
      </w:r>
    </w:p>
    <w:bookmarkEnd w:id="72"/>
    <w:p>
      <w:pPr>
        <w:pStyle w:val="BodyText"/>
      </w:pPr>
      <w:r>
        <w:t xml:space="preserve">Отвечаем на вопрос: (рис. 14).</w:t>
      </w:r>
    </w:p>
    <w:bookmarkStart w:id="76" w:name="fig:014"/>
    <w:p>
      <w:pPr>
        <w:pStyle w:val="CaptionedFigure"/>
      </w:pPr>
      <w:r>
        <w:drawing>
          <wp:inline>
            <wp:extent cx="3733800" cy="2349262"/>
            <wp:effectExtent b="0" l="0" r="0" t="0"/>
            <wp:docPr descr="Рис. 14: Выбираем правильный ответ" title="" id="7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Выбираем правильный ответ</w:t>
      </w:r>
    </w:p>
    <w:bookmarkEnd w:id="76"/>
    <w:p>
      <w:pPr>
        <w:pStyle w:val="BodyText"/>
      </w:pPr>
      <w:r>
        <w:t xml:space="preserve">Ознакамливаемся с одиннадцатым вопросом (рис. 15).</w:t>
      </w:r>
    </w:p>
    <w:bookmarkStart w:id="80" w:name="fig:015"/>
    <w:p>
      <w:pPr>
        <w:pStyle w:val="CaptionedFigure"/>
      </w:pPr>
      <w:r>
        <w:drawing>
          <wp:inline>
            <wp:extent cx="3733800" cy="1817310"/>
            <wp:effectExtent b="0" l="0" r="0" t="0"/>
            <wp:docPr descr="Рис. 15: Смотрим текст вопроса" title="" id="7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Смотрим текст вопроса</w:t>
      </w:r>
    </w:p>
    <w:bookmarkEnd w:id="80"/>
    <w:p>
      <w:pPr>
        <w:pStyle w:val="BodyText"/>
      </w:pPr>
      <w:r>
        <w:t xml:space="preserve">Выясняем правильный ответ:</w:t>
      </w:r>
    </w:p>
    <w:p>
      <w:pPr>
        <w:pStyle w:val="BodyText"/>
      </w:pPr>
      <w:r>
        <w:t xml:space="preserve">Запускаем в кансоли одну программу в фоновом режиме, выполняем три команды jobs, top и ps и узнаем одинаковые ли эти идентификаторы (рис. 16).</w:t>
      </w:r>
    </w:p>
    <w:bookmarkStart w:id="84" w:name="fig:016"/>
    <w:p>
      <w:pPr>
        <w:pStyle w:val="CaptionedFigure"/>
      </w:pPr>
      <w:r>
        <w:drawing>
          <wp:inline>
            <wp:extent cx="3733800" cy="4377983"/>
            <wp:effectExtent b="0" l="0" r="0" t="0"/>
            <wp:docPr descr="Рис. 16: Сравниваем идентефикаторы" title="" id="8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Сравниваем идентефикаторы</w:t>
      </w:r>
    </w:p>
    <w:bookmarkEnd w:id="84"/>
    <w:p>
      <w:pPr>
        <w:pStyle w:val="BodyText"/>
      </w:pPr>
      <w:r>
        <w:t xml:space="preserve">Ознакамливаемся с двенадцатым вопросом (рис. 17).</w:t>
      </w:r>
    </w:p>
    <w:bookmarkStart w:id="88" w:name="fig:017"/>
    <w:p>
      <w:pPr>
        <w:pStyle w:val="CaptionedFigure"/>
      </w:pPr>
      <w:r>
        <w:drawing>
          <wp:inline>
            <wp:extent cx="3733800" cy="1634593"/>
            <wp:effectExtent b="0" l="0" r="0" t="0"/>
            <wp:docPr descr="Рис. 17: Смотрим текст вопроса" title="" id="8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Смотрим текст вопроса</w:t>
      </w:r>
    </w:p>
    <w:bookmarkEnd w:id="8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Запускаем один процесс в фоновом режиме и приостанавливаем его, а затем проверяем все предложенные команды (рис. 18).</w:t>
      </w:r>
    </w:p>
    <w:bookmarkStart w:id="92" w:name="fig:018"/>
    <w:p>
      <w:pPr>
        <w:pStyle w:val="CaptionedFigure"/>
      </w:pPr>
      <w:r>
        <w:drawing>
          <wp:inline>
            <wp:extent cx="3733800" cy="2422183"/>
            <wp:effectExtent b="0" l="0" r="0" t="0"/>
            <wp:docPr descr="Рис. 18: Проверяем команды" title="" id="9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Проверяем команды</w:t>
      </w:r>
    </w:p>
    <w:bookmarkEnd w:id="92"/>
    <w:p>
      <w:pPr>
        <w:pStyle w:val="BodyText"/>
      </w:pPr>
      <w:r>
        <w:t xml:space="preserve">Ознакамливаемся с тринадцатым вопросом (рис. 19).</w:t>
      </w:r>
    </w:p>
    <w:bookmarkStart w:id="96" w:name="fig:019"/>
    <w:p>
      <w:pPr>
        <w:pStyle w:val="CaptionedFigure"/>
      </w:pPr>
      <w:r>
        <w:drawing>
          <wp:inline>
            <wp:extent cx="3733800" cy="1756052"/>
            <wp:effectExtent b="0" l="0" r="0" t="0"/>
            <wp:docPr descr="Рис. 19: Смотрим текст вопроса" title="" id="9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Смотрим текст вопроса</w:t>
      </w:r>
    </w:p>
    <w:bookmarkEnd w:id="96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Проверяем одну предложенную команду (рис. 20).</w:t>
      </w:r>
    </w:p>
    <w:bookmarkStart w:id="100" w:name="fig:020"/>
    <w:p>
      <w:pPr>
        <w:pStyle w:val="CaptionedFigure"/>
      </w:pPr>
      <w:r>
        <w:drawing>
          <wp:inline>
            <wp:extent cx="3733800" cy="627086"/>
            <wp:effectExtent b="0" l="0" r="0" t="0"/>
            <wp:docPr descr="Рис. 20: Проверяем команду" title="" id="9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Проверяем команду</w:t>
      </w:r>
    </w:p>
    <w:bookmarkEnd w:id="100"/>
    <w:p>
      <w:pPr>
        <w:pStyle w:val="BodyText"/>
      </w:pPr>
      <w:r>
        <w:t xml:space="preserve">Ознакамливаемся с четырнадцатым вопросом (рис. 21).</w:t>
      </w:r>
    </w:p>
    <w:bookmarkStart w:id="104" w:name="fig:021"/>
    <w:p>
      <w:pPr>
        <w:pStyle w:val="CaptionedFigure"/>
      </w:pPr>
      <w:r>
        <w:drawing>
          <wp:inline>
            <wp:extent cx="3733800" cy="2499117"/>
            <wp:effectExtent b="0" l="0" r="0" t="0"/>
            <wp:docPr descr="Рис. 21: Смотрим текст вопроса" title="" id="10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Смотрим текст вопроса</w:t>
      </w:r>
    </w:p>
    <w:bookmarkEnd w:id="104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При остановке (SIGTSTP) процесс:</w:t>
      </w:r>
    </w:p>
    <w:p>
      <w:pPr>
        <w:numPr>
          <w:ilvl w:val="0"/>
          <w:numId w:val="1008"/>
        </w:numPr>
      </w:pPr>
      <w:r>
        <w:t xml:space="preserve">Переходит в состояние T (stopped).</w:t>
      </w:r>
    </w:p>
    <w:p>
      <w:pPr>
        <w:numPr>
          <w:ilvl w:val="0"/>
          <w:numId w:val="1008"/>
        </w:numPr>
      </w:pPr>
      <w:r>
        <w:t xml:space="preserve">Не получает процессорного времени (но сохраняет память).</w:t>
      </w:r>
    </w:p>
    <w:p>
      <w:pPr>
        <w:pStyle w:val="FirstParagraph"/>
      </w:pPr>
      <w:r>
        <w:t xml:space="preserve">Ознакамливаемся с пятнадцатым вопросом (рис. 22).</w:t>
      </w:r>
    </w:p>
    <w:bookmarkStart w:id="108" w:name="fig:022"/>
    <w:p>
      <w:pPr>
        <w:pStyle w:val="CaptionedFigure"/>
      </w:pPr>
      <w:r>
        <w:drawing>
          <wp:inline>
            <wp:extent cx="3733800" cy="2286000"/>
            <wp:effectExtent b="0" l="0" r="0" t="0"/>
            <wp:docPr descr="Рис. 22: Смотрим текст вопроса" title="" id="10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Смотрим текст вопроса</w:t>
      </w:r>
    </w:p>
    <w:bookmarkEnd w:id="10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Остановленный процесс:</w:t>
      </w:r>
    </w:p>
    <w:p>
      <w:pPr>
        <w:numPr>
          <w:ilvl w:val="0"/>
          <w:numId w:val="1009"/>
        </w:numPr>
      </w:pPr>
      <w:r>
        <w:t xml:space="preserve">Остается в RAM (память не освобождается).</w:t>
      </w:r>
    </w:p>
    <w:p>
      <w:pPr>
        <w:numPr>
          <w:ilvl w:val="0"/>
          <w:numId w:val="1009"/>
        </w:numPr>
      </w:pPr>
      <w:r>
        <w:t xml:space="preserve">Может быть возобновлен (fg или bg), поэтому система сохраняет его состояние.</w:t>
      </w:r>
    </w:p>
    <w:p>
      <w:pPr>
        <w:pStyle w:val="FirstParagraph"/>
      </w:pPr>
      <w:r>
        <w:t xml:space="preserve">64 KB:</w:t>
      </w:r>
      <w:r>
        <w:t xml:space="preserve"> </w:t>
      </w:r>
      <w:r>
        <w:t xml:space="preserve">Это минимальный размер стека потока, но не всего процесса.</w:t>
      </w:r>
    </w:p>
    <w:p>
      <w:pPr>
        <w:pStyle w:val="BodyText"/>
      </w:pPr>
      <w:r>
        <w:t xml:space="preserve">Ознакамливаемся с шестнадцатым вопросом (рис. 23).</w:t>
      </w:r>
    </w:p>
    <w:bookmarkStart w:id="112" w:name="fig:023"/>
    <w:p>
      <w:pPr>
        <w:pStyle w:val="CaptionedFigure"/>
      </w:pPr>
      <w:r>
        <w:drawing>
          <wp:inline>
            <wp:extent cx="3733800" cy="2284007"/>
            <wp:effectExtent b="0" l="0" r="0" t="0"/>
            <wp:docPr descr="Рис. 23: Смотрим текст вопроса" title="" id="11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1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Смотрим текст вопроса</w:t>
      </w:r>
    </w:p>
    <w:bookmarkEnd w:id="112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10"/>
        </w:numPr>
      </w:pPr>
      <w:r>
        <w:t xml:space="preserve">В Linux/UNIX нет стандартного способа завершить отдельный поток процесса.</w:t>
      </w:r>
    </w:p>
    <w:p>
      <w:pPr>
        <w:numPr>
          <w:ilvl w:val="0"/>
          <w:numId w:val="1010"/>
        </w:numPr>
      </w:pPr>
      <w:r>
        <w:t xml:space="preserve">Управление потоками (threads) осуществляется внутри самого приложения, а не извне.</w:t>
      </w:r>
    </w:p>
    <w:p>
      <w:pPr>
        <w:numPr>
          <w:ilvl w:val="0"/>
          <w:numId w:val="1010"/>
        </w:numPr>
      </w:pPr>
      <w:r>
        <w:t xml:space="preserve">Команды kill или сигналы (например, Ctrl+C) воздействуют на весь процесс, а не на отдельные потоки.</w:t>
      </w:r>
    </w:p>
    <w:p>
      <w:pPr>
        <w:pStyle w:val="FirstParagraph"/>
      </w:pPr>
      <w:r>
        <w:t xml:space="preserve">Ошибочные варианты:</w:t>
      </w:r>
    </w:p>
    <w:p>
      <w:pPr>
        <w:numPr>
          <w:ilvl w:val="0"/>
          <w:numId w:val="1011"/>
        </w:numPr>
      </w:pPr>
      <w:r>
        <w:t xml:space="preserve">threadkill, kill –thread — таких команд не существует в Linux.</w:t>
      </w:r>
    </w:p>
    <w:p>
      <w:pPr>
        <w:numPr>
          <w:ilvl w:val="0"/>
          <w:numId w:val="1011"/>
        </w:numPr>
      </w:pPr>
      <w:r>
        <w:t xml:space="preserve">Ctrl+C — завершает весь процесс, а не поток.</w:t>
      </w:r>
    </w:p>
    <w:p>
      <w:pPr>
        <w:pStyle w:val="FirstParagraph"/>
      </w:pPr>
      <w:r>
        <w:t xml:space="preserve">Ознакамливаемся с шестнадцатым вопросом (рис. 24).</w:t>
      </w:r>
    </w:p>
    <w:bookmarkStart w:id="116" w:name="fig:024"/>
    <w:p>
      <w:pPr>
        <w:pStyle w:val="CaptionedFigure"/>
      </w:pPr>
      <w:r>
        <w:drawing>
          <wp:inline>
            <wp:extent cx="3733800" cy="2016673"/>
            <wp:effectExtent b="0" l="0" r="0" t="0"/>
            <wp:docPr descr="Рис. 24: Смотрим текст вопроса" title="" id="11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Смотрим текст вопроса</w:t>
      </w:r>
    </w:p>
    <w:bookmarkEnd w:id="116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Смотрим справку попрограмме (рис. 25).</w:t>
      </w:r>
    </w:p>
    <w:bookmarkStart w:id="120" w:name="fig:025"/>
    <w:p>
      <w:pPr>
        <w:pStyle w:val="CaptionedFigure"/>
      </w:pPr>
      <w:r>
        <w:drawing>
          <wp:inline>
            <wp:extent cx="3733800" cy="5240421"/>
            <wp:effectExtent b="0" l="0" r="0" t="0"/>
            <wp:docPr descr="Рис. 25: Смотрим текст вопроса" title="" id="11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0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Смотрим текст вопроса</w:t>
      </w:r>
    </w:p>
    <w:bookmarkEnd w:id="120"/>
    <w:p>
      <w:pPr>
        <w:pStyle w:val="BodyText"/>
      </w:pPr>
      <w:r>
        <w:t xml:space="preserve">Ознакамливаемся с семнадцатым вопросом (рис. 26).</w:t>
      </w:r>
    </w:p>
    <w:bookmarkStart w:id="124" w:name="fig:026"/>
    <w:p>
      <w:pPr>
        <w:pStyle w:val="CaptionedFigure"/>
      </w:pPr>
      <w:r>
        <w:drawing>
          <wp:inline>
            <wp:extent cx="3733800" cy="2463256"/>
            <wp:effectExtent b="0" l="0" r="0" t="0"/>
            <wp:docPr descr="Рис. 26: Смотрим текст вопроса" title="" id="12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Смотрим текст вопроса</w:t>
      </w:r>
    </w:p>
    <w:bookmarkEnd w:id="124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Скачиваем необходимые файлы, запускаем программу и записываем в файл вывод второго этапа (рис. 27).</w:t>
      </w:r>
    </w:p>
    <w:bookmarkStart w:id="128" w:name="fig:027"/>
    <w:p>
      <w:pPr>
        <w:pStyle w:val="CaptionedFigure"/>
      </w:pPr>
      <w:r>
        <w:drawing>
          <wp:inline>
            <wp:extent cx="3733800" cy="619075"/>
            <wp:effectExtent b="0" l="0" r="0" t="0"/>
            <wp:docPr descr="Рис. 27: Смотрим текст вопроса" title="" id="12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Смотрим текст вопроса</w:t>
      </w:r>
    </w:p>
    <w:bookmarkEnd w:id="128"/>
    <w:p>
      <w:pPr>
        <w:pStyle w:val="BodyText"/>
      </w:pPr>
      <w:r>
        <w:t xml:space="preserve">Ознакамливаемся с восемнадцатым вопросом (рис. 28).</w:t>
      </w:r>
    </w:p>
    <w:bookmarkStart w:id="132" w:name="fig:028"/>
    <w:p>
      <w:pPr>
        <w:pStyle w:val="CaptionedFigure"/>
      </w:pPr>
      <w:r>
        <w:drawing>
          <wp:inline>
            <wp:extent cx="3733800" cy="1825741"/>
            <wp:effectExtent b="0" l="0" r="0" t="0"/>
            <wp:docPr descr="Рис. 28: Смотрим текст вопроса" title="" id="13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4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Смотрим текст вопроса</w:t>
      </w:r>
    </w:p>
    <w:bookmarkEnd w:id="132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Открываем две вкладки в терменале в одной из них запускаем процесс и приостанавливаем его (рис. 29).</w:t>
      </w:r>
    </w:p>
    <w:bookmarkStart w:id="136" w:name="fig:029"/>
    <w:p>
      <w:pPr>
        <w:pStyle w:val="CaptionedFigure"/>
      </w:pPr>
      <w:r>
        <w:drawing>
          <wp:inline>
            <wp:extent cx="3070458" cy="1183907"/>
            <wp:effectExtent b="0" l="0" r="0" t="0"/>
            <wp:docPr descr="Рис. 29: Пишем в первом терменале" title="" id="13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5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118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Пишем в первом терменале</w:t>
      </w:r>
    </w:p>
    <w:bookmarkEnd w:id="136"/>
    <w:p>
      <w:pPr>
        <w:pStyle w:val="BodyText"/>
      </w:pPr>
      <w:r>
        <w:t xml:space="preserve">Переключаемся на вторую вкладку и набираем fg (рис. 30).</w:t>
      </w:r>
    </w:p>
    <w:bookmarkStart w:id="140" w:name="fig:030"/>
    <w:p>
      <w:pPr>
        <w:pStyle w:val="CaptionedFigure"/>
      </w:pPr>
      <w:r>
        <w:drawing>
          <wp:inline>
            <wp:extent cx="3733800" cy="731558"/>
            <wp:effectExtent b="0" l="0" r="0" t="0"/>
            <wp:docPr descr="Рис. 30: Пишем в первом терменале" title="" id="13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6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Пишем в первом терменале</w:t>
      </w:r>
    </w:p>
    <w:bookmarkEnd w:id="140"/>
    <w:p>
      <w:pPr>
        <w:pStyle w:val="BodyText"/>
      </w:pPr>
      <w:r>
        <w:t xml:space="preserve">Ознакамливаемся с девятнадцатым вопросом (рис. 31).</w:t>
      </w:r>
    </w:p>
    <w:bookmarkStart w:id="144" w:name="fig:031"/>
    <w:p>
      <w:pPr>
        <w:pStyle w:val="CaptionedFigure"/>
      </w:pPr>
      <w:r>
        <w:drawing>
          <wp:inline>
            <wp:extent cx="3733800" cy="1808033"/>
            <wp:effectExtent b="0" l="0" r="0" t="0"/>
            <wp:docPr descr="Рис. 31: Смотрим текст вопроса" title="" id="14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7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Смотрим текст вопроса</w:t>
      </w:r>
    </w:p>
    <w:bookmarkEnd w:id="144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Открываем tmux и вводим в открывшемся терменале команду exit (рис. 32).</w:t>
      </w:r>
    </w:p>
    <w:bookmarkStart w:id="148" w:name="fig:032"/>
    <w:p>
      <w:pPr>
        <w:pStyle w:val="CaptionedFigure"/>
      </w:pPr>
      <w:r>
        <w:drawing>
          <wp:inline>
            <wp:extent cx="2868328" cy="1684421"/>
            <wp:effectExtent b="0" l="0" r="0" t="0"/>
            <wp:docPr descr="Рис. 32: Выполняем задание" title="" id="14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8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28" cy="168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Выполняем задание</w:t>
      </w:r>
    </w:p>
    <w:bookmarkEnd w:id="148"/>
    <w:p>
      <w:pPr>
        <w:pStyle w:val="BodyText"/>
      </w:pPr>
      <w:r>
        <w:t xml:space="preserve">Ознакамливаемся с двадцатым вопросом (рис. 33).</w:t>
      </w:r>
    </w:p>
    <w:bookmarkStart w:id="152" w:name="fig:033"/>
    <w:p>
      <w:pPr>
        <w:pStyle w:val="CaptionedFigure"/>
      </w:pPr>
      <w:r>
        <w:drawing>
          <wp:inline>
            <wp:extent cx="3733800" cy="1884640"/>
            <wp:effectExtent b="0" l="0" r="0" t="0"/>
            <wp:docPr descr="Рис. 33: Смотрим текст вопроса" title="" id="15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29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Смотрим текст вопроса</w:t>
      </w:r>
    </w:p>
    <w:bookmarkEnd w:id="152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12"/>
        </w:numPr>
      </w:pPr>
      <w:r>
        <w:t xml:space="preserve">tmux (терминальный мультиплексор) работает независимо от окна терминала.</w:t>
      </w:r>
    </w:p>
    <w:p>
      <w:pPr>
        <w:numPr>
          <w:ilvl w:val="0"/>
          <w:numId w:val="1012"/>
        </w:numPr>
      </w:pPr>
      <w:r>
        <w:t xml:space="preserve">Все процессы внутри tmux выполняются на сервере, а не в локальном терминале.</w:t>
      </w:r>
    </w:p>
    <w:p>
      <w:pPr>
        <w:numPr>
          <w:ilvl w:val="0"/>
          <w:numId w:val="1012"/>
        </w:numPr>
      </w:pPr>
      <w:r>
        <w:t xml:space="preserve">Даже если закрыть терминал, сессия tmux останется активной.</w:t>
      </w:r>
    </w:p>
    <w:p>
      <w:pPr>
        <w:pStyle w:val="FirstParagraph"/>
      </w:pPr>
      <w:r>
        <w:t xml:space="preserve">Ознакамливаемся с двадцать первым вопросом (рис. 34).</w:t>
      </w:r>
    </w:p>
    <w:bookmarkStart w:id="156" w:name="fig:034"/>
    <w:p>
      <w:pPr>
        <w:pStyle w:val="CaptionedFigure"/>
      </w:pPr>
      <w:r>
        <w:drawing>
          <wp:inline>
            <wp:extent cx="3733800" cy="1540325"/>
            <wp:effectExtent b="0" l="0" r="0" t="0"/>
            <wp:docPr descr="Рис. 34: Смотрим текст вопроса" title="" id="15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0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Смотрим текст вопроса</w:t>
      </w:r>
    </w:p>
    <w:bookmarkEnd w:id="156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13"/>
        </w:numPr>
      </w:pPr>
      <w:r>
        <w:t xml:space="preserve">В tmux каждый процесс привязан к своей вкладке (окну).</w:t>
      </w:r>
    </w:p>
    <w:p>
      <w:pPr>
        <w:numPr>
          <w:ilvl w:val="0"/>
          <w:numId w:val="1013"/>
        </w:numPr>
      </w:pPr>
      <w:r>
        <w:t xml:space="preserve">Принудительное закрытие (Ctrl+B, X) убивает всё содержимое вкладки, включая фоновые процессы.</w:t>
      </w:r>
    </w:p>
    <w:p>
      <w:pPr>
        <w:pStyle w:val="FirstParagraph"/>
      </w:pPr>
      <w:r>
        <w:t xml:space="preserve">Ознакамливаемся с двадцать вторым вопросом (рис. 35).</w:t>
      </w:r>
    </w:p>
    <w:bookmarkStart w:id="160" w:name="fig:035"/>
    <w:p>
      <w:pPr>
        <w:pStyle w:val="CaptionedFigure"/>
      </w:pPr>
      <w:r>
        <w:drawing>
          <wp:inline>
            <wp:extent cx="3733800" cy="1893343"/>
            <wp:effectExtent b="0" l="0" r="0" t="0"/>
            <wp:docPr descr="Рис. 35: Смотрим текст вопроса" title="" id="15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Смотрим текст вопроса</w:t>
      </w:r>
    </w:p>
    <w:bookmarkEnd w:id="160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Смотрим справку по tmux (рис. 36).</w:t>
      </w:r>
    </w:p>
    <w:bookmarkStart w:id="164" w:name="fig:036"/>
    <w:p>
      <w:pPr>
        <w:pStyle w:val="CaptionedFigure"/>
      </w:pPr>
      <w:r>
        <w:drawing>
          <wp:inline>
            <wp:extent cx="3733800" cy="2514368"/>
            <wp:effectExtent b="0" l="0" r="0" t="0"/>
            <wp:docPr descr="Рис. 36: Выполняем задание" title="" id="16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2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Выполняем задание</w:t>
      </w:r>
    </w:p>
    <w:bookmarkEnd w:id="164"/>
    <w:p>
      <w:pPr>
        <w:pStyle w:val="BodyText"/>
      </w:pPr>
      <w:r>
        <w:t xml:space="preserve">Ознакамливаемся с двадцать третьим вопросом (рис. 37).</w:t>
      </w:r>
    </w:p>
    <w:bookmarkStart w:id="168" w:name="fig:037"/>
    <w:p>
      <w:pPr>
        <w:pStyle w:val="CaptionedFigure"/>
      </w:pPr>
      <w:r>
        <w:drawing>
          <wp:inline>
            <wp:extent cx="3733800" cy="2474408"/>
            <wp:effectExtent b="0" l="0" r="0" t="0"/>
            <wp:docPr descr="Рис. 37: Смотрим текст вопроса" title="" id="16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3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Смотрим текст вопроса</w:t>
      </w:r>
    </w:p>
    <w:bookmarkEnd w:id="16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Заходим в tmux и пробуем делить экран и перемещаться по ним (рис. 38).</w:t>
      </w:r>
    </w:p>
    <w:bookmarkStart w:id="172" w:name="fig:038"/>
    <w:p>
      <w:pPr>
        <w:pStyle w:val="CaptionedFigure"/>
      </w:pPr>
      <w:r>
        <w:drawing>
          <wp:inline>
            <wp:extent cx="3733800" cy="2779714"/>
            <wp:effectExtent b="0" l="0" r="0" t="0"/>
            <wp:docPr descr="Рис. 38: Выполняем задание" title="" id="17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2/34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Выполняем задание</w:t>
      </w:r>
    </w:p>
    <w:bookmarkEnd w:id="172"/>
    <w:bookmarkEnd w:id="173"/>
    <w:bookmarkStart w:id="17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Освоив работу на удаленном сервере, я научилась подключаться через SSH, запускать биоинформатические программы и управлять процессами. Теперь могу передавать данные между сервером и локальным компьютером, контролировать ресурсы и оптимизировать работу с большими файлами. Эти навыки позволяют эффективно использовать удаленные мощности для анализа данных.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25" Target="media/rId25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29" Target="media/rId2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внешнего курса</dc:title>
  <dc:creator>Виноградова Мария Андреевна</dc:creator>
  <dc:language>ru-RU</dc:language>
  <cp:keywords/>
  <dcterms:created xsi:type="dcterms:W3CDTF">2025-05-17T11:37:59Z</dcterms:created>
  <dcterms:modified xsi:type="dcterms:W3CDTF">2025-05-17T11:37:59Z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Работа на сервере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