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5.png" ContentType="image/png"/>
  <Override PartName="/word/media/rId26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 4</w:t>
      </w:r>
    </w:p>
    <w:p>
      <w:pPr>
        <w:pStyle w:val="Subtitle"/>
      </w:pPr>
      <w:r>
        <w:t xml:space="preserve">Адресация IPv4 и IPv6. Двойной стек</w:t>
      </w:r>
    </w:p>
    <w:p>
      <w:pPr>
        <w:pStyle w:val="Author"/>
      </w:pPr>
      <w:r>
        <w:t xml:space="preserve">Виноградова Мария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 устройствах сети.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Настройка двойного стека адресации IPv4 и IPv6 в локальной сети.</w:t>
      </w:r>
    </w:p>
    <w:p>
      <w:pPr>
        <w:pStyle w:val="Compact"/>
        <w:numPr>
          <w:ilvl w:val="0"/>
          <w:numId w:val="1001"/>
        </w:numPr>
      </w:pPr>
      <w:r>
        <w:t xml:space="preserve">Выполнение задания для самостоятельного выполнения: характеристика подсетей, предложение варианта таблицы адресации, настройка IP-адресации на маршрутизаторе VyOS и оконечных устройствах, проверка подключения.</w:t>
      </w:r>
    </w:p>
    <w:bookmarkEnd w:id="21"/>
    <w:bookmarkStart w:id="11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94" w:name="Xaa98339a1bc9a01348fb7b4bcd912a06bb3c57d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Настройка двойного стека адресации IPv4 и IPv6 в локальной сети</w:t>
      </w:r>
    </w:p>
    <w:p>
      <w:pPr>
        <w:pStyle w:val="FirstParagraph"/>
      </w:pPr>
      <w:r>
        <w:t xml:space="preserve">Запускаем GNS3VM и GNS3. Создаём новый проект (рис. 1).</w:t>
      </w:r>
    </w:p>
    <w:bookmarkStart w:id="25" w:name="fig:001"/>
    <w:p>
      <w:pPr>
        <w:pStyle w:val="CaptionedFigure"/>
      </w:pPr>
      <w:r>
        <w:drawing>
          <wp:inline>
            <wp:extent cx="3733800" cy="1805022"/>
            <wp:effectExtent b="0" l="0" r="0" t="0"/>
            <wp:docPr descr="Рис. 1: Создание нового проекта в GNS3 с именем lab-4-mavinogradova" title="" id="23" name="Picture"/>
            <a:graphic>
              <a:graphicData uri="http://schemas.openxmlformats.org/drawingml/2006/picture">
                <pic:pic>
                  <pic:nvPicPr>
                    <pic:cNvPr descr="/home/mavinogradova/skreens/SetyLb4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5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нового проекта в GNS3 с именем lab-4-mavinogradova</w:t>
      </w:r>
    </w:p>
    <w:bookmarkEnd w:id="25"/>
    <w:p>
      <w:pPr>
        <w:pStyle w:val="BodyText"/>
      </w:pPr>
      <w:r>
        <w:t xml:space="preserve">В рабочем пространстве размещаем и соединяем устройства в соответствии с топологией, приведённой на рис. 4.1. Для подсети IPv4 используем маршрутизатор FRR, а для подсети с IPv6 — маршрутизатор VyOS. По умолчанию у VyOS доступен только один сетевой интерфейс, поэтому в свойствах устройства на вкладке Network добавляем три сетевых адаптера (рис. 2).</w:t>
      </w:r>
    </w:p>
    <w:bookmarkStart w:id="29" w:name="fig:002"/>
    <w:p>
      <w:pPr>
        <w:pStyle w:val="CaptionedFigure"/>
      </w:pPr>
      <w:r>
        <w:drawing>
          <wp:inline>
            <wp:extent cx="3733800" cy="3752543"/>
            <wp:effectExtent b="0" l="0" r="0" t="0"/>
            <wp:docPr descr="Рис. 2: Добавление трех сетевых адаптеров в настройках маршрутизатора VyOS" title="" id="27" name="Picture"/>
            <a:graphic>
              <a:graphicData uri="http://schemas.openxmlformats.org/drawingml/2006/picture">
                <pic:pic>
                  <pic:nvPicPr>
                    <pic:cNvPr descr="/home/mavinogradova/skreens/SetyLb4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2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Добавление трех сетевых адаптеров в настройках маршрутизатора VyOS</w:t>
      </w:r>
    </w:p>
    <w:bookmarkEnd w:id="29"/>
    <w:p>
      <w:pPr>
        <w:pStyle w:val="BodyText"/>
      </w:pPr>
      <w:r>
        <w:t xml:space="preserve">Изменяем отображаемые названия устройств. Коммутаторам присваиваем названия по принципу</w:t>
      </w:r>
      <w:r>
        <w:t xml:space="preserve"> </w:t>
      </w:r>
      <w:r>
        <w:rPr>
          <w:rStyle w:val="VerbatimChar"/>
        </w:rPr>
        <w:t xml:space="preserve">msk-mavinogradova-sw-0x</w:t>
      </w:r>
      <w:r>
        <w:t xml:space="preserve">, маршрутизаторам — по принципу</w:t>
      </w:r>
      <w:r>
        <w:t xml:space="preserve"> </w:t>
      </w:r>
      <w:r>
        <w:rPr>
          <w:rStyle w:val="VerbatimChar"/>
        </w:rPr>
        <w:t xml:space="preserve">msk-mavinogradova-gw-0x</w:t>
      </w:r>
      <w:r>
        <w:t xml:space="preserve">, оконечным устройствам —</w:t>
      </w:r>
      <w:r>
        <w:t xml:space="preserve"> </w:t>
      </w:r>
      <w:r>
        <w:rPr>
          <w:rStyle w:val="VerbatimChar"/>
        </w:rPr>
        <w:t xml:space="preserve">PCX-mavinogradova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Server-mavinogradova</w:t>
      </w:r>
      <w:r>
        <w:t xml:space="preserve">. Соединяем устройства линками в соответствии с топологией (рис. 3).</w:t>
      </w:r>
    </w:p>
    <w:bookmarkStart w:id="33" w:name="fig:003"/>
    <w:p>
      <w:pPr>
        <w:pStyle w:val="CaptionedFigure"/>
      </w:pPr>
      <w:r>
        <w:drawing>
          <wp:inline>
            <wp:extent cx="3733800" cy="2054541"/>
            <wp:effectExtent b="0" l="0" r="0" t="0"/>
            <wp:docPr descr="Рис. 3: Собранная топология сети в GNS3 с переименованными устройствами и соединенными линками" title="" id="31" name="Picture"/>
            <a:graphic>
              <a:graphicData uri="http://schemas.openxmlformats.org/drawingml/2006/picture">
                <pic:pic>
                  <pic:nvPicPr>
                    <pic:cNvPr descr="/home/mavinogradova/skreens/SetyLb4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4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Собранная топология сети в GNS3 с переименованными устройствами и соединенными линками</w:t>
      </w:r>
    </w:p>
    <w:bookmarkEnd w:id="33"/>
    <w:p>
      <w:pPr>
        <w:pStyle w:val="BodyText"/>
      </w:pPr>
      <w:r>
        <w:t xml:space="preserve">Включаем захват трафика на соединении между сервером двойного стека адресации и ближайшим к нему коммутатором. Запускаем захват в Wireshark (рис. 4).</w:t>
      </w:r>
    </w:p>
    <w:bookmarkStart w:id="37" w:name="fig:004"/>
    <w:p>
      <w:pPr>
        <w:pStyle w:val="CaptionedFigure"/>
      </w:pPr>
      <w:r>
        <w:drawing>
          <wp:inline>
            <wp:extent cx="3733800" cy="2459728"/>
            <wp:effectExtent b="0" l="0" r="0" t="0"/>
            <wp:docPr descr="Рис. 4: Запущенный захват трафика в Wireshark на линке между коммутатором и сервером" title="" id="35" name="Picture"/>
            <a:graphic>
              <a:graphicData uri="http://schemas.openxmlformats.org/drawingml/2006/picture">
                <pic:pic>
                  <pic:nvPicPr>
                    <pic:cNvPr descr="/home/mavinogradova/skreens/SetyLb4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Запущенный захват трафика в Wireshark на линке между коммутатором и сервером</w:t>
      </w:r>
    </w:p>
    <w:bookmarkEnd w:id="37"/>
    <w:p>
      <w:pPr>
        <w:pStyle w:val="BodyText"/>
      </w:pPr>
      <w:r>
        <w:t xml:space="preserve">Руководствуясь табл. 4.1, настраиваем IPv4-адресацию для интерфейсов узлов PC1, PC2, Server. Для этого в консолях узлов вводим соответствующие команды, сохраняем конфигурацию и просматриваем настройки IPv4 и IPv6 (рис. 5).</w:t>
      </w:r>
    </w:p>
    <w:bookmarkStart w:id="41" w:name="fig:005"/>
    <w:p>
      <w:pPr>
        <w:pStyle w:val="CaptionedFigure"/>
      </w:pPr>
      <w:r>
        <w:drawing>
          <wp:inline>
            <wp:extent cx="3733800" cy="2344680"/>
            <wp:effectExtent b="0" l="0" r="0" t="0"/>
            <wp:docPr descr="Рис. 5: Настройка и проверка IPv4-адресации на узлах PC1, PC2 и Server" title="" id="39" name="Picture"/>
            <a:graphic>
              <a:graphicData uri="http://schemas.openxmlformats.org/drawingml/2006/picture">
                <pic:pic>
                  <pic:nvPicPr>
                    <pic:cNvPr descr="/home/mavinogradova/skreens/SetyLb4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4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и проверка IPv4-адресации на узлах PC1, PC2 и Server</w:t>
      </w:r>
    </w:p>
    <w:bookmarkEnd w:id="41"/>
    <w:p>
      <w:pPr>
        <w:pStyle w:val="BodyText"/>
      </w:pPr>
      <w:r>
        <w:t xml:space="preserve">Руководствуясь табл. 4.1, настраиваем IPv4-адресацию для интерфейсов локальной сети маршрутизатора FRR</w:t>
      </w:r>
      <w:r>
        <w:t xml:space="preserve"> </w:t>
      </w:r>
      <w:r>
        <w:rPr>
          <w:rStyle w:val="VerbatimChar"/>
        </w:rPr>
        <w:t xml:space="preserve">msk-mavinogradova-gw-01</w:t>
      </w:r>
      <w:r>
        <w:t xml:space="preserve">. Вводим команды для изменения имени хоста и назначения IP-адресов на интерфейсы eth0, eth1 и eth2, после чего сохраняем конфигурацию (рис. 6).</w:t>
      </w:r>
    </w:p>
    <w:bookmarkStart w:id="45" w:name="fig:006"/>
    <w:p>
      <w:pPr>
        <w:pStyle w:val="CaptionedFigure"/>
      </w:pPr>
      <w:r>
        <w:drawing>
          <wp:inline>
            <wp:extent cx="3733800" cy="2574258"/>
            <wp:effectExtent b="0" l="0" r="0" t="0"/>
            <wp:docPr descr="Рис. 6: Настройка IPv4-адресов на маршрутизаторе FRR, смена имени хоста и сохранение конфигурации" title="" id="43" name="Picture"/>
            <a:graphic>
              <a:graphicData uri="http://schemas.openxmlformats.org/drawingml/2006/picture">
                <pic:pic>
                  <pic:nvPicPr>
                    <pic:cNvPr descr="/home/mavinogradova/skreens/SetyLb4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4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IPv4-адресов на маршрутизаторе FRR, смена имени хоста и сохранение конфигурации</w:t>
      </w:r>
    </w:p>
    <w:bookmarkEnd w:id="45"/>
    <w:p>
      <w:pPr>
        <w:pStyle w:val="BodyText"/>
      </w:pPr>
      <w:r>
        <w:t xml:space="preserve">Проверяем конфигурацию маршрутизатора и настройки IPv4-адресации с помощью команд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interface brief</w:t>
      </w:r>
      <w:r>
        <w:t xml:space="preserve"> </w:t>
      </w:r>
      <w:r>
        <w:t xml:space="preserve">(рис. 7).</w:t>
      </w:r>
    </w:p>
    <w:bookmarkStart w:id="49" w:name="fig:007"/>
    <w:p>
      <w:pPr>
        <w:pStyle w:val="CaptionedFigure"/>
      </w:pPr>
      <w:r>
        <w:drawing>
          <wp:inline>
            <wp:extent cx="3733800" cy="3809459"/>
            <wp:effectExtent b="0" l="0" r="0" t="0"/>
            <wp:docPr descr="Рис. 7: Проверка конфигурации маршрутизатора FRR" title="" id="47" name="Picture"/>
            <a:graphic>
              <a:graphicData uri="http://schemas.openxmlformats.org/drawingml/2006/picture">
                <pic:pic>
                  <pic:nvPicPr>
                    <pic:cNvPr descr="/home/mavinogradova/skreens/SetyLb4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09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 конфигурации маршрутизатора FRR</w:t>
      </w:r>
    </w:p>
    <w:bookmarkEnd w:id="49"/>
    <w:p>
      <w:pPr>
        <w:pStyle w:val="BodyText"/>
      </w:pPr>
      <w:r>
        <w:t xml:space="preserve">Проверяем подключение с помощью команд ping и trace. Узлы PC1 и PC2 должны успешно отправлять эхо-запросы друг другу и на сервер с двойным стеком (Dual Stack Server) (рис. 8).</w:t>
      </w:r>
    </w:p>
    <w:bookmarkStart w:id="53" w:name="fig:008"/>
    <w:p>
      <w:pPr>
        <w:pStyle w:val="CaptionedFigure"/>
      </w:pPr>
      <w:r>
        <w:drawing>
          <wp:inline>
            <wp:extent cx="3733800" cy="1114913"/>
            <wp:effectExtent b="0" l="0" r="0" t="0"/>
            <wp:docPr descr="Рис. 8: Проверка подключения по IPv4 между PC1, PC2 и сервером" title="" id="51" name="Picture"/>
            <a:graphic>
              <a:graphicData uri="http://schemas.openxmlformats.org/drawingml/2006/picture">
                <pic:pic>
                  <pic:nvPicPr>
                    <pic:cNvPr descr="/home/mavinogradova/skreens/SetyLb4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4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 подключения по IPv4 между PC1, PC2 и сервером</w:t>
      </w:r>
    </w:p>
    <w:bookmarkEnd w:id="53"/>
    <w:p>
      <w:pPr>
        <w:pStyle w:val="BodyText"/>
      </w:pPr>
      <w:r>
        <w:t xml:space="preserve">Руководствуясь табл. 4.1, настраиваем IPv6-адресацию для интерфейсов узлов PC3, PC4, Server. Вводим команды и сохраняем конфигурацию (рис. 9).</w:t>
      </w:r>
    </w:p>
    <w:bookmarkStart w:id="57" w:name="fig:009"/>
    <w:p>
      <w:pPr>
        <w:pStyle w:val="CaptionedFigure"/>
      </w:pPr>
      <w:r>
        <w:drawing>
          <wp:inline>
            <wp:extent cx="3733800" cy="2257518"/>
            <wp:effectExtent b="0" l="0" r="0" t="0"/>
            <wp:docPr descr="Рис. 9: Настройка IPv6-адресов на узлах PC3, PC4 и Server" title="" id="55" name="Picture"/>
            <a:graphic>
              <a:graphicData uri="http://schemas.openxmlformats.org/drawingml/2006/picture">
                <pic:pic>
                  <pic:nvPicPr>
                    <pic:cNvPr descr="/home/mavinogradova/skreens/SetyLb4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7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 IPv6-адресов на узлах PC3, PC4 и Server</w:t>
      </w:r>
    </w:p>
    <w:bookmarkEnd w:id="57"/>
    <w:p>
      <w:pPr>
        <w:pStyle w:val="BodyText"/>
      </w:pPr>
      <w:r>
        <w:t xml:space="preserve">Просматриваем на PC3 и PC4 конфигурацию IPv4 и IPv6 с помощью команд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(рис. 10).</w:t>
      </w:r>
    </w:p>
    <w:bookmarkStart w:id="61" w:name="fig:010"/>
    <w:p>
      <w:pPr>
        <w:pStyle w:val="CaptionedFigure"/>
      </w:pPr>
      <w:r>
        <w:drawing>
          <wp:inline>
            <wp:extent cx="3733800" cy="1069224"/>
            <wp:effectExtent b="0" l="0" r="0" t="0"/>
            <wp:docPr descr="Рис. 10: Проверка конфигурации IPv4 и IPv6 на PC3 и PC4" title="" id="59" name="Picture"/>
            <a:graphic>
              <a:graphicData uri="http://schemas.openxmlformats.org/drawingml/2006/picture">
                <pic:pic>
                  <pic:nvPicPr>
                    <pic:cNvPr descr="/home/mavinogradova/skreens/SetyLb4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9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конфигурации IPv4 и IPv6 на PC3 и PC4</w:t>
      </w:r>
    </w:p>
    <w:bookmarkEnd w:id="61"/>
    <w:p>
      <w:pPr>
        <w:pStyle w:val="BodyText"/>
      </w:pPr>
      <w:r>
        <w:t xml:space="preserve">Руководствуясь табл. 4.1, настраиваем IPv6-адресацию для интерфейсов локальной сети маршрутизатора VyOS</w:t>
      </w:r>
      <w:r>
        <w:t xml:space="preserve"> </w:t>
      </w:r>
      <w:r>
        <w:rPr>
          <w:rStyle w:val="VerbatimChar"/>
        </w:rPr>
        <w:t xml:space="preserve">msk-mavinogradova-gw-02</w:t>
      </w:r>
      <w:r>
        <w:t xml:space="preserve">. Переходим в режим конфигурирования, изменяем имя устройства и удаляем указание на назначение IP-адреса по DHCP для интерфейса eth0, после чего сохраняем изменения (рис. 11).</w:t>
      </w:r>
    </w:p>
    <w:bookmarkStart w:id="65" w:name="fig:011"/>
    <w:p>
      <w:pPr>
        <w:pStyle w:val="CaptionedFigure"/>
      </w:pPr>
      <w:r>
        <w:drawing>
          <wp:inline>
            <wp:extent cx="3733800" cy="2228611"/>
            <wp:effectExtent b="0" l="0" r="0" t="0"/>
            <wp:docPr descr="Рис. 11: Первичная настройка маршрутизатора VyOS: смена имени хоста, удаление DHCP с eth0 и сохранение" title="" id="63" name="Picture"/>
            <a:graphic>
              <a:graphicData uri="http://schemas.openxmlformats.org/drawingml/2006/picture">
                <pic:pic>
                  <pic:nvPicPr>
                    <pic:cNvPr descr="/home/mavinogradova/skreens/SetyLb4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8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Первичная настройка маршрутизатора VyOS: смена имени хоста, удаление DHCP с eth0 и сохранение</w:t>
      </w:r>
    </w:p>
    <w:bookmarkEnd w:id="65"/>
    <w:p>
      <w:pPr>
        <w:pStyle w:val="BodyText"/>
      </w:pPr>
      <w:r>
        <w:t xml:space="preserve">Выполняем перезагрузку маршрутизатора VyOS для применения изменений (рис. 12).</w:t>
      </w:r>
    </w:p>
    <w:bookmarkStart w:id="69" w:name="fig:012"/>
    <w:p>
      <w:pPr>
        <w:pStyle w:val="CaptionedFigure"/>
      </w:pPr>
      <w:r>
        <w:drawing>
          <wp:inline>
            <wp:extent cx="3733800" cy="2222407"/>
            <wp:effectExtent b="0" l="0" r="0" t="0"/>
            <wp:docPr descr="Рис. 12: Ввод команды reboot на маршрутизаторе VyOS" title="" id="67" name="Picture"/>
            <a:graphic>
              <a:graphicData uri="http://schemas.openxmlformats.org/drawingml/2006/picture">
                <pic:pic>
                  <pic:nvPicPr>
                    <pic:cNvPr descr="/home/mavinogradova/skreens/SetyLb4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2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Ввод команды reboot на маршрутизаторе VyOS</w:t>
      </w:r>
    </w:p>
    <w:bookmarkEnd w:id="69"/>
    <w:p>
      <w:pPr>
        <w:pStyle w:val="BodyText"/>
      </w:pPr>
      <w:r>
        <w:t xml:space="preserve">После перезагрузки назначаем IPv6-адреса маршрутизатора</w:t>
      </w:r>
      <w:r>
        <w:t xml:space="preserve"> </w:t>
      </w:r>
      <w:r>
        <w:rPr>
          <w:rStyle w:val="VerbatimChar"/>
        </w:rPr>
        <w:t xml:space="preserve">msk-mavinogradova-gw-02</w:t>
      </w:r>
      <w:r>
        <w:t xml:space="preserve"> </w:t>
      </w:r>
      <w:r>
        <w:t xml:space="preserve">на интерфейсы eth0, eth1 и eth2, настраиваем service router-advert, применяем конфигурацию (</w:t>
      </w:r>
      <w:r>
        <w:rPr>
          <w:rStyle w:val="VerbatimChar"/>
        </w:rPr>
        <w:t xml:space="preserve">commit</w:t>
      </w:r>
      <w:r>
        <w:t xml:space="preserve">), сохраняем (</w:t>
      </w:r>
      <w:r>
        <w:rPr>
          <w:rStyle w:val="VerbatimChar"/>
        </w:rPr>
        <w:t xml:space="preserve">save</w:t>
      </w:r>
      <w:r>
        <w:t xml:space="preserve">) и проверяем интерфейсы (</w:t>
      </w:r>
      <w:r>
        <w:rPr>
          <w:rStyle w:val="VerbatimChar"/>
        </w:rPr>
        <w:t xml:space="preserve">show interfaces</w:t>
      </w:r>
      <w:r>
        <w:t xml:space="preserve">) (рис. 13).</w:t>
      </w:r>
    </w:p>
    <w:bookmarkStart w:id="73" w:name="fig:013"/>
    <w:p>
      <w:pPr>
        <w:pStyle w:val="CaptionedFigure"/>
      </w:pPr>
      <w:r>
        <w:drawing>
          <wp:inline>
            <wp:extent cx="3733800" cy="5011442"/>
            <wp:effectExtent b="0" l="0" r="0" t="0"/>
            <wp:docPr descr="Рис. 13: Настройка IPv6-адресов на трех интерфейсах VyOS и проверка" title="" id="71" name="Picture"/>
            <a:graphic>
              <a:graphicData uri="http://schemas.openxmlformats.org/drawingml/2006/picture">
                <pic:pic>
                  <pic:nvPicPr>
                    <pic:cNvPr descr="/home/mavinogradova/skreens/SetyLb4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11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Настройка IPv6-адресов на трех интерфейсах VyOS и проверка</w:t>
      </w:r>
    </w:p>
    <w:bookmarkEnd w:id="73"/>
    <w:p>
      <w:pPr>
        <w:pStyle w:val="BodyText"/>
      </w:pPr>
      <w:r>
        <w:t xml:space="preserve">Проверяем подключение с помощью команд ping и trace. Узлы PC3 и PC4 должны успешно отправлять эхо-запросы друг другу и на сервер с двойным стеком (Dual Stack Server) (рис. 14).</w:t>
      </w:r>
    </w:p>
    <w:bookmarkStart w:id="77" w:name="fig:014"/>
    <w:p>
      <w:pPr>
        <w:pStyle w:val="CaptionedFigure"/>
      </w:pPr>
      <w:r>
        <w:drawing>
          <wp:inline>
            <wp:extent cx="3733800" cy="1076767"/>
            <wp:effectExtent b="0" l="0" r="0" t="0"/>
            <wp:docPr descr="Рис. 14: Проверка IPv6-подключения между PC3, PC4 и сервером" title="" id="75" name="Picture"/>
            <a:graphic>
              <a:graphicData uri="http://schemas.openxmlformats.org/drawingml/2006/picture">
                <pic:pic>
                  <pic:nvPicPr>
                    <pic:cNvPr descr="/home/mavinogradova/skreens/SetyLb4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6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Проверка IPv6-подключения между PC3, PC4 и сервером</w:t>
      </w:r>
    </w:p>
    <w:bookmarkEnd w:id="77"/>
    <w:p>
      <w:pPr>
        <w:pStyle w:val="BodyText"/>
      </w:pPr>
      <w:r>
        <w:t xml:space="preserve">Убеждаемся, что устройства из подсети IPv4 не доступны для устройств из подсети IPv6 и наоборот. Только сервер двойного стека может обращаться к устройствам обеих подсетей (рис. 15).</w:t>
      </w:r>
    </w:p>
    <w:bookmarkStart w:id="81" w:name="fig:015"/>
    <w:p>
      <w:pPr>
        <w:pStyle w:val="CaptionedFigure"/>
      </w:pPr>
      <w:r>
        <w:drawing>
          <wp:inline>
            <wp:extent cx="3733800" cy="2177586"/>
            <wp:effectExtent b="0" l="0" r="0" t="0"/>
            <wp:docPr descr="Рис. 15: Проверка изоляции сетей" title="" id="79" name="Picture"/>
            <a:graphic>
              <a:graphicData uri="http://schemas.openxmlformats.org/drawingml/2006/picture">
                <pic:pic>
                  <pic:nvPicPr>
                    <pic:cNvPr descr="/home/mavinogradova/skreens/SetyLb4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7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Проверка изоляции сетей</w:t>
      </w:r>
    </w:p>
    <w:bookmarkEnd w:id="81"/>
    <w:p>
      <w:pPr>
        <w:pStyle w:val="BodyText"/>
      </w:pPr>
      <w:r>
        <w:t xml:space="preserve">Смотрим захваченный на соединении сервера двойного стека адресации с коммутатором трафик ARP, ICMP, ICMPv6. Анализируем ARP-запросы (рис. 16).</w:t>
      </w:r>
    </w:p>
    <w:bookmarkStart w:id="85" w:name="fig:016"/>
    <w:p>
      <w:pPr>
        <w:pStyle w:val="CaptionedFigure"/>
      </w:pPr>
      <w:r>
        <w:drawing>
          <wp:inline>
            <wp:extent cx="3733800" cy="2446984"/>
            <wp:effectExtent b="0" l="0" r="0" t="0"/>
            <wp:docPr descr="Рис. 16: Анализ перехваченного трафика в Wireshark по фильтру arp" title="" id="83" name="Picture"/>
            <a:graphic>
              <a:graphicData uri="http://schemas.openxmlformats.org/drawingml/2006/picture">
                <pic:pic>
                  <pic:nvPicPr>
                    <pic:cNvPr descr="/home/mavinogradova/skreens/SetyLb4/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6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Анализ перехваченного трафика в Wireshark по фильтру arp</w:t>
      </w:r>
    </w:p>
    <w:bookmarkEnd w:id="85"/>
    <w:p>
      <w:pPr>
        <w:pStyle w:val="BodyText"/>
      </w:pPr>
      <w:r>
        <w:t xml:space="preserve">Анализируем ICMP-трафик (рис. 17).</w:t>
      </w:r>
    </w:p>
    <w:bookmarkStart w:id="89" w:name="fig:017"/>
    <w:p>
      <w:pPr>
        <w:pStyle w:val="CaptionedFigure"/>
      </w:pPr>
      <w:r>
        <w:drawing>
          <wp:inline>
            <wp:extent cx="3733800" cy="2454354"/>
            <wp:effectExtent b="0" l="0" r="0" t="0"/>
            <wp:docPr descr="Рис. 17: Анализ перехваченного трафика в Wireshark по фильтру icmp" title="" id="87" name="Picture"/>
            <a:graphic>
              <a:graphicData uri="http://schemas.openxmlformats.org/drawingml/2006/picture">
                <pic:pic>
                  <pic:nvPicPr>
                    <pic:cNvPr descr="/home/mavinogradova/skreens/SetyLb4/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4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Анализ перехваченного трафика в Wireshark по фильтру icmp</w:t>
      </w:r>
    </w:p>
    <w:bookmarkEnd w:id="89"/>
    <w:p>
      <w:pPr>
        <w:pStyle w:val="BodyText"/>
      </w:pPr>
      <w:r>
        <w:t xml:space="preserve">Анализируем трафик ICMPv6 (рис. 18).</w:t>
      </w:r>
    </w:p>
    <w:bookmarkStart w:id="93" w:name="fig:018"/>
    <w:p>
      <w:pPr>
        <w:pStyle w:val="CaptionedFigure"/>
      </w:pPr>
      <w:r>
        <w:drawing>
          <wp:inline>
            <wp:extent cx="3733800" cy="2438722"/>
            <wp:effectExtent b="0" l="0" r="0" t="0"/>
            <wp:docPr descr="Рис. 18: Анализ перехваченного трафика в Wireshark по фильтру icmpv6" title="" id="91" name="Picture"/>
            <a:graphic>
              <a:graphicData uri="http://schemas.openxmlformats.org/drawingml/2006/picture">
                <pic:pic>
                  <pic:nvPicPr>
                    <pic:cNvPr descr="/home/mavinogradova/skreens/SetyLb4/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8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Анализ перехваченного трафика в Wireshark по фильтру icmpv6</w:t>
      </w:r>
    </w:p>
    <w:bookmarkEnd w:id="93"/>
    <w:p>
      <w:pPr>
        <w:pStyle w:val="BodyText"/>
      </w:pPr>
      <w:r>
        <w:t xml:space="preserve">На основе перехваченных пакетов можно сделать следующие выводы: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ARP:</w:t>
      </w:r>
      <w:r>
        <w:t xml:space="preserve"> </w:t>
      </w:r>
      <w:r>
        <w:t xml:space="preserve">Из ARP-пакетов извлекается информация о том, как сервер определяет MAC-адреса устройств в локальной сети IPv4. Видно, что сервер (IP 64.100.1.10) и его шлюз (IP 64.100.1.1) обмениваются запросами и ответами для построения таблицы ARP.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ICMP:</w:t>
      </w:r>
      <w:r>
        <w:t xml:space="preserve"> </w:t>
      </w:r>
      <w:r>
        <w:t xml:space="preserve">Трафик ICMP подтверждает успешную проверку связи по протоколу IPv4. Сервер успешно принимает эхо-запросы от PC1 и PC2 и отправляет им ответы.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ICMPv6:</w:t>
      </w:r>
      <w:r>
        <w:t xml:space="preserve"> </w:t>
      </w:r>
      <w:r>
        <w:t xml:space="preserve">Трафик ICMPv6 подтверждает работу протокола IPv6. Видны эхо-запросы и ответы между сервером и узлами PC3, PC4. Это доказывает, что двойной стек (Dual Stack) на сервере работает корректно, и он может общаться как по IPv4, так и по IPv6.</w:t>
      </w:r>
    </w:p>
    <w:bookmarkEnd w:id="94"/>
    <w:bookmarkStart w:id="111" w:name="задание-для-самостоятельного-выполнения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Задание для самостоятельного выполнения</w:t>
      </w:r>
    </w:p>
    <w:p>
      <w:pPr>
        <w:pStyle w:val="FirstParagraph"/>
      </w:pPr>
      <w:r>
        <w:t xml:space="preserve">Задана топология сети (рис. 4.2). Предполагается, что маршрутизатор разбивает сеть на две подсети с адресами IPv4 и IPv6:</w:t>
      </w:r>
      <w:r>
        <w:t xml:space="preserve"> </w:t>
      </w:r>
      <w:r>
        <w:t xml:space="preserve">– подсеть 1: 10.10.1.96/27; 2001:DB8:1:1::/64;</w:t>
      </w:r>
      <w:r>
        <w:t xml:space="preserve"> </w:t>
      </w:r>
      <w:r>
        <w:t xml:space="preserve">– подсеть 2: 10.10.1.16/28; 2001:DB8:1:4::/64.</w:t>
      </w:r>
    </w:p>
    <w:p>
      <w:pPr>
        <w:pStyle w:val="BodyText"/>
      </w:pPr>
      <w:r>
        <w:t xml:space="preserve">Собираем топологию для второй части работы в новом проекте, соединяя два компьютера, два коммутатора и маршрутизатор VyOS (рис. 19).</w:t>
      </w:r>
    </w:p>
    <w:bookmarkStart w:id="98" w:name="fig:019"/>
    <w:p>
      <w:pPr>
        <w:pStyle w:val="CaptionedFigure"/>
      </w:pPr>
      <w:r>
        <w:drawing>
          <wp:inline>
            <wp:extent cx="3733800" cy="1468800"/>
            <wp:effectExtent b="0" l="0" r="0" t="0"/>
            <wp:docPr descr="Рис. 19: Собранная топология для второй части работы" title="" id="96" name="Picture"/>
            <a:graphic>
              <a:graphicData uri="http://schemas.openxmlformats.org/drawingml/2006/picture">
                <pic:pic>
                  <pic:nvPicPr>
                    <pic:cNvPr descr="/home/mavinogradova/skreens/SetyLb4/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Собранная топология для второй части работы</w:t>
      </w:r>
    </w:p>
    <w:bookmarkEnd w:id="98"/>
    <w:p>
      <w:pPr>
        <w:pStyle w:val="BodyText"/>
      </w:pPr>
      <w:r>
        <w:rPr>
          <w:b/>
          <w:bCs/>
        </w:rPr>
        <w:t xml:space="preserve">1. Характеристика подсетей и расчет адресов</w:t>
      </w:r>
    </w:p>
    <w:p>
      <w:pPr>
        <w:pStyle w:val="BodyText"/>
      </w:pPr>
      <w:r>
        <w:t xml:space="preserve">Для того чтобы понять, какие адреса входят в подсети, произведем расчет масок и диапазонов.</w:t>
      </w:r>
    </w:p>
    <w:p>
      <w:pPr>
        <w:pStyle w:val="BodyText"/>
      </w:pPr>
      <w:r>
        <w:rPr>
          <w:b/>
          <w:bCs/>
        </w:rPr>
        <w:t xml:space="preserve">Подсеть 1: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10.10.1.96/27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Маска:</w:t>
      </w:r>
      <w:r>
        <w:t xml:space="preserve"> </w:t>
      </w:r>
      <w:r>
        <w:t xml:space="preserve">Префикс</w:t>
      </w:r>
      <w:r>
        <w:t xml:space="preserve"> </w:t>
      </w:r>
      <w:r>
        <w:rPr>
          <w:rStyle w:val="VerbatimChar"/>
        </w:rPr>
        <w:t xml:space="preserve">/27</w:t>
      </w:r>
      <w:r>
        <w:t xml:space="preserve"> </w:t>
      </w:r>
      <w:r>
        <w:t xml:space="preserve">означает, что первые 27 бит отведены под адрес сети. В десятичном формате это</w:t>
      </w:r>
      <w:r>
        <w:t xml:space="preserve"> </w:t>
      </w:r>
      <w:r>
        <w:rPr>
          <w:rStyle w:val="VerbatimChar"/>
        </w:rPr>
        <w:t xml:space="preserve">255.255.255.224</w:t>
      </w:r>
      <w:r>
        <w:t xml:space="preserve"> </w:t>
      </w:r>
      <w:r>
        <w:t xml:space="preserve">(так как последний октет</w:t>
      </w:r>
      <w:r>
        <w:t xml:space="preserve"> </w:t>
      </w:r>
      <w:r>
        <w:rPr>
          <w:rStyle w:val="VerbatimChar"/>
        </w:rPr>
        <w:t xml:space="preserve">11100000</w:t>
      </w:r>
      <w:r>
        <w:t xml:space="preserve"> </w:t>
      </w:r>
      <w:r>
        <w:t xml:space="preserve">в двоичной системе равен</w:t>
      </w:r>
      <w:r>
        <w:t xml:space="preserve"> </w:t>
      </w:r>
      <w:r>
        <w:rPr>
          <w:rStyle w:val="VerbatimChar"/>
        </w:rPr>
        <w:t xml:space="preserve">128 + 64 + 32 = 224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Размер подсети (шаг):</w:t>
      </w:r>
      <w:r>
        <w:t xml:space="preserve"> </w:t>
      </w:r>
      <w:r>
        <w:t xml:space="preserve">Количество адресов в подсети равно (2^{32-27} = 2^5 = 32). Шаг сети равен 32.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Адрес сети:</w:t>
      </w:r>
      <w:r>
        <w:t xml:space="preserve"> </w:t>
      </w:r>
      <w:r>
        <w:rPr>
          <w:rStyle w:val="VerbatimChar"/>
        </w:rPr>
        <w:t xml:space="preserve">10.10.1.96</w:t>
      </w:r>
      <w:r>
        <w:t xml:space="preserve"> </w:t>
      </w:r>
      <w:r>
        <w:t xml:space="preserve">(так как 96 делится на 32 без остатка).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Широковещательный (broadcast) адрес:</w:t>
      </w:r>
      <w:r>
        <w:t xml:space="preserve"> </w:t>
      </w:r>
      <w:r>
        <w:t xml:space="preserve">Это последний адрес в подсети. Следующая сеть начинается с</w:t>
      </w:r>
      <w:r>
        <w:t xml:space="preserve"> </w:t>
      </w:r>
      <w:r>
        <w:rPr>
          <w:rStyle w:val="VerbatimChar"/>
        </w:rPr>
        <w:t xml:space="preserve">10.10.1.128</w:t>
      </w:r>
      <w:r>
        <w:t xml:space="preserve"> </w:t>
      </w:r>
      <w:r>
        <w:t xml:space="preserve">(96 + 32), значит, broadcast текущей — это</w:t>
      </w:r>
      <w:r>
        <w:t xml:space="preserve"> </w:t>
      </w:r>
      <w:r>
        <w:rPr>
          <w:rStyle w:val="VerbatimChar"/>
        </w:rPr>
        <w:t xml:space="preserve">10.10.1.127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Доступные адреса для устройств (hosts):</w:t>
      </w:r>
      <w:r>
        <w:t xml:space="preserve"> </w:t>
      </w:r>
      <w:r>
        <w:t xml:space="preserve">Это все адреса между сетью и broadcast. То есть от</w:t>
      </w:r>
      <w:r>
        <w:t xml:space="preserve"> </w:t>
      </w:r>
      <w:r>
        <w:rPr>
          <w:rStyle w:val="VerbatimChar"/>
        </w:rPr>
        <w:t xml:space="preserve">10.10.1.97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10.10.1.126</w:t>
      </w:r>
      <w:r>
        <w:t xml:space="preserve">. Всего (32 - 2 = 30) адресов.</w:t>
      </w:r>
    </w:p>
    <w:p>
      <w:pPr>
        <w:pStyle w:val="BodyText"/>
      </w:pPr>
      <w:r>
        <w:rPr>
          <w:b/>
          <w:bCs/>
        </w:rPr>
        <w:t xml:space="preserve">Подсеть 2: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10.10.1.16/28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Маска:</w:t>
      </w:r>
      <w:r>
        <w:t xml:space="preserve"> </w:t>
      </w:r>
      <w:r>
        <w:t xml:space="preserve">Префикс</w:t>
      </w:r>
      <w:r>
        <w:t xml:space="preserve"> </w:t>
      </w:r>
      <w:r>
        <w:rPr>
          <w:rStyle w:val="VerbatimChar"/>
        </w:rPr>
        <w:t xml:space="preserve">/28</w:t>
      </w:r>
      <w:r>
        <w:t xml:space="preserve"> </w:t>
      </w:r>
      <w:r>
        <w:t xml:space="preserve">означает</w:t>
      </w:r>
      <w:r>
        <w:t xml:space="preserve"> </w:t>
      </w:r>
      <w:r>
        <w:rPr>
          <w:rStyle w:val="VerbatimChar"/>
        </w:rPr>
        <w:t xml:space="preserve">255.255.255.240</w:t>
      </w:r>
      <w:r>
        <w:t xml:space="preserve"> </w:t>
      </w:r>
      <w:r>
        <w:t xml:space="preserve">(последний октет</w:t>
      </w:r>
      <w:r>
        <w:t xml:space="preserve"> </w:t>
      </w:r>
      <w:r>
        <w:rPr>
          <w:rStyle w:val="VerbatimChar"/>
        </w:rPr>
        <w:t xml:space="preserve">11110000</w:t>
      </w:r>
      <w:r>
        <w:t xml:space="preserve"> </w:t>
      </w:r>
      <w:r>
        <w:t xml:space="preserve">в двоичной системе равен</w:t>
      </w:r>
      <w:r>
        <w:t xml:space="preserve"> </w:t>
      </w:r>
      <w:r>
        <w:rPr>
          <w:rStyle w:val="VerbatimChar"/>
        </w:rPr>
        <w:t xml:space="preserve">128 + 64 + 32 + 16 = 240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Размер подсети (шаг):</w:t>
      </w:r>
      <w:r>
        <w:t xml:space="preserve"> </w:t>
      </w:r>
      <w:r>
        <w:t xml:space="preserve">Количество адресов равно (2^{32-28} = 2^4 = 16). Шаг сети равен 16.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Адрес сети:</w:t>
      </w:r>
      <w:r>
        <w:t xml:space="preserve"> </w:t>
      </w:r>
      <w:r>
        <w:rPr>
          <w:rStyle w:val="VerbatimChar"/>
        </w:rPr>
        <w:t xml:space="preserve">10.10.1.16</w:t>
      </w:r>
      <w:r>
        <w:t xml:space="preserve"> </w:t>
      </w:r>
      <w:r>
        <w:t xml:space="preserve">(делится на 16 без остатка).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Широковещательный (broadcast) адрес:</w:t>
      </w:r>
      <w:r>
        <w:t xml:space="preserve"> </w:t>
      </w:r>
      <w:r>
        <w:t xml:space="preserve">Следующая сеть начинается с</w:t>
      </w:r>
      <w:r>
        <w:t xml:space="preserve"> </w:t>
      </w:r>
      <w:r>
        <w:rPr>
          <w:rStyle w:val="VerbatimChar"/>
        </w:rPr>
        <w:t xml:space="preserve">10.10.1.32</w:t>
      </w:r>
      <w:r>
        <w:t xml:space="preserve"> </w:t>
      </w:r>
      <w:r>
        <w:t xml:space="preserve">(16 + 16), значит, broadcast текущей — это</w:t>
      </w:r>
      <w:r>
        <w:t xml:space="preserve"> </w:t>
      </w:r>
      <w:r>
        <w:rPr>
          <w:rStyle w:val="VerbatimChar"/>
        </w:rPr>
        <w:t xml:space="preserve">10.10.1.31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Доступные адреса для устройств (hosts):</w:t>
      </w:r>
      <w:r>
        <w:t xml:space="preserve"> </w:t>
      </w:r>
      <w:r>
        <w:t xml:space="preserve">От</w:t>
      </w:r>
      <w:r>
        <w:t xml:space="preserve"> </w:t>
      </w:r>
      <w:r>
        <w:rPr>
          <w:rStyle w:val="VerbatimChar"/>
        </w:rPr>
        <w:t xml:space="preserve">10.10.1.17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10.10.1.30</w:t>
      </w:r>
      <w:r>
        <w:t xml:space="preserve">. Всего (16 - 2 = 14) адресов.</w:t>
      </w:r>
    </w:p>
    <w:p>
      <w:pPr>
        <w:pStyle w:val="BodyText"/>
      </w:pPr>
      <w:r>
        <w:rPr>
          <w:b/>
          <w:bCs/>
        </w:rPr>
        <w:t xml:space="preserve">Для IPv6:</w:t>
      </w:r>
      <w:r>
        <w:t xml:space="preserve"> </w:t>
      </w:r>
      <w:r>
        <w:t xml:space="preserve">В IPv6 под адрес устройства отводится младшие 64 бита (так как префикс</w:t>
      </w:r>
      <w:r>
        <w:t xml:space="preserve"> </w:t>
      </w:r>
      <w:r>
        <w:rPr>
          <w:rStyle w:val="VerbatimChar"/>
        </w:rPr>
        <w:t xml:space="preserve">/64</w:t>
      </w:r>
      <w:r>
        <w:t xml:space="preserve">). Адреса сетей заданы (</w:t>
      </w:r>
      <w:r>
        <w:rPr>
          <w:rStyle w:val="VerbatimChar"/>
        </w:rPr>
        <w:t xml:space="preserve">2001:DB8:1:1::/64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2001:DB8:1:4::/64</w:t>
      </w:r>
      <w:r>
        <w:t xml:space="preserve">), а для устройств доступны любые адреса от</w:t>
      </w:r>
      <w:r>
        <w:t xml:space="preserve"> </w:t>
      </w:r>
      <w:r>
        <w:rPr>
          <w:rStyle w:val="VerbatimChar"/>
        </w:rPr>
        <w:t xml:space="preserve">::1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::ffff:ffff:ffff:fffe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Вариант таблицы адресации</w:t>
      </w:r>
    </w:p>
    <w:p>
      <w:pPr>
        <w:pStyle w:val="BodyText"/>
      </w:pPr>
      <w:r>
        <w:t xml:space="preserve">По условию задания для интерфейсов маршрутизатора необходимо выбрать</w:t>
      </w:r>
      <w:r>
        <w:t xml:space="preserve"> </w:t>
      </w:r>
      <w:r>
        <w:rPr>
          <w:b/>
          <w:bCs/>
        </w:rPr>
        <w:t xml:space="preserve">наименьший адрес в подсети</w:t>
      </w:r>
      <w:r>
        <w:t xml:space="preserve">. Наименьший доступный адрес для устройств (host) — это адрес сети + 1.</w:t>
      </w:r>
      <w:r>
        <w:t xml:space="preserve"> </w:t>
      </w:r>
      <w:r>
        <w:t xml:space="preserve">* Для первой подсети:</w:t>
      </w:r>
      <w:r>
        <w:t xml:space="preserve"> </w:t>
      </w:r>
      <w:r>
        <w:rPr>
          <w:rStyle w:val="VerbatimChar"/>
        </w:rPr>
        <w:t xml:space="preserve">10.10.1.96 + 1 = 10.10.1.97</w:t>
      </w:r>
      <w:r>
        <w:t xml:space="preserve">. Этот адрес назначаем на интерфейс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маршрутизатора VyOS (обращенный к PC1).</w:t>
      </w:r>
      <w:r>
        <w:t xml:space="preserve"> </w:t>
      </w:r>
      <w:r>
        <w:t xml:space="preserve">* Для второй подсети:</w:t>
      </w:r>
      <w:r>
        <w:t xml:space="preserve"> </w:t>
      </w:r>
      <w:r>
        <w:rPr>
          <w:rStyle w:val="VerbatimChar"/>
        </w:rPr>
        <w:t xml:space="preserve">10.10.1.16 + 1 = 10.10.1.17</w:t>
      </w:r>
      <w:r>
        <w:t xml:space="preserve">. Этот адрес назначаем на интерфейс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маршрутизатора VyOS (обращенный к PC2).</w:t>
      </w:r>
    </w:p>
    <w:p>
      <w:pPr>
        <w:pStyle w:val="BodyText"/>
      </w:pPr>
      <w:r>
        <w:t xml:space="preserve">Оконечным устройствам (PC1 и PC2) назначаем следующие свободные адреса в этих подсетях (например,</w:t>
      </w:r>
      <w:r>
        <w:t xml:space="preserve"> </w:t>
      </w:r>
      <w:r>
        <w:rPr>
          <w:rStyle w:val="VerbatimChar"/>
        </w:rPr>
        <w:t xml:space="preserve">.98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.18</w:t>
      </w:r>
      <w:r>
        <w:t xml:space="preserve">), а в качестве шлюза по умолчанию указываем адреса маршрутизатора.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IPv4-адрес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 по умолчанию (IPv4)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IPv6-адрес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 по умолчанию (IPv6)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msk-mavinogradova-gw-01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10.10.1.97/27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2001:DB8:1:1::1/64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msk-mavinogradova-gw-01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10.10.1.17/28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2001:DB8:1:4::1/64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PC1-mavinogradova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10.10.1.98/27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2001:DB8:1:1::a/64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2001:DB8:1:1::1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PC2-mavinogradova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10.10.1.18/28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2001:DB8:1:4::a/64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2001:DB8:1:4::1</w:t>
            </w:r>
          </w:p>
        </w:tc>
      </w:tr>
    </w:tbl>
    <w:p>
      <w:pPr>
        <w:pStyle w:val="BodyText"/>
      </w:pPr>
      <w:r>
        <w:t xml:space="preserve">Настраиваем IP-адресацию на компьютерах PC1 и PC2 согласно предложенной таблице адресации (рис. 20).</w:t>
      </w:r>
    </w:p>
    <w:bookmarkStart w:id="102" w:name="fig:020"/>
    <w:p>
      <w:pPr>
        <w:pStyle w:val="CaptionedFigure"/>
      </w:pPr>
      <w:r>
        <w:drawing>
          <wp:inline>
            <wp:extent cx="3733800" cy="1074055"/>
            <wp:effectExtent b="0" l="0" r="0" t="0"/>
            <wp:docPr descr="Рис. 20: Настройка IPv4 и IPv6 адресов на компьютерах PC1 и PC2" title="" id="100" name="Picture"/>
            <a:graphic>
              <a:graphicData uri="http://schemas.openxmlformats.org/drawingml/2006/picture">
                <pic:pic>
                  <pic:nvPicPr>
                    <pic:cNvPr descr="/home/mavinogradova/skreens/SetyLb4/2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4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Настройка IPv4 и IPv6 адресов на компьютерах PC1 и PC2</w:t>
      </w:r>
    </w:p>
    <w:bookmarkEnd w:id="102"/>
    <w:p>
      <w:pPr>
        <w:pStyle w:val="BodyText"/>
      </w:pPr>
      <w:r>
        <w:t xml:space="preserve">Настраиваем IP-адресацию на маршрутизаторе VyOS, причём на интерфейсах маршрутизатора устанавливаем наименьший адрес в подсети. В процессе возникает конфликт с DHCP на интерфейсе eth0, который мы устраняем командой</w:t>
      </w:r>
      <w:r>
        <w:t xml:space="preserve"> </w:t>
      </w:r>
      <w:r>
        <w:rPr>
          <w:rStyle w:val="VerbatimChar"/>
        </w:rPr>
        <w:t xml:space="preserve">del interfaces ethernet eth0 address dhcp</w:t>
      </w:r>
      <w:r>
        <w:t xml:space="preserve">, после чего применяем и сохраняем конфигурацию (рис. 21).</w:t>
      </w:r>
    </w:p>
    <w:bookmarkStart w:id="106" w:name="fig:021"/>
    <w:p>
      <w:pPr>
        <w:pStyle w:val="CaptionedFigure"/>
      </w:pPr>
      <w:r>
        <w:drawing>
          <wp:inline>
            <wp:extent cx="3733800" cy="5338010"/>
            <wp:effectExtent b="0" l="0" r="0" t="0"/>
            <wp:docPr descr="Рис. 21: Настройка IPv4 и IPv6 адресов на интерфейсах маршрутизатора VyOS и устранение конфликта с DHCP" title="" id="104" name="Picture"/>
            <a:graphic>
              <a:graphicData uri="http://schemas.openxmlformats.org/drawingml/2006/picture">
                <pic:pic>
                  <pic:nvPicPr>
                    <pic:cNvPr descr="/home/mavinogradova/skreens/SetyLb4/2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38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Настройка IPv4 и IPv6 адресов на интерфейсах маршрутизатора VyOS и устранение конфликта с DHCP</w:t>
      </w:r>
    </w:p>
    <w:bookmarkEnd w:id="106"/>
    <w:p>
      <w:pPr>
        <w:pStyle w:val="BodyText"/>
      </w:pPr>
      <w:r>
        <w:t xml:space="preserve">Проверяем подключение между устройствами подсети с помощью команд ping и trace (рис. 22).</w:t>
      </w:r>
    </w:p>
    <w:bookmarkStart w:id="110" w:name="fig:022"/>
    <w:p>
      <w:pPr>
        <w:pStyle w:val="CaptionedFigure"/>
      </w:pPr>
      <w:r>
        <w:drawing>
          <wp:inline>
            <wp:extent cx="3733800" cy="1093700"/>
            <wp:effectExtent b="0" l="0" r="0" t="0"/>
            <wp:docPr descr="Рис. 22: Проверка подключения между PC1 и PC2 в обеих подсетях" title="" id="108" name="Picture"/>
            <a:graphic>
              <a:graphicData uri="http://schemas.openxmlformats.org/drawingml/2006/picture">
                <pic:pic>
                  <pic:nvPicPr>
                    <pic:cNvPr descr="/home/mavinogradova/skreens/SetyLb4/22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Проверка подключения между PC1 и PC2 в обеих подсетях</w:t>
      </w:r>
    </w:p>
    <w:bookmarkEnd w:id="110"/>
    <w:bookmarkEnd w:id="111"/>
    <w:bookmarkEnd w:id="112"/>
    <w:bookmarkStart w:id="11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были изучены принципы распределения и настройки адресного пространства на устройствах сети. В первой части работы была собрана топология с двумя локальными подсетями, настроен двойной стек (Dual Stack) на сервере, проверена маршрутизация между IPv4 и IPv6 подсетями, а также их изоляция (устройства из подсети IPv4 не доступны для устройств из подсети IPv6 и наоборот). Во второй части работы были охарактеризованы две подсети, составлена таблица адресации, настроена IP-адресация на маршрутизаторе VyOS и оконечных устройствах, а также проверено подключение между устройствами.</w:t>
      </w:r>
    </w:p>
    <w:bookmarkEnd w:id="113"/>
    <w:bookmarkStart w:id="114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Методические указания к лабораторной работе № 4 «Адресация IPv4 и IPv6. Двойной стек».</w:t>
      </w:r>
    </w:p>
    <w:p>
      <w:pPr>
        <w:pStyle w:val="Compact"/>
        <w:numPr>
          <w:ilvl w:val="0"/>
          <w:numId w:val="1003"/>
        </w:numPr>
      </w:pPr>
      <w:r>
        <w:t xml:space="preserve">Документация GNS3. — URL: https://docs.gns3.com/ (дата обр. 20.10.2026).</w:t>
      </w:r>
    </w:p>
    <w:p>
      <w:pPr>
        <w:pStyle w:val="Compact"/>
        <w:numPr>
          <w:ilvl w:val="0"/>
          <w:numId w:val="1003"/>
        </w:numPr>
      </w:pPr>
      <w:r>
        <w:t xml:space="preserve">Документация VyOS. — URL: https://docs.vyos.io/ (дата обр. 20.10.2026).</w:t>
      </w:r>
    </w:p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26" Target="media/rId26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4</dc:title>
  <dc:creator>Виноградова Мария Андреевна</dc:creator>
  <dc:language>ru-RU</dc:language>
  <cp:keywords/>
  <dcterms:created xsi:type="dcterms:W3CDTF">2026-10-22T12:57:05Z</dcterms:created>
  <dcterms:modified xsi:type="dcterms:W3CDTF">2026-10-22T12:57:05Z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Адресация IPv4 и IPv6. Двойной стек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