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архиваторов на выбор zip, bzip2 или tar. Способ использования команд архивации необходимо узнать, изучив справку.(рис. 1).</w:t>
      </w:r>
    </w:p>
    <w:bookmarkStart w:id="24" w:name="fig:001"/>
    <w:p>
      <w:pPr>
        <w:pStyle w:val="CaptionedFigure"/>
      </w:pPr>
      <w:r>
        <w:drawing>
          <wp:inline>
            <wp:extent cx="3733800" cy="713814"/>
            <wp:effectExtent b="0" l="0" r="0" t="0"/>
            <wp:docPr descr="Рис. 1: Пишем скрипт" title="" id="22" name="Picture"/>
            <a:graphic>
              <a:graphicData uri="http://schemas.openxmlformats.org/drawingml/2006/picture">
                <pic:pic>
                  <pic:nvPicPr>
                    <pic:cNvPr descr="/home/mavinogradova/skreens/skreens%2012/скрины%2012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3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Пишем скрипт</w:t>
      </w:r>
    </w:p>
    <w:bookmarkEnd w:id="24"/>
    <w:p>
      <w:pPr>
        <w:pStyle w:val="BodyText"/>
      </w:pPr>
      <w:r>
        <w:t xml:space="preserve">Продемонстрирую работу написанного скрипта: (рис. 2).</w:t>
      </w:r>
    </w:p>
    <w:bookmarkStart w:id="28" w:name="fig:002"/>
    <w:p>
      <w:pPr>
        <w:pStyle w:val="CaptionedFigure"/>
      </w:pPr>
      <w:r>
        <w:drawing>
          <wp:inline>
            <wp:extent cx="2512193" cy="1376412"/>
            <wp:effectExtent b="0" l="0" r="0" t="0"/>
            <wp:docPr descr="Рис. 2: Демонстрируем работу" title="" id="26" name="Picture"/>
            <a:graphic>
              <a:graphicData uri="http://schemas.openxmlformats.org/drawingml/2006/picture">
                <pic:pic>
                  <pic:nvPicPr>
                    <pic:cNvPr descr="/home/mavinogradova/skreens/skreens%2012/скрины%2012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193" cy="1376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Демонстрируем работу</w:t>
      </w:r>
    </w:p>
    <w:bookmarkEnd w:id="28"/>
    <w:p>
      <w:pPr>
        <w:pStyle w:val="Compact"/>
        <w:numPr>
          <w:ilvl w:val="0"/>
          <w:numId w:val="1002"/>
        </w:numPr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 (рис. 3).</w:t>
      </w:r>
    </w:p>
    <w:bookmarkStart w:id="32" w:name="fig:003"/>
    <w:p>
      <w:pPr>
        <w:pStyle w:val="CaptionedFigure"/>
      </w:pPr>
      <w:r>
        <w:drawing>
          <wp:inline>
            <wp:extent cx="3176336" cy="1607418"/>
            <wp:effectExtent b="0" l="0" r="0" t="0"/>
            <wp:docPr descr="Рис. 3: Пишем пример командного файла" title="" id="30" name="Picture"/>
            <a:graphic>
              <a:graphicData uri="http://schemas.openxmlformats.org/drawingml/2006/picture">
                <pic:pic>
                  <pic:nvPicPr>
                    <pic:cNvPr descr="/home/mavinogradova/skreens/skreens%2012/скрины%2012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336" cy="160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Пишем пример командного файла</w:t>
      </w:r>
    </w:p>
    <w:bookmarkEnd w:id="32"/>
    <w:p>
      <w:pPr>
        <w:pStyle w:val="BodyText"/>
      </w:pPr>
      <w:r>
        <w:t xml:space="preserve">Продемонстрирую работу написанного скрипта: (рис. 4).</w:t>
      </w:r>
    </w:p>
    <w:bookmarkStart w:id="36" w:name="fig:004"/>
    <w:p>
      <w:pPr>
        <w:pStyle w:val="CaptionedFigure"/>
      </w:pPr>
      <w:r>
        <w:drawing>
          <wp:inline>
            <wp:extent cx="3733800" cy="1094702"/>
            <wp:effectExtent b="0" l="0" r="0" t="0"/>
            <wp:docPr descr="Рис. 4: Демонстрируем работу" title="" id="34" name="Picture"/>
            <a:graphic>
              <a:graphicData uri="http://schemas.openxmlformats.org/drawingml/2006/picture">
                <pic:pic>
                  <pic:nvPicPr>
                    <pic:cNvPr descr="/home/mavinogradova/skreens/skreens%2012/скрины%2012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4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Демонстрируем работу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 и выводил информацию о возможностях доступа к файлам этого каталога.(рис. 5).</w:t>
      </w:r>
    </w:p>
    <w:bookmarkStart w:id="40" w:name="fig:005"/>
    <w:p>
      <w:pPr>
        <w:pStyle w:val="CaptionedFigure"/>
      </w:pPr>
      <w:r>
        <w:drawing>
          <wp:inline>
            <wp:extent cx="3733800" cy="2189328"/>
            <wp:effectExtent b="0" l="0" r="0" t="0"/>
            <wp:docPr descr="Рис. 5: Пишем командный файл 1" title="" id="38" name="Picture"/>
            <a:graphic>
              <a:graphicData uri="http://schemas.openxmlformats.org/drawingml/2006/picture">
                <pic:pic>
                  <pic:nvPicPr>
                    <pic:cNvPr descr="/home/mavinogradova/skreens/skreens%2012/скрины%2012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Пишем командный файл 1</w:t>
      </w:r>
    </w:p>
    <w:bookmarkEnd w:id="40"/>
    <w:p>
      <w:pPr>
        <w:pStyle w:val="BodyText"/>
      </w:pPr>
      <w:r>
        <w:t xml:space="preserve">Продемонстрирую работу написанного скрипта: (рис. 6).</w:t>
      </w:r>
    </w:p>
    <w:bookmarkStart w:id="44" w:name="fig:006"/>
    <w:p>
      <w:pPr>
        <w:pStyle w:val="CaptionedFigure"/>
      </w:pPr>
      <w:r>
        <w:drawing>
          <wp:inline>
            <wp:extent cx="3733800" cy="4696603"/>
            <wp:effectExtent b="0" l="0" r="0" t="0"/>
            <wp:docPr descr="Рис. 6: Демонстрируем работу" title="" id="42" name="Picture"/>
            <a:graphic>
              <a:graphicData uri="http://schemas.openxmlformats.org/drawingml/2006/picture">
                <pic:pic>
                  <pic:nvPicPr>
                    <pic:cNvPr descr="/home/mavinogradova/skreens/skreens%2012/скрины%2012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9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Демонстрируем работу</w:t>
      </w:r>
    </w:p>
    <w:bookmarkEnd w:id="44"/>
    <w:p>
      <w:pPr>
        <w:pStyle w:val="Compact"/>
        <w:numPr>
          <w:ilvl w:val="0"/>
          <w:numId w:val="1004"/>
        </w:numPr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командной строки (рис. 7).</w:t>
      </w:r>
    </w:p>
    <w:bookmarkStart w:id="48" w:name="fig:007"/>
    <w:p>
      <w:pPr>
        <w:pStyle w:val="CaptionedFigure"/>
      </w:pPr>
      <w:r>
        <w:drawing>
          <wp:inline>
            <wp:extent cx="2666197" cy="1617044"/>
            <wp:effectExtent b="0" l="0" r="0" t="0"/>
            <wp:docPr descr="Рис. 7: Пишем командный файл 2" title="" id="46" name="Picture"/>
            <a:graphic>
              <a:graphicData uri="http://schemas.openxmlformats.org/drawingml/2006/picture">
                <pic:pic>
                  <pic:nvPicPr>
                    <pic:cNvPr descr="/home/mavinogradova/skreens/skreens%2012/скрины%2012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197" cy="161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Пишем командный файл 2</w:t>
      </w:r>
    </w:p>
    <w:bookmarkEnd w:id="48"/>
    <w:p>
      <w:pPr>
        <w:pStyle w:val="BodyText"/>
      </w:pPr>
      <w:r>
        <w:t xml:space="preserve">Продемонстрирую работу написанного скрипта: (рис. 8).</w:t>
      </w:r>
    </w:p>
    <w:bookmarkStart w:id="52" w:name="fig:008"/>
    <w:p>
      <w:pPr>
        <w:pStyle w:val="CaptionedFigure"/>
      </w:pPr>
      <w:r>
        <w:drawing>
          <wp:inline>
            <wp:extent cx="3733800" cy="816482"/>
            <wp:effectExtent b="0" l="0" r="0" t="0"/>
            <wp:docPr descr="Рис. 8: Демонстрируем работу" title="" id="50" name="Picture"/>
            <a:graphic>
              <a:graphicData uri="http://schemas.openxmlformats.org/drawingml/2006/picture">
                <pic:pic>
                  <pic:nvPicPr>
                    <pic:cNvPr descr="/home/mavinogradova/skreens/skreens%2012/скрины%2012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6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Демонстрируем работу</w:t>
      </w:r>
    </w:p>
    <w:bookmarkEnd w:id="52"/>
    <w:bookmarkEnd w:id="53"/>
    <w:bookmarkStart w:id="5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освоены основы программирования в оболочке UNIX/Linux, получены практические навыки создания и отладки командных файлов для автоматизации задач. Приобретённые умения позволяют эффективно работать в UNIX-подобных системах.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№12</dc:title>
  <dc:creator>Виноградова Мария Андреевна</dc:creator>
  <dc:language>ru-RU</dc:language>
  <cp:keywords/>
  <dcterms:created xsi:type="dcterms:W3CDTF">2025-05-03T19:48:33Z</dcterms:created>
  <dcterms:modified xsi:type="dcterms:W3CDTF">2025-05-03T19:48:33Z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 Командные файлы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