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1.       Define conditional probability in relation to Bayes theorem and explain its use as a machine learning classifier when applied to both discrete and continuous forms of data. In what sorts of situations are Bayes classifiers and predictors useful.</w:t>
      </w:r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28? The Bayes classifiers</w:t>
      </w:r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references: Unit2 slides</w:t>
      </w:r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 xml:space="preserve">1.       The two primary ensemble learning methods that are based upon decision trees are the random forest and the </w:t>
      </w:r>
      <w:proofErr w:type="spellStart"/>
      <w:r w:rsidRPr="00D45B21">
        <w:rPr>
          <w:rFonts w:ascii="Calibri" w:eastAsia="Times New Roman" w:hAnsi="Calibri" w:cs="Calibri"/>
          <w:color w:val="000000"/>
          <w:sz w:val="24"/>
          <w:szCs w:val="24"/>
        </w:rPr>
        <w:t>adaboost</w:t>
      </w:r>
      <w:proofErr w:type="spellEnd"/>
      <w:r w:rsidRPr="00D45B21">
        <w:rPr>
          <w:rFonts w:ascii="Calibri" w:eastAsia="Times New Roman" w:hAnsi="Calibri" w:cs="Calibri"/>
          <w:color w:val="000000"/>
          <w:sz w:val="24"/>
          <w:szCs w:val="24"/>
        </w:rPr>
        <w:t xml:space="preserve"> (adaptive boosting) algorithms. Explain how they fundamentally differ in simple terms. (Hint: compare bagging vs boosting methods with respect to ensemble learning)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  <w:gridCol w:w="4589"/>
      </w:tblGrid>
      <w:tr w:rsidR="00D45B21" w:rsidRPr="00D45B21" w:rsidTr="00D45B21">
        <w:trPr>
          <w:tblCellSpacing w:w="0" w:type="dxa"/>
        </w:trPr>
        <w:tc>
          <w:tcPr>
            <w:tcW w:w="5730" w:type="dxa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ensemble learning methods</w:t>
            </w:r>
          </w:p>
        </w:tc>
        <w:tc>
          <w:tcPr>
            <w:tcW w:w="5730" w:type="dxa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45B21" w:rsidRPr="00D45B21" w:rsidTr="00D4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45B21" w:rsidRPr="00D45B21" w:rsidTr="00D4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references: Unit2 slides</w:t>
      </w:r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2.       There are many ways to compare the performance of machine learning algorithms upon your own data. Describe how confusion matrices, cross-validation, and AUC-ROC curves are all used to assess performance across different methods of machine learning.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3231"/>
        <w:gridCol w:w="2951"/>
      </w:tblGrid>
      <w:tr w:rsidR="00D45B21" w:rsidRPr="00D45B21" w:rsidTr="00D45B21">
        <w:trPr>
          <w:tblCellSpacing w:w="0" w:type="dxa"/>
        </w:trPr>
        <w:tc>
          <w:tcPr>
            <w:tcW w:w="3810" w:type="dxa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machine learning algorithms</w:t>
            </w:r>
          </w:p>
        </w:tc>
        <w:tc>
          <w:tcPr>
            <w:tcW w:w="3810" w:type="dxa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compare the performance</w:t>
            </w:r>
          </w:p>
        </w:tc>
        <w:tc>
          <w:tcPr>
            <w:tcW w:w="3810" w:type="dxa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45B21" w:rsidRPr="00D45B21" w:rsidTr="00D4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confusion matrices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45B21" w:rsidRPr="00D45B21" w:rsidTr="00D4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cross-validation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D45B21" w:rsidRPr="00D45B21" w:rsidTr="00D4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AUC-ROC curves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45B21" w:rsidRPr="00D45B21" w:rsidRDefault="00D45B21" w:rsidP="00D45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45B2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D45B21" w:rsidRPr="00D45B21" w:rsidRDefault="00D45B21" w:rsidP="00D45B2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45B21">
        <w:rPr>
          <w:rFonts w:ascii="Calibri" w:eastAsia="Times New Roman" w:hAnsi="Calibri" w:cs="Calibri"/>
          <w:color w:val="000000"/>
          <w:sz w:val="24"/>
          <w:szCs w:val="24"/>
        </w:rPr>
        <w:t>references: Unit2 slides​</w:t>
      </w:r>
    </w:p>
    <w:p w:rsidR="00D45B21" w:rsidRDefault="00D45B21">
      <w:bookmarkStart w:id="0" w:name="_GoBack"/>
      <w:bookmarkEnd w:id="0"/>
    </w:p>
    <w:sectPr w:rsidR="00D4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21"/>
    <w:rsid w:val="00D4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0A94C-0979-4D03-9296-A1A9E6D3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Mavis Irwin</dc:creator>
  <cp:keywords/>
  <dc:description/>
  <cp:lastModifiedBy>Mavis Irwin</cp:lastModifiedBy>
  <cp:revision>1</cp:revision>
  <dcterms:created xsi:type="dcterms:W3CDTF">2021-11-21T22:25:00Z</dcterms:created>
  <dcterms:modified xsi:type="dcterms:W3CDTF">2021-11-21T22:26:00Z</dcterms:modified>
</cp:coreProperties>
</file>