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spacing w:lineRule="auto" w:line="240" w:before="0" w:after="0"/>
        <w:ind w:start="6521" w:end="0"/>
        <w:textAlignment w:val="baseline"/>
        <w:rPr>
          <w:rFonts w:ascii="Times New Roman" w:hAnsi="Times New Roman" w:eastAsia="Times New Roman" w:cs="Times New Roman"/>
          <w:spacing w:val="2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pacing w:val="20"/>
          <w:sz w:val="24"/>
          <w:szCs w:val="24"/>
          <w:lang w:eastAsia="ru-RU"/>
        </w:rPr>
        <w:t>УТВЕРЖДАЮ</w:t>
      </w:r>
    </w:p>
    <w:p>
      <w:pPr>
        <w:pStyle w:val="Normal"/>
        <w:suppressAutoHyphens w:val="true"/>
        <w:spacing w:lineRule="auto" w:line="240" w:before="0" w:after="0"/>
        <w:ind w:start="6521" w:end="0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Директор</w:t>
      </w:r>
    </w:p>
    <w:p>
      <w:pPr>
        <w:pStyle w:val="Normal"/>
        <w:suppressAutoHyphens w:val="true"/>
        <w:spacing w:lineRule="auto" w:line="240" w:before="0" w:after="0"/>
        <w:ind w:start="6521" w:end="0"/>
        <w:textAlignment w:val="baseline"/>
        <w:rPr/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>ООО «Варта»</w:t>
      </w:r>
    </w:p>
    <w:p>
      <w:pPr>
        <w:pStyle w:val="Normal"/>
        <w:suppressAutoHyphens w:val="true"/>
        <w:spacing w:lineRule="auto" w:line="240" w:before="0" w:after="0"/>
        <w:ind w:start="6521" w:end="0"/>
        <w:jc w:val="both"/>
        <w:textAlignment w:val="baseline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ru-RU"/>
        </w:rPr>
        <w:t xml:space="preserve">____________ С.Ф. Василенко </w:t>
      </w:r>
    </w:p>
    <w:p>
      <w:pPr>
        <w:pStyle w:val="Normal"/>
        <w:suppressAutoHyphens w:val="true"/>
        <w:spacing w:lineRule="auto" w:line="240" w:before="0" w:after="0"/>
        <w:ind w:start="6521" w:end="0"/>
        <w:jc w:val="both"/>
        <w:textAlignment w:val="baseline"/>
        <w:rPr>
          <w:rFonts w:ascii="Times New Roman" w:hAnsi="Times New Roman" w:eastAsia="Times New Roman" w:cs="Times New Roman"/>
          <w:bCs/>
          <w:i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Cs/>
          <w:iCs/>
          <w:sz w:val="24"/>
          <w:szCs w:val="24"/>
          <w:lang w:eastAsia="ru-RU"/>
        </w:rPr>
        <w:t xml:space="preserve">13.04.2026 г. </w:t>
      </w:r>
    </w:p>
    <w:p>
      <w:pPr>
        <w:pStyle w:val="Normal"/>
        <w:tabs>
          <w:tab w:val="clear" w:pos="708"/>
          <w:tab w:val="left" w:pos="0" w:leader="none"/>
          <w:tab w:val="left" w:pos="284" w:leader="none"/>
        </w:tabs>
        <w:spacing w:lineRule="auto" w:line="240" w:before="0" w:after="0"/>
        <w:jc w:val="end"/>
        <w:rPr>
          <w:rFonts w:ascii="Times New Roman" w:hAnsi="Times New Roman" w:eastAsia="Times New Roman" w:cs="Times New Roman"/>
          <w:bCs/>
          <w:iCs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bCs/>
          <w:iCs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0" w:leader="none"/>
          <w:tab w:val="left" w:pos="284" w:leader="none"/>
        </w:tabs>
        <w:spacing w:lineRule="auto" w:line="240" w:before="0" w:after="0"/>
        <w:jc w:val="end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Style16"/>
        <w:tabs>
          <w:tab w:val="clear" w:pos="708"/>
          <w:tab w:val="left" w:pos="0" w:leader="none"/>
          <w:tab w:val="left" w:pos="284" w:leader="none"/>
        </w:tabs>
        <w:spacing w:lineRule="auto" w:line="240" w:before="0" w:after="0"/>
        <w:ind w:start="0" w:end="0"/>
        <w:contextualSpacing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eastAsia="Cambria" w:cs="Cambria" w:ascii="Cambria" w:hAnsi="Cambria"/>
          <w:b/>
          <w:i/>
          <w:sz w:val="36"/>
          <w:szCs w:val="36"/>
        </w:rPr>
        <w:t xml:space="preserve"> </w:t>
      </w:r>
      <w:r>
        <w:rPr>
          <w:rFonts w:cs="Times New Roman" w:ascii="Times New Roman" w:hAnsi="Times New Roman"/>
          <w:b/>
          <w:sz w:val="36"/>
          <w:szCs w:val="36"/>
        </w:rPr>
        <w:t xml:space="preserve">Перечень продукции, </w:t>
      </w:r>
    </w:p>
    <w:p>
      <w:pPr>
        <w:pStyle w:val="Normal"/>
        <w:tabs>
          <w:tab w:val="clear" w:pos="708"/>
          <w:tab w:val="left" w:pos="0" w:leader="none"/>
          <w:tab w:val="left" w:pos="284" w:leader="none"/>
        </w:tabs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tbl>
      <w:tblPr>
        <w:tblW w:w="10348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701"/>
        <w:gridCol w:w="1985"/>
        <w:gridCol w:w="3543"/>
        <w:gridCol w:w="1701"/>
        <w:gridCol w:w="709"/>
      </w:tblGrid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№</w:t>
            </w:r>
            <w:r>
              <w:rPr>
                <w:rFonts w:eastAsia="Times New Roman" w:cs="Times New Roman" w:ascii="Times New Roman" w:hAnsi="Times New Roman"/>
                <w:b/>
                <w:sz w:val="20"/>
                <w:szCs w:val="20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Наименование продукции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Обозначение ТНПА на продукцию, на методы испытаний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Контролируемые показатели качества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Вид контроля/ периодичность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При</w:t>
            </w:r>
            <w:r>
              <w:rPr>
                <w:rFonts w:cs="Times New Roman" w:ascii="Times New Roman" w:hAnsi="Times New Roman"/>
                <w:b/>
                <w:sz w:val="20"/>
                <w:szCs w:val="20"/>
                <w:lang w:val="en-US"/>
              </w:rPr>
              <w:t>-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меча</w:t>
            </w:r>
            <w:r>
              <w:rPr>
                <w:rFonts w:cs="Times New Roman" w:ascii="Times New Roman" w:hAnsi="Times New Roman"/>
                <w:b/>
                <w:sz w:val="20"/>
                <w:szCs w:val="20"/>
                <w:lang w:val="en-US"/>
              </w:rPr>
              <w:t>-</w:t>
            </w:r>
            <w:r>
              <w:rPr>
                <w:rFonts w:cs="Times New Roman" w:ascii="Times New Roman" w:hAnsi="Times New Roman"/>
                <w:b/>
                <w:sz w:val="20"/>
                <w:szCs w:val="20"/>
              </w:rPr>
              <w:t>ние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1.1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Прибор приемно-контрольный пожарный «ПС-4МС»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работоспособность, индикация, программирование шлейфов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входной контроль, полный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для систем ПС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1.2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Прибор приемно-контрольный пожарный «ПС-8МС»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работоспособность, индикация, программирование шлейфов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входной контроль, полный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для систем ПС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1.3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Прибор приемно-контрольный охранно-пожарный «Сигнал-20М»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работоспособность, индикация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входной контроль, полный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для систем ОПС</w:t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Извещатели пожарные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2.1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Извещатель пожарный дымовой ИДПЛ-101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 инструментальный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тепловой адресный ИП101-01-ВМ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температура срабатывания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дымовой оптический адресный RF03-Д0(02)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дымовой оптический ИП-212-02К «ДОКА»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дымовой ИП-212-141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дымовой ИП-212-4П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дымовой ИП-212-5МУ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газовый ИП-435-02-1Д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 к СО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 инструментальный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тепловой ИП-114-01-А2М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температура срабатывания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тепловой ИП-109-05-А2М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температура срабатывания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тепловой С2000-ИП-03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температура срабатывания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ручной ИП-5-2Р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целостность кнопки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ручной ИП-5-2РН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целостность кнопки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ручной ИПР-513-10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целостность кнопки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ручной ИПР 513-3АМ исп.01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целостность кнопки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пламени С2000-ПЛ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 к пламени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 инструментальный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2.17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пожарный дымовой ДИП-34А-03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чувствительность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Оповещатели пожарные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звуковой ПКИ-МШ «Шмель»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светозвуковой ЗОС-3М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громкость, яркость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пожарный комбинированный ЗОС-3МВ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громкость, яркость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пожарный ОПС-1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пожарный ОПС-2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«АСТО12/1-КМ-1» стеновой, белый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пожарный светозвуковой АСТО12С/1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громкость, яркость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пожарный влагозащищенный светозвуковой АСТО12С/1-В3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громкость, яркость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речевой «Танго-ОП-5»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качество звука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3.10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Оповещатель пожарный речевой «Танго-ОП-1»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качество звука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Извещатели охранные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4.1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охранный совмещенный ИНС-409ВТФ (штора)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зона обнаружения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4.2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охранный накладной ИО 102-20 А2М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4.3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охранный МК ИО-102-14 (СМК-1)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4.4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Извещатель охранный магнитоконтактный МКИ-5КМ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 магнита и геркона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Системы видеонаблюдения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  <w:color w:val="0F1115"/>
                <w:sz w:val="23"/>
                <w:szCs w:val="23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5.1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Видеорегистратор Dahua DHI-NVR2116-4KS3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работоспособность, запись, воспроизведение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</w:rPr>
            </w:pPr>
            <w:r>
              <w:rPr>
                <w:rFonts w:cs="Times New Roman" w:ascii="Times New Roman" w:hAnsi="Times New Roman"/>
              </w:rPr>
              <w:t>входной контроль, полный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color w:val="0F1115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color w:val="0F1115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5.2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cs="Times New Roman" w:ascii="Times New Roman" w:hAnsi="Times New Roman"/>
              </w:rPr>
              <w:t>Видеокамера</w:t>
            </w:r>
            <w:r>
              <w:rPr>
                <w:rFonts w:cs="Times New Roman" w:ascii="Times New Roman" w:hAnsi="Times New Roman"/>
                <w:lang w:val="en-US"/>
              </w:rPr>
              <w:t xml:space="preserve"> Dahua DH-IPC-HDW1839TP-A-IL-0280B-S6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работоспособность, качество изображения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полный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Оборудование систем контроля доступа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Устройство разблокировки двери ST-ER115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 электромагнита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Считыватель STEMAX RFID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работоспособность, считывание карт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6.3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Считыватель АА-R12E-W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работоспособность, считывание карт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6.4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Электрозащелка 1420 12VDC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работоспособность, ход штока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Источники питания и аккумуляторы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Резервированный источник питания РИП-12 исп.50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выходное напряжение, ток, работоспособность АКБ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инструментальный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Источник резервного питания «ИРПА 124/1-3»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выходное напряжение, ток, работоспособность АКБ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инструментальный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Источник питания компактный S-100-12 IP20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выходное напряжение, ток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инструментальный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ROBITON VRLA6-3.3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отсутствие повреждений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Аккумуляторная батарея HP 6В-1,3Аh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Ventura GP 6В-1,3Аh F1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Ventura GP 12B-5Ач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Contact GP 12В-7Ач, F1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Thomas GB 12В-7Ач, F1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WBR GP 12В-7Ач, F2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7.11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Thomas GB 12В-12Ач, F2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7.12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Contact GP 12В-18Ач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7.13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Аккумулятор Thomas GB 12В-18Ач, М5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напряжение,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 +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Устройства и модули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ООУПИ о ЧС «Молния»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Микрофонная консоль «Танго-МК»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8.3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Подвес для оповещателей АСТО 12 односторонний h=0,3м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целостность, геометрия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8.4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Монтажный комплект подвесного потолка МК-3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комплектность,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8.5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Модуль подключения ИС-485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8.6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Модуль процессорный КСО-А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8.7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Модуль расширения МР-А24/8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8.8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Устройство доступа УД-3Т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Ключ доступа TOUX MEMORRU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Устройство шлейфов контрольное УШК-01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8.11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Модуль подключения нагрузки МПН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выборочный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Шкафы и боксы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Шкаф контрольно-пусковой ШКП-10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комплектность, целостность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9.2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Бокс для автом. выключателей (1/2 модуля) 125х60х42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ТУ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целостность, крышка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визуальный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Средства измерений и инструмент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napToGrid w:val="false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10.1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Уровень строительный электронный АТЛАС-400М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точность, работоспособность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периодическая поверка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10.2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Рейка контрольная (трапеция) 2 м</w:t>
            </w:r>
          </w:p>
        </w:tc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ГОСТ</w:t>
            </w:r>
          </w:p>
        </w:tc>
        <w:tc>
          <w:tcPr>
            <w:tcW w:w="3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точность, прямолинейность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входной контроль, периодическая поверка</w:t>
            </w:r>
          </w:p>
        </w:tc>
        <w:tc>
          <w:tcPr>
            <w:tcW w:w="7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tabs>
                <w:tab w:val="clear" w:pos="708"/>
                <w:tab w:val="left" w:pos="0" w:leader="none"/>
                <w:tab w:val="left" w:pos="284" w:leader="none"/>
              </w:tabs>
              <w:snapToGrid w:val="false"/>
              <w:spacing w:lineRule="auto" w:line="240" w:before="0" w:after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tabs>
          <w:tab w:val="clear" w:pos="708"/>
          <w:tab w:val="left" w:pos="3132" w:leader="none"/>
        </w:tabs>
        <w:spacing w:before="0" w:after="200"/>
        <w:rPr/>
      </w:pPr>
      <w:r>
        <w:rPr/>
      </w:r>
    </w:p>
    <w:sectPr>
      <w:type w:val="nextPage"/>
      <w:pgSz w:w="11906" w:h="16838"/>
      <w:pgMar w:left="1440" w:right="746" w:gutter="0" w:header="0" w:top="567" w:footer="0" w:bottom="53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Calibri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rong">
    <w:name w:val="Strong"/>
    <w:qFormat/>
    <w:rPr>
      <w:b/>
      <w:bCs/>
    </w:rPr>
  </w:style>
  <w:style w:type="character" w:styleId="Style15">
    <w:name w:val="Текст выноски Знак"/>
    <w:qFormat/>
    <w:rPr>
      <w:rFonts w:ascii="Segoe UI" w:hAnsi="Segoe UI" w:eastAsia="Calibr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Default">
    <w:name w:val="Default"/>
    <w:qFormat/>
    <w:pPr>
      <w:widowControl/>
      <w:autoSpaceDE w:val="false"/>
      <w:bidi w:val="0"/>
    </w:pPr>
    <w:rPr>
      <w:rFonts w:ascii="Courier New" w:hAnsi="Courier New" w:eastAsia="Times New Roman" w:cs="Courier New"/>
      <w:color w:val="000000"/>
      <w:sz w:val="24"/>
      <w:szCs w:val="24"/>
      <w:lang w:val="ru-RU" w:bidi="ar-SA" w:eastAsia="zh-CN"/>
    </w:rPr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2026-05-26T13:10:00Z</dcterms:created>
  <dc:creator>User</dc:creator>
  <dc:description/>
  <cp:keywords/>
  <dc:language>en-US</dc:language>
  <cp:lastModifiedBy>User</cp:lastModifiedBy>
  <cp:lastPrinted>2018-01-18T11:38:00Z</cp:lastPrinted>
  <dcterms:modified xsi:type="dcterms:W3CDTF">2026-05-26T13:27:00Z</dcterms:modified>
  <cp:revision>3</cp:revision>
  <dc:subject/>
  <dc:title/>
</cp:coreProperties>
</file>