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25"/>
        <w:gridCol w:w="4146"/>
      </w:tblGrid>
      <w:tr>
        <w:trPr>
          <w:trHeight w:val="567" w:hRule="atLeast"/>
        </w:trPr>
        <w:tc>
          <w:tcPr>
            <w:tcW w:w="5425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4146" w:type="dxa"/>
            <w:tcBorders/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УТВЕРЖДАЮ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Директор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ООО «Варта»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 xml:space="preserve">____________С.Ф. Василенко 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13.04.2026 г.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</w:r>
          </w:p>
        </w:tc>
      </w:tr>
    </w:tbl>
    <w:p>
      <w:pPr>
        <w:pStyle w:val="Normal"/>
        <w:widowControl w:val="false"/>
        <w:autoSpaceDE w:val="false"/>
        <w:rPr>
          <w:b/>
          <w:bCs/>
        </w:rPr>
      </w:pPr>
      <w:r>
        <w:rPr>
          <w:b/>
          <w:bCs/>
        </w:rPr>
        <w:t>ДОЛЖНОСТНАЯ ИНСТРУКЦИЯ</w:t>
      </w:r>
    </w:p>
    <w:p>
      <w:pPr>
        <w:pStyle w:val="Normal"/>
        <w:widowControl w:val="false"/>
        <w:autoSpaceDE w:val="false"/>
        <w:rPr>
          <w:b/>
          <w:bCs/>
        </w:rPr>
      </w:pPr>
      <w:r>
        <w:rPr>
          <w:b/>
          <w:bCs/>
        </w:rPr>
      </w:r>
    </w:p>
    <w:p>
      <w:pPr>
        <w:pStyle w:val="Normal"/>
        <w:widowControl w:val="false"/>
        <w:autoSpaceDE w:val="false"/>
        <w:rPr>
          <w:b/>
          <w:bCs/>
        </w:rPr>
      </w:pPr>
      <w:r>
        <w:rPr>
          <w:b/>
          <w:bCs/>
        </w:rPr>
        <w:t>ИНЖЕНЕРУ ПО ОХРАНЕ ТРУДА</w:t>
      </w:r>
    </w:p>
    <w:p>
      <w:pPr>
        <w:pStyle w:val="Normal"/>
        <w:widowControl w:val="false"/>
        <w:autoSpaceDE w:val="false"/>
        <w:ind w:firstLine="708" w:end="0"/>
        <w:rPr>
          <w:b/>
          <w:bCs/>
        </w:rPr>
      </w:pPr>
      <w:r>
        <w:rPr>
          <w:b/>
          <w:bCs/>
        </w:rPr>
      </w:r>
    </w:p>
    <w:p>
      <w:pPr>
        <w:pStyle w:val="Normal"/>
        <w:widowControl w:val="false"/>
        <w:autoSpaceDE w:val="false"/>
        <w:rPr>
          <w:b/>
          <w:bCs/>
        </w:rPr>
      </w:pPr>
      <w:r>
        <w:rPr>
          <w:b/>
          <w:bCs/>
        </w:rPr>
        <w:t xml:space="preserve">№ </w:t>
      </w:r>
      <w:r>
        <w:rPr>
          <w:b/>
          <w:bCs/>
        </w:rPr>
        <w:t>ДИ-08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jc w:val="center"/>
        <w:rPr>
          <w:b/>
        </w:rPr>
      </w:pPr>
      <w:r>
        <w:rPr>
          <w:b/>
        </w:rPr>
        <w:t>Общие положения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/>
      </w:pPr>
      <w:r>
        <w:rPr>
          <w:b/>
          <w:bCs/>
        </w:rPr>
        <w:t>1.1.</w:t>
      </w:r>
      <w:r>
        <w:rPr/>
        <w:t xml:space="preserve"> Инженер по охране труда относится к категории специалистов.</w:t>
      </w:r>
    </w:p>
    <w:p>
      <w:pPr>
        <w:pStyle w:val="BodyText"/>
        <w:rPr/>
      </w:pPr>
      <w:r>
        <w:rPr>
          <w:b/>
          <w:bCs/>
        </w:rPr>
        <w:t>1.2.</w:t>
      </w:r>
      <w:r>
        <w:rPr/>
        <w:t xml:space="preserve"> На должность инженера по охране труда назначается лицо, имеющее высшее техническое образование, без предъявления требований к стажу работы или среднее специальное (техническое) образование и стаж работы в должности техника I категории не менее 3 лет либо в других должностях, замещаемых специалистами со средним специальным (техническим) образованием, не менее 5 лет;</w:t>
      </w:r>
    </w:p>
    <w:p>
      <w:pPr>
        <w:pStyle w:val="BodyText"/>
        <w:rPr/>
      </w:pPr>
      <w:r>
        <w:rPr/>
        <w:t>инженера по охране труда II  категории - лицо, имеющее высшее техническое образование и стаж работы в должности инженера по охране труда или в других инженерных должностях, замещаемых специалистами с высшим техническим образованием, не менее 3 лет;</w:t>
      </w:r>
    </w:p>
    <w:p>
      <w:pPr>
        <w:pStyle w:val="BodyText"/>
        <w:rPr/>
      </w:pPr>
      <w:r>
        <w:rPr/>
        <w:t>инженера по охране труда I категории - лицо, имеющее высшее техническое образование и стаж работы в должности инженера по охране труда II  категории не менее 3 лет.</w:t>
      </w:r>
    </w:p>
    <w:p>
      <w:pPr>
        <w:pStyle w:val="BodyText"/>
        <w:rPr/>
      </w:pPr>
      <w:r>
        <w:rPr>
          <w:b/>
          <w:bCs/>
        </w:rPr>
        <w:t>1.3.</w:t>
      </w:r>
      <w:r>
        <w:rPr/>
        <w:t xml:space="preserve"> Инженер по охране труда назначается на должность и освобождается от нее приказом руководителя организации.</w:t>
      </w:r>
    </w:p>
    <w:p>
      <w:pPr>
        <w:pStyle w:val="BodyText"/>
        <w:rPr/>
      </w:pPr>
      <w:r>
        <w:rPr>
          <w:b/>
          <w:bCs/>
        </w:rPr>
        <w:t>1.4.</w:t>
      </w:r>
      <w:r>
        <w:rPr/>
        <w:t xml:space="preserve"> В своей деятельности инженер по охране труда руководствуется: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нормативными правовыми актами, другими методическими материалами, регламентирующими вопросы охраны труда;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приказами и распоряжениями руководителя организации (начальника отдела охраны труда);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уставом организации;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правилами внутреннего трудового распорядка;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настоящей должностной инструкцией;</w:t>
      </w:r>
    </w:p>
    <w:p>
      <w:pPr>
        <w:pStyle w:val="BodyText"/>
        <w:rPr/>
      </w:pPr>
      <w:r>
        <w:rPr/>
        <w:t>- политикой в области качества, документами СМК;</w:t>
      </w:r>
    </w:p>
    <w:p>
      <w:pPr>
        <w:pStyle w:val="BodyText"/>
        <w:rPr/>
      </w:pPr>
      <w:r>
        <w:rPr>
          <w:b/>
          <w:bCs/>
        </w:rPr>
        <w:t>1.5.</w:t>
      </w:r>
      <w:r>
        <w:rPr/>
        <w:t xml:space="preserve"> Инженер по охране труда должен знать: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нормативные правовые акты, методические материалы по вопросам охраны труда;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требования безопасности к основным технологическим процессам производства продукции организации;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методы изучения условий труда на рабочих местах;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организацию работы по охране труда;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систему стандартов безопасности труда;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психофизиологические требования к работникам исходя из категории тяжести работ, ограничения применения труда женщин, подростков и других работников, переведенных на легкий труд;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особенности эксплуатации оборудования, применяемого в организации;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правила и средства контроля соответствия технического состояния оборудования требованиям безопасного ведения работ;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передовой отечественный и зарубежный опыт по охране труда;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методы и формы пропаганды и информации по охране труда;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порядок и сроки составления отчетности о выполнении мероприятий по охране труда;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основы экономики, организации труда и управления;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основы трудового законодательства;</w:t>
      </w:r>
    </w:p>
    <w:p>
      <w:pPr>
        <w:pStyle w:val="BodyText"/>
        <w:rPr/>
      </w:pPr>
      <w:r>
        <w:rPr>
          <w:b/>
          <w:bCs/>
        </w:rPr>
        <w:t>-</w:t>
      </w:r>
      <w:r>
        <w:rPr/>
        <w:t xml:space="preserve"> правила внутреннего трудового распорядка.</w:t>
      </w:r>
    </w:p>
    <w:p>
      <w:pPr>
        <w:pStyle w:val="Normal"/>
        <w:jc w:val="both"/>
        <w:rPr/>
      </w:pPr>
      <w:r>
        <w:rPr>
          <w:b/>
        </w:rPr>
        <w:t>1.6.</w:t>
      </w:r>
      <w:r>
        <w:rPr/>
        <w:t xml:space="preserve"> Инженер по охране труда подчиняется непосредственно главному инженеру (начальнику отдела охраны труда).</w:t>
      </w:r>
    </w:p>
    <w:p>
      <w:pPr>
        <w:pStyle w:val="Normal"/>
        <w:jc w:val="both"/>
        <w:rPr/>
      </w:pPr>
      <w:r>
        <w:rPr>
          <w:b/>
        </w:rPr>
        <w:t>1.7.</w:t>
      </w:r>
      <w:r>
        <w:rPr/>
        <w:t xml:space="preserve"> В случае временного отсутствия инженера по охране труда (болезнь, отпуск, командировка, пр.) его обязанности исполняет назначенный в установленном порядке заместитель, который приобретает соответствующие права и несет полную ответственность за качественное и своевременное исполнение возложенных на него обязанностей.</w:t>
      </w:r>
    </w:p>
    <w:p>
      <w:pPr>
        <w:pStyle w:val="Normal"/>
        <w:numPr>
          <w:ilvl w:val="0"/>
          <w:numId w:val="1"/>
        </w:numPr>
        <w:jc w:val="center"/>
        <w:rPr>
          <w:b/>
        </w:rPr>
      </w:pPr>
      <w:r>
        <w:rPr>
          <w:b/>
        </w:rPr>
        <w:t>Должностные обязанности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autoSpaceDE w:val="false"/>
        <w:jc w:val="both"/>
        <w:rPr/>
      </w:pPr>
      <w:r>
        <w:rPr/>
        <w:t>Для выполнения возложенных на него функций инженер по охране труда осуществляет следующие обязанности: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bCs/>
        </w:rPr>
        <w:t>2.1.</w:t>
      </w:r>
      <w:r>
        <w:rPr/>
        <w:t xml:space="preserve"> организует работу по охране труда, координирует деятельность структурных подразделений по обеспечению здоровых и безопасных условий труда, функционированию и совершенствованию системы управления охраной труда, реализует в пределах предоставленных прав и полномочий государственную политику в области охраны труда;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bCs/>
        </w:rPr>
        <w:t>2.2.</w:t>
      </w:r>
      <w:r>
        <w:rPr/>
        <w:t xml:space="preserve"> проводит анализ состояния условий и охраны труда, производственного травматизма, профессиональной и производственно обусловленной заболеваемости;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bCs/>
        </w:rPr>
        <w:t>2.3.</w:t>
      </w:r>
      <w:r>
        <w:rPr/>
        <w:t xml:space="preserve"> участвует в разработке мероприятий по улучшению условий труда, предупреждению несчастных случаев и профессиональных заболеваний;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bCs/>
        </w:rPr>
        <w:t>2.4.</w:t>
      </w:r>
      <w:r>
        <w:rPr/>
        <w:t xml:space="preserve"> вносит предложения о внедрении передового опыта и научных разработок по безопасности и гигиене труда, разработке и внедрении более совершенных конструкций защитных, предохранительных и блокировочных устройств, других средств защиты работников от воздействия опасных и (или) вредных производственных факторов;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bCs/>
        </w:rPr>
        <w:t>2.5.</w:t>
      </w:r>
      <w:r>
        <w:rPr/>
        <w:t xml:space="preserve"> оказывает методическую помощь руководителям подразделений в: разработке и пересмотре инструкций по охране труда, организационно-методических стандартов организаций, содержащих требования охраны труда, проведении обучения, инструктирования и проверки знаний работников по охране труда, составлении списков профессий и должностей, в соответствии с которыми работники должны проходить обязательные медицинские осмотры, подготовке перечней (списков) профессий и категорий работников, имеющих в соответствии с законодательством право на компенсации по условиям труда, паспортизации санитарно-технического состояния условий и охраны труда, проведении аттестации рабочих мест по условиям труда, оборудовании информационных стендов, уголков по охране труда;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bCs/>
        </w:rPr>
        <w:t>2.6.</w:t>
      </w:r>
      <w:r>
        <w:rPr/>
        <w:t xml:space="preserve"> организует обеспечение структурных подразделений необходимыми законодательными, нормативными правовыми и техническими нормативными правовыми актами по охране труда, информирует и консультирует работников по вопросам охраны труда, в том числе об их правах и обязанностях в этой сфере, состоянии условий и охраны труда на рабочих местах, существующем риске повреждения здоровья и полагающихся средствах коллективной и индивидуальной защиты, компенсациях по условиям труда и другим вопросам, связанным с обеспечением охраны труда;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bCs/>
        </w:rPr>
        <w:t>2.7.</w:t>
      </w:r>
      <w:r>
        <w:rPr/>
        <w:t xml:space="preserve"> проводит вводные инструктажи по охране труда со всеми вновь принимаемыми на работу;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bCs/>
        </w:rPr>
        <w:t>2.8.</w:t>
      </w:r>
      <w:r>
        <w:rPr/>
        <w:t xml:space="preserve"> участвует в расследовании несчастных случаев на производстве и профессиональных заболеваний, разработке мероприятий по их профилактике, подготовке документов на выплату возмещения вреда, причиненного жизни и здоровью работников, связанного с исполнением ими трудовых обязанностей;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bCs/>
        </w:rPr>
        <w:t>2.9.</w:t>
      </w:r>
      <w:r>
        <w:rPr/>
        <w:t xml:space="preserve"> осуществляет контроль над соблюдением в подразделениях организации трудового законодательства (в части охраны труда женщин и работников моложе 18 лет), выполнением должностными лицами, другими работниками функциональных обязанностей, предусмотренных системой управления охраной труда, другими локальными нормативными актами, своевременным и качественным проведением обучения, проверки знаний в части охраны труда, всех видов инструктажа, соответствием государственным нормативным требованиям охраны труда оборудования, инструмента, приспособлений, транспортных средств, электроустановок, зданий и сооружений, материалов, сырья и химических веществ, технологических процессов, организации производства и труда, коллективных и индивидуальных средств защиты, эффективностью работы вентиляционных и аспирационных систем, наличием соответствующей эксплуатационной документации, своевременным обеспечением работников средствами индивидуальной защиты, их применением, содержанием (хранение, выдача, стирка, чистка, сушка, обезвреживание, ремонт и т.п.), обеспечением и правильным применением работниками смывающих и обезвреживающих средств, обеспечением санитарно-бытовыми помещениями в соответствии с действующими нормами и правилами;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bCs/>
        </w:rPr>
        <w:t>2.10.</w:t>
      </w:r>
      <w:r>
        <w:rPr/>
        <w:t xml:space="preserve"> подготавливает государственную статистическую отчетность по охране труда и условиям труда по установленным формам и информацию по этим вопросам.</w:t>
      </w:r>
    </w:p>
    <w:p>
      <w:pPr>
        <w:pStyle w:val="Normal"/>
        <w:widowControl w:val="false"/>
        <w:autoSpaceDE w:val="false"/>
        <w:ind w:start="360" w:end="0"/>
        <w:rPr>
          <w:b/>
          <w:iCs/>
        </w:rPr>
      </w:pPr>
      <w:r>
        <w:rPr>
          <w:b/>
          <w:iCs/>
        </w:rPr>
      </w:r>
    </w:p>
    <w:p>
      <w:pPr>
        <w:pStyle w:val="Normal"/>
        <w:widowControl w:val="false"/>
        <w:autoSpaceDE w:val="false"/>
        <w:ind w:start="360" w:end="0"/>
        <w:jc w:val="center"/>
        <w:rPr/>
      </w:pPr>
      <w:r>
        <w:rPr>
          <w:b/>
          <w:iCs/>
        </w:rPr>
        <w:t>Должностные обязанности по системе менеджмента качества:</w:t>
      </w:r>
    </w:p>
    <w:p>
      <w:pPr>
        <w:pStyle w:val="Normal"/>
        <w:widowControl w:val="false"/>
        <w:autoSpaceDE w:val="false"/>
        <w:jc w:val="both"/>
        <w:rPr/>
      </w:pPr>
      <w:r>
        <w:rPr/>
        <w:t>2.11 Участвует в разработке, согласовании документов СМК и изменений к ним;</w:t>
      </w:r>
    </w:p>
    <w:p>
      <w:pPr>
        <w:pStyle w:val="Normal"/>
        <w:widowControl w:val="false"/>
        <w:autoSpaceDE w:val="false"/>
        <w:jc w:val="both"/>
        <w:rPr/>
      </w:pPr>
      <w:r>
        <w:rPr/>
        <w:t>2.12 Осуществляет внедрение и соблюдение требований документов СМК по принадлежности.</w:t>
      </w:r>
    </w:p>
    <w:p>
      <w:pPr>
        <w:pStyle w:val="Normal"/>
        <w:widowControl w:val="false"/>
        <w:autoSpaceDE w:val="false"/>
        <w:jc w:val="both"/>
        <w:rPr/>
      </w:pPr>
      <w:r>
        <w:rPr/>
        <w:t>2.13 Знает и понимает политику в области качества, цели в области качества и способы их достижения по закрепленным функциям самому, ознакамливает и содействует пониманию их подчиненными работниками;</w:t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/>
        <w:t>2.14 Выполняет требования СМК по закрепленным функциям, ознакамливает и обеспечивает выполнение их подчиненными работниками, содействует повышению результативности СМК, включая выгоды от улучшения ее пригодности.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1"/>
        </w:numPr>
        <w:jc w:val="center"/>
        <w:rPr>
          <w:b/>
        </w:rPr>
      </w:pPr>
      <w:r>
        <w:rPr>
          <w:b/>
        </w:rPr>
        <w:t>Права</w:t>
      </w:r>
    </w:p>
    <w:p>
      <w:pPr>
        <w:pStyle w:val="Normal"/>
        <w:ind w:start="360" w:end="0"/>
        <w:rPr>
          <w:b/>
        </w:rPr>
      </w:pPr>
      <w:r>
        <w:rPr>
          <w:b/>
        </w:rPr>
      </w:r>
    </w:p>
    <w:p>
      <w:pPr>
        <w:pStyle w:val="Normal"/>
        <w:ind w:hanging="567" w:start="567" w:end="0"/>
        <w:jc w:val="both"/>
        <w:rPr/>
      </w:pPr>
      <w:r>
        <w:rPr/>
        <w:t>Инженер по охране труда имеет право:</w:t>
      </w:r>
    </w:p>
    <w:p>
      <w:pPr>
        <w:pStyle w:val="Normal"/>
        <w:ind w:hanging="567" w:start="567" w:end="0"/>
        <w:jc w:val="both"/>
        <w:rPr/>
      </w:pPr>
      <w:r>
        <w:rPr>
          <w:b/>
          <w:bCs/>
        </w:rPr>
        <w:t>3.1.</w:t>
      </w:r>
      <w:r>
        <w:rPr/>
        <w:t xml:space="preserve"> знакомиться с проектами решений руководства организации, касающихся его деятельности;</w:t>
      </w:r>
    </w:p>
    <w:p>
      <w:pPr>
        <w:pStyle w:val="Normal"/>
        <w:ind w:hanging="567" w:start="567" w:end="0"/>
        <w:jc w:val="both"/>
        <w:rPr/>
      </w:pPr>
      <w:r>
        <w:rPr>
          <w:b/>
          <w:bCs/>
        </w:rPr>
        <w:t>3.2.</w:t>
      </w:r>
      <w:r>
        <w:rPr/>
        <w:t xml:space="preserve"> проводить проверку состояния и соблюдения требований правил и норм по охране труда в любое время работы подразделения;</w:t>
      </w:r>
    </w:p>
    <w:p>
      <w:pPr>
        <w:pStyle w:val="Normal"/>
        <w:ind w:hanging="567" w:start="567" w:end="0"/>
        <w:jc w:val="both"/>
        <w:rPr/>
      </w:pPr>
      <w:r>
        <w:rPr>
          <w:b/>
          <w:bCs/>
        </w:rPr>
        <w:t>3.3.</w:t>
      </w:r>
      <w:r>
        <w:rPr/>
        <w:t xml:space="preserve"> требовать и получать от подразделений организации необходимые сведения и документы для контроля полноты отражения в них требований по охране труда;</w:t>
      </w:r>
    </w:p>
    <w:p>
      <w:pPr>
        <w:pStyle w:val="Normal"/>
        <w:ind w:hanging="567" w:start="567" w:end="0"/>
        <w:jc w:val="both"/>
        <w:rPr/>
      </w:pPr>
      <w:r>
        <w:rPr>
          <w:b/>
          <w:bCs/>
        </w:rPr>
        <w:t>3.4.</w:t>
      </w:r>
      <w:r>
        <w:rPr/>
        <w:t xml:space="preserve"> вносить на рассмотрение администрации организации вопросы и предложения, связанные с улучшением условий труда работников, защитой их прав;</w:t>
      </w:r>
    </w:p>
    <w:p>
      <w:pPr>
        <w:pStyle w:val="Normal"/>
        <w:ind w:hanging="567" w:start="567" w:end="0"/>
        <w:jc w:val="both"/>
        <w:rPr/>
      </w:pPr>
      <w:r>
        <w:rPr>
          <w:b/>
          <w:bCs/>
        </w:rPr>
        <w:t>3.5.</w:t>
      </w:r>
      <w:r>
        <w:rPr/>
        <w:t xml:space="preserve"> требовать от руководителей подразделений выполнения предписаний органов госнадзора и мероприятий, разработанных в организации, в срок и в полном объеме;</w:t>
      </w:r>
    </w:p>
    <w:p>
      <w:pPr>
        <w:pStyle w:val="Normal"/>
        <w:ind w:hanging="567" w:start="567" w:end="0"/>
        <w:jc w:val="both"/>
        <w:rPr/>
      </w:pPr>
      <w:r>
        <w:rPr>
          <w:b/>
          <w:bCs/>
        </w:rPr>
        <w:t>3.6.</w:t>
      </w:r>
      <w:r>
        <w:rPr/>
        <w:t xml:space="preserve"> приостанавливать действие распоряжений работников подразделений, если они противоречат нормативным правовым актам, методическим документам по охране труда, действующим в организации, и сообщать об этом руководителям подразделений;</w:t>
      </w:r>
    </w:p>
    <w:p>
      <w:pPr>
        <w:pStyle w:val="Normal"/>
        <w:ind w:hanging="567" w:start="567" w:end="0"/>
        <w:jc w:val="both"/>
        <w:rPr/>
      </w:pPr>
      <w:r>
        <w:rPr>
          <w:b/>
          <w:bCs/>
        </w:rPr>
        <w:t>3.7.</w:t>
      </w:r>
      <w:r>
        <w:rPr/>
        <w:t xml:space="preserve"> запрещать эксплуатацию оборудования и инструмента с нарушением правил и норм по охране труда;</w:t>
      </w:r>
    </w:p>
    <w:p>
      <w:pPr>
        <w:pStyle w:val="Normal"/>
        <w:ind w:hanging="567" w:start="567" w:end="0"/>
        <w:jc w:val="both"/>
        <w:rPr/>
      </w:pPr>
      <w:r>
        <w:rPr>
          <w:b/>
          <w:bCs/>
        </w:rPr>
        <w:t>3.8.</w:t>
      </w:r>
      <w:r>
        <w:rPr/>
        <w:t xml:space="preserve"> вносить предложения по совершенствованию работы, связанной с предусмотренными данной должностной инструкцией обязанностями.</w:t>
      </w:r>
    </w:p>
    <w:p>
      <w:pPr>
        <w:pStyle w:val="Normal"/>
        <w:numPr>
          <w:ilvl w:val="0"/>
          <w:numId w:val="1"/>
        </w:numPr>
        <w:jc w:val="center"/>
        <w:rPr>
          <w:b/>
        </w:rPr>
      </w:pPr>
      <w:r>
        <w:rPr>
          <w:b/>
        </w:rPr>
        <w:t>Ответственность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tabs>
          <w:tab w:val="clear" w:pos="708"/>
          <w:tab w:val="left" w:pos="540" w:leader="none"/>
          <w:tab w:val="left" w:pos="786" w:leader="none"/>
        </w:tabs>
        <w:jc w:val="both"/>
        <w:rPr>
          <w:bCs/>
        </w:rPr>
      </w:pPr>
      <w:r>
        <w:rPr>
          <w:bCs/>
        </w:rPr>
        <w:t>Инженер по охране труда несет ответственность:</w:t>
      </w:r>
    </w:p>
    <w:p>
      <w:pPr>
        <w:pStyle w:val="Normal"/>
        <w:tabs>
          <w:tab w:val="clear" w:pos="708"/>
          <w:tab w:val="left" w:pos="540" w:leader="none"/>
          <w:tab w:val="left" w:pos="786" w:leader="none"/>
        </w:tabs>
        <w:jc w:val="both"/>
        <w:rPr/>
      </w:pPr>
      <w:r>
        <w:rPr>
          <w:b/>
          <w:bCs/>
        </w:rPr>
        <w:t>4.1.</w:t>
      </w:r>
      <w:r>
        <w:rPr>
          <w:bCs/>
        </w:rPr>
        <w:t xml:space="preserve"> за ненадлежащее исполнение (неисполнение) своих должностных обязанностей, неправильность и неполноту использования предоставленных прав, предусмотренных настоящей должностной инструкцией, - в пределах, определенных действующим трудовым законодательством;</w:t>
      </w:r>
    </w:p>
    <w:p>
      <w:pPr>
        <w:pStyle w:val="Normal"/>
        <w:tabs>
          <w:tab w:val="clear" w:pos="708"/>
          <w:tab w:val="left" w:pos="540" w:leader="none"/>
          <w:tab w:val="left" w:pos="786" w:leader="none"/>
        </w:tabs>
        <w:jc w:val="both"/>
        <w:rPr/>
      </w:pPr>
      <w:r>
        <w:rPr>
          <w:b/>
          <w:bCs/>
        </w:rPr>
        <w:t>4.2.</w:t>
      </w:r>
      <w:r>
        <w:rPr>
          <w:bCs/>
        </w:rPr>
        <w:t xml:space="preserve"> за правонарушения, совершенные в процессе осуществления своей деятельности, - в пределах, определенных действующим административным, уголовным и гражданским законодательством;</w:t>
      </w:r>
    </w:p>
    <w:p>
      <w:pPr>
        <w:pStyle w:val="Normal"/>
        <w:tabs>
          <w:tab w:val="clear" w:pos="708"/>
          <w:tab w:val="left" w:pos="540" w:leader="none"/>
          <w:tab w:val="left" w:pos="786" w:leader="none"/>
        </w:tabs>
        <w:jc w:val="both"/>
        <w:rPr/>
      </w:pPr>
      <w:r>
        <w:rPr>
          <w:b/>
          <w:bCs/>
        </w:rPr>
        <w:t>4.3.</w:t>
      </w:r>
      <w:r>
        <w:rPr>
          <w:bCs/>
        </w:rPr>
        <w:t xml:space="preserve"> за причинение материального ущерба - в пределах, определенных действующим трудовым и гражданским законодательством.</w:t>
      </w:r>
    </w:p>
    <w:p>
      <w:pPr>
        <w:pStyle w:val="Normal"/>
        <w:widowControl w:val="false"/>
        <w:autoSpaceDE w:val="false"/>
        <w:jc w:val="both"/>
        <w:rPr>
          <w:rFonts w:ascii="Calibri" w:hAnsi="Calibri" w:cs="TimesNewRomanPSMT;Times New Roman"/>
          <w:bCs/>
        </w:rPr>
      </w:pPr>
      <w:r>
        <w:rPr>
          <w:rFonts w:cs="TimesNewRomanPSMT;Times New Roman" w:ascii="Calibri" w:hAnsi="Calibri"/>
          <w:bCs/>
        </w:rPr>
      </w:r>
    </w:p>
    <w:p>
      <w:pPr>
        <w:pStyle w:val="Normal"/>
        <w:rPr>
          <w:sz w:val="25"/>
          <w:szCs w:val="25"/>
        </w:rPr>
      </w:pPr>
      <w:r>
        <w:rPr>
          <w:sz w:val="25"/>
          <w:szCs w:val="25"/>
        </w:rPr>
        <w:t>С инструкцией ознакомлен(а), обязуюсь выполнять: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jc w:val="both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rPr>
          <w:sz w:val="25"/>
          <w:szCs w:val="25"/>
        </w:rPr>
      </w:pPr>
      <w:r>
        <w:rPr>
          <w:sz w:val="28"/>
          <w:szCs w:val="28"/>
        </w:rPr>
        <w:t xml:space="preserve">______________      </w:t>
      </w:r>
    </w:p>
    <w:p>
      <w:pPr>
        <w:pStyle w:val="Normal"/>
        <w:jc w:val="both"/>
        <w:rPr/>
      </w:pPr>
      <w:r>
        <w:rPr>
          <w:i/>
          <w:sz w:val="18"/>
          <w:szCs w:val="18"/>
        </w:rPr>
        <w:t xml:space="preserve">        </w:t>
      </w:r>
      <w:r>
        <w:rPr>
          <w:i/>
          <w:sz w:val="18"/>
          <w:szCs w:val="18"/>
        </w:rPr>
        <w:t>/подпись/                                /расшифровка подписи/</w:t>
      </w:r>
    </w:p>
    <w:p>
      <w:pPr>
        <w:pStyle w:val="Normal"/>
        <w:jc w:val="both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rPr>
          <w:i/>
          <w:i/>
          <w:sz w:val="25"/>
          <w:szCs w:val="25"/>
        </w:rPr>
      </w:pPr>
      <w:r>
        <w:rPr>
          <w:i/>
          <w:sz w:val="25"/>
          <w:szCs w:val="25"/>
        </w:rPr>
      </w:r>
    </w:p>
    <w:p>
      <w:pPr>
        <w:pStyle w:val="Normal"/>
        <w:rPr>
          <w:sz w:val="25"/>
          <w:szCs w:val="25"/>
        </w:rPr>
      </w:pPr>
      <w:r>
        <w:rPr>
          <w:sz w:val="25"/>
          <w:szCs w:val="25"/>
        </w:rPr>
      </w:r>
    </w:p>
    <w:sectPr>
      <w:footerReference w:type="default" r:id="rId2"/>
      <w:type w:val="nextPage"/>
      <w:pgSz w:w="11906" w:h="16838"/>
      <w:pgMar w:left="1701" w:right="850" w:gutter="0" w:header="0" w:top="1134" w:footer="708" w:bottom="8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sz w:val="24"/>
        <w:i w:val="false"/>
        <w:b/>
        <w:szCs w:val="24"/>
        <w:rFonts w:cs="Times New Roman"/>
      </w:rPr>
    </w:lvl>
    <w:lvl w:ilvl="1">
      <w:start w:val="1"/>
      <w:isLgl/>
      <w:numFmt w:val="decimal"/>
      <w:lvlText w:val="%1.%2"/>
      <w:lvlJc w:val="start"/>
      <w:pPr>
        <w:tabs>
          <w:tab w:val="num" w:pos="360"/>
        </w:tabs>
        <w:ind w:start="360" w:hanging="360"/>
      </w:pPr>
      <w:rPr>
        <w:rFonts w:cs="Times New Roman"/>
      </w:rPr>
    </w:lvl>
    <w:lvl w:ilvl="2">
      <w:start w:val="1"/>
      <w:isLgl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rFonts w:cs="Times New Roman"/>
      </w:rPr>
    </w:lvl>
    <w:lvl w:ilvl="3">
      <w:start w:val="1"/>
      <w:isLgl/>
      <w:numFmt w:val="decimal"/>
      <w:lvlText w:val="%1.%2.%3.%4"/>
      <w:lvlJc w:val="start"/>
      <w:pPr>
        <w:tabs>
          <w:tab w:val="num" w:pos="1080"/>
        </w:tabs>
        <w:ind w:start="1080" w:hanging="1080"/>
      </w:pPr>
      <w:rPr>
        <w:rFonts w:cs="Times New Roman"/>
      </w:rPr>
    </w:lvl>
    <w:lvl w:ilvl="4">
      <w:start w:val="1"/>
      <w:isLgl/>
      <w:numFmt w:val="decimal"/>
      <w:lvlText w:val="%1.%2.%3.%4.%5"/>
      <w:lvlJc w:val="start"/>
      <w:pPr>
        <w:tabs>
          <w:tab w:val="num" w:pos="1080"/>
        </w:tabs>
        <w:ind w:start="1080" w:hanging="1080"/>
      </w:pPr>
      <w:rPr>
        <w:rFonts w:cs="Times New Roman"/>
      </w:rPr>
    </w:lvl>
    <w:lvl w:ilvl="5">
      <w:start w:val="1"/>
      <w:isLgl/>
      <w:numFmt w:val="decimal"/>
      <w:lvlText w:val="%1.%2.%3.%4.%5.%6"/>
      <w:lvlJc w:val="start"/>
      <w:pPr>
        <w:tabs>
          <w:tab w:val="num" w:pos="1440"/>
        </w:tabs>
        <w:ind w:start="1440" w:hanging="1440"/>
      </w:pPr>
      <w:rPr>
        <w:rFonts w:cs="Times New Roman"/>
      </w:rPr>
    </w:lvl>
    <w:lvl w:ilvl="6">
      <w:start w:val="1"/>
      <w:isLgl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>
        <w:rFonts w:cs="Times New Roman"/>
      </w:rPr>
    </w:lvl>
    <w:lvl w:ilvl="7">
      <w:start w:val="1"/>
      <w:isLgl/>
      <w:numFmt w:val="decimal"/>
      <w:lvlText w:val="%1.%2.%3.%4.%5.%6.%7.%8"/>
      <w:lvlJc w:val="start"/>
      <w:pPr>
        <w:tabs>
          <w:tab w:val="num" w:pos="1800"/>
        </w:tabs>
        <w:ind w:start="1800" w:hanging="1800"/>
      </w:pPr>
      <w:rPr>
        <w:rFonts w:cs="Times New Roman"/>
      </w:rPr>
    </w:lvl>
    <w:lvl w:ilvl="8">
      <w:start w:val="1"/>
      <w:isLgl/>
      <w:numFmt w:val="decimal"/>
      <w:lvlText w:val="%1.%2.%3.%4.%5.%6.%7.%8.%9"/>
      <w:lvlJc w:val="start"/>
      <w:pPr>
        <w:tabs>
          <w:tab w:val="num" w:pos="2160"/>
        </w:tabs>
        <w:ind w:start="2160" w:hanging="216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>
      <w:rFonts w:cs="Times New Roman"/>
      <w:b/>
      <w:i w:val="false"/>
      <w:sz w:val="24"/>
      <w:szCs w:val="24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/>
  </w:style>
  <w:style w:type="character" w:styleId="Style14">
    <w:name w:val="Основной шрифт абзаца"/>
    <w:qFormat/>
    <w:rPr/>
  </w:style>
  <w:style w:type="character" w:styleId="Style15">
    <w:name w:val="Нижний колонтитул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2022-04-06T05:22:00Z</dcterms:created>
  <dc:creator>Ntishchenko</dc:creator>
  <dc:description/>
  <cp:keywords/>
  <dc:language>en-US</dc:language>
  <cp:lastModifiedBy>User</cp:lastModifiedBy>
  <cp:lastPrinted>2017-11-23T16:25:00Z</cp:lastPrinted>
  <dcterms:modified xsi:type="dcterms:W3CDTF">2026-05-25T07:47:00Z</dcterms:modified>
  <cp:revision>4</cp:revision>
  <dc:subject/>
  <dc:title>                                                         </dc:title>
</cp:coreProperties>
</file>