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102BFB" w:rsidRDefault="00102BFB">
      <w:pPr>
        <w:rPr>
          <w:rFonts w:ascii="Arial" w:hAnsi="Arial" w:cs="Arial"/>
          <w:sz w:val="28"/>
          <w:szCs w:val="28"/>
        </w:rPr>
      </w:pPr>
      <w:bookmarkStart w:id="0" w:name="_GoBack"/>
      <w:r w:rsidRPr="00102BFB">
        <w:rPr>
          <w:rFonts w:ascii="Arial" w:hAnsi="Arial" w:cs="Arial"/>
          <w:color w:val="212529"/>
          <w:sz w:val="28"/>
          <w:szCs w:val="28"/>
          <w:shd w:val="clear" w:color="auto" w:fill="FFFFFF"/>
        </w:rPr>
        <w:t>Действие поршневых двигателей основано на том, что вода в стеклянной трубке под действием атмосферного давления поднимается за поршнем.</w:t>
      </w:r>
      <w:bookmarkEnd w:id="0"/>
    </w:p>
    <w:sectPr w:rsidR="009F075A" w:rsidRPr="0010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07"/>
    <w:rsid w:val="00102BFB"/>
    <w:rsid w:val="00A03427"/>
    <w:rsid w:val="00B56C0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diakov.net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2023-01-19T19:06:00Z</dcterms:created>
  <dcterms:modified xsi:type="dcterms:W3CDTF">2023-01-19T19:06:00Z</dcterms:modified>
</cp:coreProperties>
</file>