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1F3A5F"/>
          <w:sz w:val="40"/>
        </w:rPr>
        <w:t>Lernfeld 10</w:t>
      </w:r>
    </w:p>
    <w:p>
      <w:r>
        <w:rPr>
          <w:color w:val="595959"/>
          <w:sz w:val="26"/>
        </w:rPr>
        <w:t>AD-Dokumentation: Prüfung auf Vollständigkeit und effizientere Methoden</w:t>
      </w:r>
    </w:p>
    <w:p>
      <w:r>
        <w:rPr>
          <w:b/>
        </w:rPr>
        <w:t xml:space="preserve">Grundlage: </w:t>
      </w:r>
      <w:r>
        <w:t>Geprüft wurde „Lernfeld 10 - Dokumentation AD (überarbeitet).docx“ (Stand 05.10.2026) gegen die Aufgabenstellung „ADS-Konfiguration RWE mit Domäne und Skripten“ und gegen Microsoft-Dokumentation sowie Fachartikel (Quellen am Ende). Beispielwerte wie in der Doku: Server KLAUSUR, Domäne rwe01.local, Server-IP 192.168.1.10.</w:t>
      </w:r>
    </w:p>
    <w:p>
      <w:pPr>
        <w:pStyle w:val="Heading1"/>
      </w:pPr>
      <w:r>
        <w:t>Kurzfazit</w:t>
      </w:r>
    </w:p>
    <w:p>
      <w:pPr>
        <w:pStyle w:val="ListBullet"/>
        <w:spacing w:after="40"/>
      </w:pPr>
      <w:r>
        <w:t>Alle Aufgaben der Aufgabenstellung sind in der Doku abgedeckt. Fachlich ist nichts falsch, was die Aufgabe scheitern lässt.</w:t>
      </w:r>
    </w:p>
    <w:p>
      <w:pPr>
        <w:pStyle w:val="ListBullet"/>
        <w:spacing w:after="40"/>
      </w:pPr>
      <w:r>
        <w:t>Eine Korrektur: Die Einstellung heißt „Profilgröße beschränken“, nicht „Profilgröße begrenzen“; die Option heißt „Benutzer beim Überschreiten der max. Profilspeichergröße benachrichtigen“.</w:t>
      </w:r>
    </w:p>
    <w:p>
      <w:pPr>
        <w:pStyle w:val="ListBullet"/>
        <w:spacing w:after="40"/>
      </w:pPr>
      <w:r>
        <w:t>Drei sinnvolle Ergänzungen: Softwareinstallation braucht evtl. eine zweite Anmeldung, Home-Ordner sind ohne Rechteanpassung für alle Benutzer lesbar, Chrome/Firefox werden pro Computer installiert.</w:t>
      </w:r>
    </w:p>
    <w:p>
      <w:pPr>
        <w:pStyle w:val="ListBullet"/>
        <w:spacing w:after="40"/>
      </w:pPr>
      <w:r>
        <w:t>Effizienter geht es vor allem mit PowerShell: alle 20 Konten aller OUs in einem Durchlauf, DNS mit fünf Befehlen, GPOs anlegen und verknüpfen per Befehl. Nur die Softwareinstallation und die Kennwortrichtlinie bleiben bei der Oberfläche.</w:t>
      </w:r>
    </w:p>
    <w:p>
      <w:pPr>
        <w:pStyle w:val="Heading1"/>
      </w:pPr>
      <w:r>
        <w:t>1. Vollständigkeit je Aufgabe</w:t>
      </w:r>
    </w:p>
    <w:tbl>
      <w:tblPr>
        <w:tblStyle w:val="TableGrid"/>
        <w:tblW w:type="auto" w:w="0"/>
        <w:jc w:val="left"/>
        <w:tblLayout w:type="fixed"/>
        <w:tblLook w:firstColumn="1" w:firstRow="1" w:lastColumn="0" w:lastRow="0" w:noHBand="0" w:noVBand="1" w:val="04A0"/>
      </w:tblPr>
      <w:tblGrid>
        <w:gridCol w:w="3137"/>
        <w:gridCol w:w="3137"/>
        <w:gridCol w:w="3137"/>
      </w:tblGrid>
      <w:tr>
        <w:tc>
          <w:tcPr>
            <w:tcW w:type="dxa" w:w="2381"/>
            <w:shd w:val="clear" w:color="auto" w:fill="DCE6F0"/>
          </w:tcPr>
          <w:p>
            <w:pPr>
              <w:spacing w:after="0"/>
            </w:pPr>
            <w:r>
              <w:rPr>
                <w:sz w:val="20"/>
              </w:rPr>
            </w:r>
            <w:r>
              <w:rPr>
                <w:b/>
                <w:sz w:val="20"/>
              </w:rPr>
              <w:t>Aufgabe</w:t>
            </w:r>
          </w:p>
        </w:tc>
        <w:tc>
          <w:tcPr>
            <w:tcW w:type="dxa" w:w="2041"/>
            <w:shd w:val="clear" w:color="auto" w:fill="DCE6F0"/>
          </w:tcPr>
          <w:p>
            <w:pPr>
              <w:spacing w:after="0"/>
            </w:pPr>
            <w:r>
              <w:rPr>
                <w:sz w:val="20"/>
              </w:rPr>
            </w:r>
            <w:r>
              <w:rPr>
                <w:b/>
                <w:sz w:val="20"/>
              </w:rPr>
              <w:t>In der Doku</w:t>
            </w:r>
          </w:p>
        </w:tc>
        <w:tc>
          <w:tcPr>
            <w:tcW w:type="dxa" w:w="4989"/>
            <w:shd w:val="clear" w:color="auto" w:fill="DCE6F0"/>
          </w:tcPr>
          <w:p>
            <w:pPr>
              <w:spacing w:after="0"/>
            </w:pPr>
            <w:r>
              <w:rPr>
                <w:sz w:val="20"/>
              </w:rPr>
            </w:r>
            <w:r>
              <w:rPr>
                <w:b/>
                <w:sz w:val="20"/>
              </w:rPr>
              <w:t>Ergebnis der Prüfung</w:t>
            </w:r>
          </w:p>
        </w:tc>
      </w:tr>
      <w:tr>
        <w:tc>
          <w:tcPr>
            <w:tcW w:type="dxa" w:w="2381"/>
          </w:tcPr>
          <w:p>
            <w:pPr>
              <w:spacing w:after="0"/>
            </w:pPr>
            <w:r>
              <w:rPr>
                <w:sz w:val="20"/>
              </w:rPr>
              <w:t>OU RWE + 5 Unter-OUs</w:t>
            </w:r>
          </w:p>
        </w:tc>
        <w:tc>
          <w:tcPr>
            <w:tcW w:type="dxa" w:w="2041"/>
          </w:tcPr>
          <w:p>
            <w:pPr>
              <w:spacing w:after="0"/>
            </w:pPr>
            <w:r>
              <w:rPr>
                <w:sz w:val="20"/>
              </w:rPr>
              <w:t>Abschnitt 1</w:t>
            </w:r>
          </w:p>
        </w:tc>
        <w:tc>
          <w:tcPr>
            <w:tcW w:type="dxa" w:w="4989"/>
          </w:tcPr>
          <w:p>
            <w:pPr>
              <w:spacing w:after="0"/>
            </w:pPr>
            <w:r>
              <w:rPr>
                <w:sz w:val="20"/>
              </w:rPr>
              <w:t>Vollständig. Anführungszeichen um den DN sind laut Microsoft nötig, sobald Leerzeichen vorkommen.</w:t>
            </w:r>
          </w:p>
        </w:tc>
      </w:tr>
      <w:tr>
        <w:tc>
          <w:tcPr>
            <w:tcW w:type="dxa" w:w="2381"/>
          </w:tcPr>
          <w:p>
            <w:pPr>
              <w:spacing w:after="0"/>
            </w:pPr>
            <w:r>
              <w:rPr>
                <w:sz w:val="20"/>
              </w:rPr>
              <w:t>Konten mit Kennwörtern</w:t>
            </w:r>
          </w:p>
        </w:tc>
        <w:tc>
          <w:tcPr>
            <w:tcW w:type="dxa" w:w="2041"/>
          </w:tcPr>
          <w:p>
            <w:pPr>
              <w:spacing w:after="0"/>
            </w:pPr>
            <w:r>
              <w:rPr>
                <w:sz w:val="20"/>
              </w:rPr>
              <w:t>Abschnitt 5</w:t>
            </w:r>
          </w:p>
        </w:tc>
        <w:tc>
          <w:tcPr>
            <w:tcW w:type="dxa" w:w="4989"/>
          </w:tcPr>
          <w:p>
            <w:pPr>
              <w:spacing w:after="0"/>
            </w:pPr>
            <w:r>
              <w:rPr>
                <w:sz w:val="20"/>
              </w:rPr>
              <w:t>Vollständig. -disabled no ist wichtig: Ohne den Parameter legt dsadd Konten laut Microsoft deaktiviert an.</w:t>
            </w:r>
          </w:p>
        </w:tc>
      </w:tr>
      <w:tr>
        <w:tc>
          <w:tcPr>
            <w:tcW w:type="dxa" w:w="2381"/>
          </w:tcPr>
          <w:p>
            <w:pPr>
              <w:spacing w:after="0"/>
            </w:pPr>
            <w:r>
              <w:rPr>
                <w:sz w:val="20"/>
              </w:rPr>
              <w:t>Kennwort bei 1. Anmeldung ändern</w:t>
            </w:r>
          </w:p>
        </w:tc>
        <w:tc>
          <w:tcPr>
            <w:tcW w:type="dxa" w:w="2041"/>
          </w:tcPr>
          <w:p>
            <w:pPr>
              <w:spacing w:after="0"/>
            </w:pPr>
            <w:r>
              <w:rPr>
                <w:sz w:val="20"/>
              </w:rPr>
              <w:t>-mustchpwd yes</w:t>
            </w:r>
          </w:p>
        </w:tc>
        <w:tc>
          <w:tcPr>
            <w:tcW w:type="dxa" w:w="4989"/>
          </w:tcPr>
          <w:p>
            <w:pPr>
              <w:spacing w:after="0"/>
            </w:pPr>
            <w:r>
              <w:rPr>
                <w:sz w:val="20"/>
              </w:rPr>
              <w:t>Vollständig. Voraussetzung -canchpwd yes ist Standard. -pwdneverexpires darf nicht gesetzt werden (steht in der Doku).</w:t>
            </w:r>
          </w:p>
        </w:tc>
      </w:tr>
      <w:tr>
        <w:tc>
          <w:tcPr>
            <w:tcW w:type="dxa" w:w="2381"/>
          </w:tcPr>
          <w:p>
            <w:pPr>
              <w:spacing w:after="0"/>
            </w:pPr>
            <w:r>
              <w:rPr>
                <w:sz w:val="20"/>
              </w:rPr>
              <w:t>Serverbasierte Profile (ohne Fertigung)</w:t>
            </w:r>
          </w:p>
        </w:tc>
        <w:tc>
          <w:tcPr>
            <w:tcW w:type="dxa" w:w="2041"/>
          </w:tcPr>
          <w:p>
            <w:pPr>
              <w:spacing w:after="0"/>
            </w:pPr>
            <w:r>
              <w:rPr>
                <w:sz w:val="20"/>
              </w:rPr>
              <w:t>Profile$, -profile</w:t>
            </w:r>
          </w:p>
        </w:tc>
        <w:tc>
          <w:tcPr>
            <w:tcW w:type="dxa" w:w="4989"/>
          </w:tcPr>
          <w:p>
            <w:pPr>
              <w:spacing w:after="0"/>
            </w:pPr>
            <w:r>
              <w:rPr>
                <w:sz w:val="20"/>
              </w:rPr>
              <w:t>Vollständig. Windows 10 hängt an den Profilordner selbst .V6 an.</w:t>
            </w:r>
          </w:p>
        </w:tc>
      </w:tr>
      <w:tr>
        <w:tc>
          <w:tcPr>
            <w:tcW w:type="dxa" w:w="2381"/>
          </w:tcPr>
          <w:p>
            <w:pPr>
              <w:spacing w:after="0"/>
            </w:pPr>
            <w:r>
              <w:rPr>
                <w:sz w:val="20"/>
              </w:rPr>
              <w:t>HOME Z: → C:\Home, Home$</w:t>
            </w:r>
          </w:p>
        </w:tc>
        <w:tc>
          <w:tcPr>
            <w:tcW w:type="dxa" w:w="2041"/>
          </w:tcPr>
          <w:p>
            <w:pPr>
              <w:spacing w:after="0"/>
            </w:pPr>
            <w:r>
              <w:rPr>
                <w:sz w:val="20"/>
              </w:rPr>
              <w:t>Abschnitt 3 und 5</w:t>
            </w:r>
          </w:p>
        </w:tc>
        <w:tc>
          <w:tcPr>
            <w:tcW w:type="dxa" w:w="4989"/>
          </w:tcPr>
          <w:p>
            <w:pPr>
              <w:spacing w:after="0"/>
            </w:pPr>
            <w:r>
              <w:rPr>
                <w:sz w:val="20"/>
              </w:rPr>
              <w:t>Vollständig. Ergänzung zu den Rechten siehe Abschnitt 2.</w:t>
            </w:r>
          </w:p>
        </w:tc>
      </w:tr>
      <w:tr>
        <w:tc>
          <w:tcPr>
            <w:tcW w:type="dxa" w:w="2381"/>
          </w:tcPr>
          <w:p>
            <w:pPr>
              <w:spacing w:after="0"/>
            </w:pPr>
            <w:r>
              <w:rPr>
                <w:sz w:val="20"/>
              </w:rPr>
              <w:t>Software.cmd → T: → X:\Software</w:t>
            </w:r>
          </w:p>
        </w:tc>
        <w:tc>
          <w:tcPr>
            <w:tcW w:type="dxa" w:w="2041"/>
          </w:tcPr>
          <w:p>
            <w:pPr>
              <w:spacing w:after="0"/>
            </w:pPr>
            <w:r>
              <w:rPr>
                <w:sz w:val="20"/>
              </w:rPr>
              <w:t>Abschnitt 4, -loscr</w:t>
            </w:r>
          </w:p>
        </w:tc>
        <w:tc>
          <w:tcPr>
            <w:tcW w:type="dxa" w:w="4989"/>
          </w:tcPr>
          <w:p>
            <w:pPr>
              <w:spacing w:after="0"/>
            </w:pPr>
            <w:r>
              <w:rPr>
                <w:sz w:val="20"/>
              </w:rPr>
              <w:t>Vollständig. -loscr erwartet den Pfad relativ zu NETLOGON, also nur den Dateinamen.</w:t>
            </w:r>
          </w:p>
        </w:tc>
      </w:tr>
      <w:tr>
        <w:tc>
          <w:tcPr>
            <w:tcW w:type="dxa" w:w="2381"/>
          </w:tcPr>
          <w:p>
            <w:pPr>
              <w:spacing w:after="0"/>
            </w:pPr>
            <w:r>
              <w:rPr>
                <w:sz w:val="20"/>
              </w:rPr>
              <w:t>Ersatzteile.bat → U: → X:\Ersatzteile</w:t>
            </w:r>
          </w:p>
        </w:tc>
        <w:tc>
          <w:tcPr>
            <w:tcW w:type="dxa" w:w="2041"/>
          </w:tcPr>
          <w:p>
            <w:pPr>
              <w:spacing w:after="0"/>
            </w:pPr>
            <w:r>
              <w:rPr>
                <w:sz w:val="20"/>
              </w:rPr>
              <w:t>Abschnitt 4, -loscr</w:t>
            </w:r>
          </w:p>
        </w:tc>
        <w:tc>
          <w:tcPr>
            <w:tcW w:type="dxa" w:w="4989"/>
          </w:tcPr>
          <w:p>
            <w:pPr>
              <w:spacing w:after="0"/>
            </w:pPr>
            <w:r>
              <w:rPr>
                <w:sz w:val="20"/>
              </w:rPr>
              <w:t>Vollständig.</w:t>
            </w:r>
          </w:p>
        </w:tc>
      </w:tr>
      <w:tr>
        <w:tc>
          <w:tcPr>
            <w:tcW w:type="dxa" w:w="2381"/>
          </w:tcPr>
          <w:p>
            <w:pPr>
              <w:spacing w:after="0"/>
            </w:pPr>
            <w:r>
              <w:rPr>
                <w:sz w:val="20"/>
              </w:rPr>
              <w:t>Profil max. 500 MB</w:t>
            </w:r>
          </w:p>
        </w:tc>
        <w:tc>
          <w:tcPr>
            <w:tcW w:type="dxa" w:w="2041"/>
          </w:tcPr>
          <w:p>
            <w:pPr>
              <w:spacing w:after="0"/>
            </w:pPr>
            <w:r>
              <w:rPr>
                <w:sz w:val="20"/>
              </w:rPr>
              <w:t>GPO an OU RWE</w:t>
            </w:r>
          </w:p>
        </w:tc>
        <w:tc>
          <w:tcPr>
            <w:tcW w:type="dxa" w:w="4989"/>
          </w:tcPr>
          <w:p>
            <w:pPr>
              <w:spacing w:after="0"/>
            </w:pPr>
            <w:r>
              <w:rPr>
                <w:sz w:val="20"/>
              </w:rPr>
              <w:t>Vollständig, aber Name der Einstellung korrigieren. Gilt für lokale und servergespeicherte Profile, also auch für die Fertigung.</w:t>
            </w:r>
          </w:p>
        </w:tc>
      </w:tr>
      <w:tr>
        <w:tc>
          <w:tcPr>
            <w:tcW w:type="dxa" w:w="2381"/>
          </w:tcPr>
          <w:p>
            <w:pPr>
              <w:spacing w:after="0"/>
            </w:pPr>
            <w:r>
              <w:rPr>
                <w:sz w:val="20"/>
              </w:rPr>
              <w:t>Fertigung: nicht herunterfahren</w:t>
            </w:r>
          </w:p>
        </w:tc>
        <w:tc>
          <w:tcPr>
            <w:tcW w:type="dxa" w:w="2041"/>
          </w:tcPr>
          <w:p>
            <w:pPr>
              <w:spacing w:after="0"/>
            </w:pPr>
            <w:r>
              <w:rPr>
                <w:sz w:val="20"/>
              </w:rPr>
              <w:t>GPO an OU Fertigung</w:t>
            </w:r>
          </w:p>
        </w:tc>
        <w:tc>
          <w:tcPr>
            <w:tcW w:type="dxa" w:w="4989"/>
          </w:tcPr>
          <w:p>
            <w:pPr>
              <w:spacing w:after="0"/>
            </w:pPr>
            <w:r>
              <w:rPr>
                <w:sz w:val="20"/>
              </w:rPr>
              <w:t>Vollständig. Entfernt die Befehle aus Startmenü, Strg+Alt+Entf-Bildschirm und Anmeldebildschirm.</w:t>
            </w:r>
          </w:p>
        </w:tc>
      </w:tr>
      <w:tr>
        <w:tc>
          <w:tcPr>
            <w:tcW w:type="dxa" w:w="2381"/>
          </w:tcPr>
          <w:p>
            <w:pPr>
              <w:spacing w:after="0"/>
            </w:pPr>
            <w:r>
              <w:rPr>
                <w:sz w:val="20"/>
              </w:rPr>
              <w:t>Chrome für IT, Firefox für Fertigung</w:t>
            </w:r>
          </w:p>
        </w:tc>
        <w:tc>
          <w:tcPr>
            <w:tcW w:type="dxa" w:w="2041"/>
          </w:tcPr>
          <w:p>
            <w:pPr>
              <w:spacing w:after="0"/>
            </w:pPr>
            <w:r>
              <w:rPr>
                <w:sz w:val="20"/>
              </w:rPr>
              <w:t>Softwareinstallation, Zugewiesen</w:t>
            </w:r>
          </w:p>
        </w:tc>
        <w:tc>
          <w:tcPr>
            <w:tcW w:type="dxa" w:w="4989"/>
          </w:tcPr>
          <w:p>
            <w:pPr>
              <w:spacing w:after="0"/>
            </w:pPr>
            <w:r>
              <w:rPr>
                <w:sz w:val="20"/>
              </w:rPr>
              <w:t>Vollständig. Ergänzungen siehe Abschnitt 2.</w:t>
            </w:r>
          </w:p>
        </w:tc>
      </w:tr>
      <w:tr>
        <w:tc>
          <w:tcPr>
            <w:tcW w:type="dxa" w:w="2381"/>
          </w:tcPr>
          <w:p>
            <w:pPr>
              <w:spacing w:after="0"/>
            </w:pPr>
            <w:r>
              <w:rPr>
                <w:sz w:val="20"/>
              </w:rPr>
              <w:t>www.rwe.de, www.ewr.de, ww.rwe.de</w:t>
            </w:r>
          </w:p>
        </w:tc>
        <w:tc>
          <w:tcPr>
            <w:tcW w:type="dxa" w:w="2041"/>
          </w:tcPr>
          <w:p>
            <w:pPr>
              <w:spacing w:after="0"/>
            </w:pPr>
            <w:r>
              <w:rPr>
                <w:sz w:val="20"/>
              </w:rPr>
              <w:t>Zonen rwe.de, ewr.de</w:t>
            </w:r>
          </w:p>
        </w:tc>
        <w:tc>
          <w:tcPr>
            <w:tcW w:type="dxa" w:w="4989"/>
          </w:tcPr>
          <w:p>
            <w:pPr>
              <w:spacing w:after="0"/>
            </w:pPr>
            <w:r>
              <w:rPr>
                <w:sz w:val="20"/>
              </w:rPr>
              <w:t>Vollständig.</w:t>
            </w:r>
          </w:p>
        </w:tc>
      </w:tr>
      <w:tr>
        <w:tc>
          <w:tcPr>
            <w:tcW w:type="dxa" w:w="2381"/>
          </w:tcPr>
          <w:p>
            <w:pPr>
              <w:spacing w:after="0"/>
            </w:pPr>
            <w:r>
              <w:rPr>
                <w:sz w:val="20"/>
              </w:rPr>
              <w:t>IP → Servername (Reverse)</w:t>
            </w:r>
          </w:p>
        </w:tc>
        <w:tc>
          <w:tcPr>
            <w:tcW w:type="dxa" w:w="2041"/>
          </w:tcPr>
          <w:p>
            <w:pPr>
              <w:spacing w:after="0"/>
            </w:pPr>
            <w:r>
              <w:rPr>
                <w:sz w:val="20"/>
              </w:rPr>
              <w:t>Reverse-Zone + PTR</w:t>
            </w:r>
          </w:p>
        </w:tc>
        <w:tc>
          <w:tcPr>
            <w:tcW w:type="dxa" w:w="4989"/>
          </w:tcPr>
          <w:p>
            <w:pPr>
              <w:spacing w:after="0"/>
            </w:pPr>
            <w:r>
              <w:rPr>
                <w:sz w:val="20"/>
              </w:rPr>
              <w:t>Vollständig.</w:t>
            </w:r>
          </w:p>
        </w:tc>
      </w:tr>
      <w:tr>
        <w:tc>
          <w:tcPr>
            <w:tcW w:type="dxa" w:w="2381"/>
          </w:tcPr>
          <w:p>
            <w:pPr>
              <w:spacing w:after="0"/>
            </w:pPr>
            <w:r>
              <w:rPr>
                <w:sz w:val="20"/>
              </w:rPr>
              <w:t>Client tritt der Domäne bei</w:t>
            </w:r>
          </w:p>
        </w:tc>
        <w:tc>
          <w:tcPr>
            <w:tcW w:type="dxa" w:w="2041"/>
          </w:tcPr>
          <w:p>
            <w:pPr>
              <w:spacing w:after="0"/>
            </w:pPr>
            <w:r>
              <w:rPr>
                <w:sz w:val="20"/>
              </w:rPr>
              <w:t>sysdm.cpl</w:t>
            </w:r>
          </w:p>
        </w:tc>
        <w:tc>
          <w:tcPr>
            <w:tcW w:type="dxa" w:w="4989"/>
          </w:tcPr>
          <w:p>
            <w:pPr>
              <w:spacing w:after="0"/>
            </w:pPr>
            <w:r>
              <w:rPr>
                <w:sz w:val="20"/>
              </w:rPr>
              <w:t>Vollständig.</w:t>
            </w:r>
          </w:p>
        </w:tc>
      </w:tr>
    </w:tbl>
    <w:p>
      <w:pPr>
        <w:spacing w:after="0"/>
      </w:pPr>
    </w:p>
    <w:p>
      <w:pPr>
        <w:pStyle w:val="Heading1"/>
      </w:pPr>
      <w:r>
        <w:t>2. Korrekturen und Ergänzungen für die Doku</w:t>
      </w:r>
    </w:p>
    <w:p>
      <w:pPr>
        <w:pStyle w:val="Heading2"/>
      </w:pPr>
      <w:r>
        <w:t>Korrektur: Name der Profilgrößen-Einstellung</w:t>
      </w:r>
    </w:p>
    <w:p>
      <w:r>
        <w:t>Benutzerkonfiguration → Richtlinien → Administrative Vorlagen → System → Benutzerprofile → „Profilgröße beschränken“. Felder: „Maximale Profilgröße (KB)“ und „Benutzer beim Überschreiten der max. Profilspeichergröße benachrichtigen“. Standardwert sind 30000 KB, daher muss der Wert aktiv auf 512000 (bzw. 500000) geändert werden.</w:t>
      </w:r>
    </w:p>
    <w:p>
      <w:pPr>
        <w:pStyle w:val="Heading2"/>
      </w:pPr>
      <w:r>
        <w:t>Ergänzung: Software wird evtl. erst bei der zweiten Anmeldung installiert</w:t>
      </w:r>
    </w:p>
    <w:p>
      <w:r>
        <w:t>Windows 10 meldet Benutzer an, bevor das Netzwerk vollständig bereit ist („Schnelle Anmeldung“). Softwareinstallation per GPO läuft aber nur bei einer Anmeldung mit Netzwerk; deshalb erscheint Chrome/Firefox oft erst nach der zweiten Anmeldung. Abhilfe:</w:t>
      </w:r>
    </w:p>
    <w:p>
      <w:r>
        <w:t>Computerkonfiguration → Richtlinien → Administrative Vorlagen → System → Anmelden → „Beim Neustart des Computers und bei der Anmeldung immer auf das Netzwerk warten“: Aktiviert.</w:t>
      </w:r>
    </w:p>
    <w:p>
      <w:r>
        <w:t>Weil das eine Computereinstellung ist, muss das GPO den Client-Computer erreichen. Der Client liegt nach dem Domänenbeitritt im Container „Computers“; dort lässt sich kein GPO verknüpfen. Also entweder das GPO an die Domäne verknüpfen oder den Client in eine eigene OU verschieben. Ohne diese Einstellung reicht es auch, sich zweimal anzumelden.</w:t>
      </w:r>
    </w:p>
    <w:p>
      <w:pPr>
        <w:pStyle w:val="Heading2"/>
      </w:pPr>
      <w:r>
        <w:t>Ergänzung: Chrome und Firefox werden pro Computer installiert</w:t>
      </w:r>
    </w:p>
    <w:p>
      <w:r>
        <w:t>Die Enterprise-MSI-Pakete installieren immer für den ganzen Computer. Die Zuweisung an die OU IT bzw. Fertigung steuert also, wann installiert wird (bei der Anmeldung eines IT- bzw. Fertigungs-Benutzers). Danach steht der Browser auf diesem PC allen Benutzern zur Verfügung. Für die Aufgabe ist das in Ordnung, kann aber beim Testen mit nur einem Client verwirren.</w:t>
      </w:r>
    </w:p>
    <w:p>
      <w:pPr>
        <w:pStyle w:val="Heading2"/>
      </w:pPr>
      <w:r>
        <w:t>Ergänzung (optional): Home-Ordner gegen fremden Zugriff schützen</w:t>
      </w:r>
    </w:p>
    <w:p>
      <w:r>
        <w:t>C:\Home erbt die Rechte von C:\. Dort hat die Gruppe „Benutzer“ Leserechte, also kann jeder Benutzer die Home-Ordner der anderen lesen. Wer das verhindern will, setzt auf C:\Home vor dem Anlegen der Konten:</w:t>
      </w:r>
    </w:p>
    <w:p>
      <w:pPr>
        <w:shd w:val="clear" w:color="auto" w:fill="F2F2F2"/>
        <w:spacing w:before="80" w:after="120"/>
        <w:ind w:left="170"/>
      </w:pPr>
      <w:r>
        <w:rPr>
          <w:rFonts w:ascii="Consolas" w:hAnsi="Consolas"/>
          <w:sz w:val="18"/>
        </w:rPr>
        <w:t>icacls C:\Home /inheritance:r /grant "*S-1-5-32-544:(OI)(CI)F" "*S-1-5-18:(OI)(CI)F" "*S-1-3-0:(OI)(CI)(IO)F" "*S-1-5-11:(RX)"</w:t>
      </w:r>
    </w:p>
    <w:p>
      <w:r>
        <w:t>Die Kennungen stehen für Administratoren, SYSTEM, ERSTELLER-BESITZER und Authentifizierte Benutzer; so funktioniert der Befehl unabhängig von der Sprache des Servers. Authentifizierte Benutzer dürfen dann nur noch C:\Home selbst öffnen, einen Unterordner nur der Benutzer, dem er per icacls zugewiesen wurde.</w:t>
      </w:r>
    </w:p>
    <w:p>
      <w:pPr>
        <w:pStyle w:val="Heading2"/>
      </w:pPr>
      <w:r>
        <w:t>Hinweis: Herunterfahren-Richtlinie entfernt nur die Bedienelemente</w:t>
      </w:r>
    </w:p>
    <w:p>
      <w:r>
        <w:t>Der Befehl shutdown /s in der Eingabeaufforderung funktioniert weiterhin. Für die Aufgabe reicht die Benutzerrichtlinie. Strenger wäre das Benutzerrecht „Herunterfahren des Systems“ (Computerkonfiguration → Windows-Einstellungen → Sicherheitseinstellungen → Lokale Richtlinien → Zuweisen von Benutzerrechten); das wirkt aber auf den Computer und nicht auf die OU Fertigung.</w:t>
      </w:r>
    </w:p>
    <w:p>
      <w:pPr>
        <w:pStyle w:val="Heading1"/>
      </w:pPr>
      <w:r>
        <w:t>3. Effizientere Methoden im Überblick</w:t>
      </w:r>
    </w:p>
    <w:tbl>
      <w:tblPr>
        <w:tblStyle w:val="TableGrid"/>
        <w:tblW w:type="auto" w:w="0"/>
        <w:jc w:val="left"/>
        <w:tblLayout w:type="fixed"/>
        <w:tblLook w:firstColumn="1" w:firstRow="1" w:lastColumn="0" w:lastRow="0" w:noHBand="0" w:noVBand="1" w:val="04A0"/>
      </w:tblPr>
      <w:tblGrid>
        <w:gridCol w:w="2353"/>
        <w:gridCol w:w="2353"/>
        <w:gridCol w:w="2353"/>
        <w:gridCol w:w="2353"/>
      </w:tblGrid>
      <w:tr>
        <w:tc>
          <w:tcPr>
            <w:tcW w:type="dxa" w:w="1701"/>
            <w:shd w:val="clear" w:color="auto" w:fill="DCE6F0"/>
          </w:tcPr>
          <w:p>
            <w:pPr>
              <w:spacing w:after="0"/>
            </w:pPr>
            <w:r>
              <w:rPr>
                <w:sz w:val="20"/>
              </w:rPr>
            </w:r>
            <w:r>
              <w:rPr>
                <w:b/>
                <w:sz w:val="20"/>
              </w:rPr>
              <w:t>Aufgabe</w:t>
            </w:r>
          </w:p>
        </w:tc>
        <w:tc>
          <w:tcPr>
            <w:tcW w:type="dxa" w:w="1928"/>
            <w:shd w:val="clear" w:color="auto" w:fill="DCE6F0"/>
          </w:tcPr>
          <w:p>
            <w:pPr>
              <w:spacing w:after="0"/>
            </w:pPr>
            <w:r>
              <w:rPr>
                <w:sz w:val="20"/>
              </w:rPr>
            </w:r>
            <w:r>
              <w:rPr>
                <w:b/>
                <w:sz w:val="20"/>
              </w:rPr>
              <w:t>Weg in der Doku</w:t>
            </w:r>
          </w:p>
        </w:tc>
        <w:tc>
          <w:tcPr>
            <w:tcW w:type="dxa" w:w="3175"/>
            <w:shd w:val="clear" w:color="auto" w:fill="DCE6F0"/>
          </w:tcPr>
          <w:p>
            <w:pPr>
              <w:spacing w:after="0"/>
            </w:pPr>
            <w:r>
              <w:rPr>
                <w:sz w:val="20"/>
              </w:rPr>
            </w:r>
            <w:r>
              <w:rPr>
                <w:b/>
                <w:sz w:val="20"/>
              </w:rPr>
              <w:t>Schnellerer Weg</w:t>
            </w:r>
          </w:p>
        </w:tc>
        <w:tc>
          <w:tcPr>
            <w:tcW w:type="dxa" w:w="2608"/>
            <w:shd w:val="clear" w:color="auto" w:fill="DCE6F0"/>
          </w:tcPr>
          <w:p>
            <w:pPr>
              <w:spacing w:after="0"/>
            </w:pPr>
            <w:r>
              <w:rPr>
                <w:sz w:val="20"/>
              </w:rPr>
            </w:r>
            <w:r>
              <w:rPr>
                <w:b/>
                <w:sz w:val="20"/>
              </w:rPr>
              <w:t>Bewertung</w:t>
            </w:r>
          </w:p>
        </w:tc>
      </w:tr>
      <w:tr>
        <w:tc>
          <w:tcPr>
            <w:tcW w:type="dxa" w:w="1701"/>
          </w:tcPr>
          <w:p>
            <w:pPr>
              <w:spacing w:after="0"/>
            </w:pPr>
            <w:r>
              <w:rPr>
                <w:sz w:val="20"/>
              </w:rPr>
              <w:t>OUs</w:t>
            </w:r>
          </w:p>
        </w:tc>
        <w:tc>
          <w:tcPr>
            <w:tcW w:type="dxa" w:w="1928"/>
          </w:tcPr>
          <w:p>
            <w:pPr>
              <w:spacing w:after="0"/>
            </w:pPr>
            <w:r>
              <w:rPr>
                <w:sz w:val="20"/>
              </w:rPr>
              <w:t>6× dsadd ou</w:t>
            </w:r>
          </w:p>
        </w:tc>
        <w:tc>
          <w:tcPr>
            <w:tcW w:type="dxa" w:w="3175"/>
          </w:tcPr>
          <w:p>
            <w:pPr>
              <w:spacing w:after="0"/>
            </w:pPr>
            <w:r>
              <w:rPr>
                <w:sz w:val="20"/>
              </w:rPr>
              <w:t>PowerShell-Skript (Abschnitt 4) legt OUs und Konten zusammen an</w:t>
            </w:r>
          </w:p>
        </w:tc>
        <w:tc>
          <w:tcPr>
            <w:tcW w:type="dxa" w:w="2608"/>
          </w:tcPr>
          <w:p>
            <w:pPr>
              <w:spacing w:after="0"/>
            </w:pPr>
            <w:r>
              <w:rPr>
                <w:sz w:val="20"/>
              </w:rPr>
              <w:t>gleich schnell, dsadd reicht</w:t>
            </w:r>
          </w:p>
        </w:tc>
      </w:tr>
      <w:tr>
        <w:tc>
          <w:tcPr>
            <w:tcW w:type="dxa" w:w="1701"/>
          </w:tcPr>
          <w:p>
            <w:pPr>
              <w:spacing w:after="0"/>
            </w:pPr>
            <w:r>
              <w:rPr>
                <w:sz w:val="20"/>
              </w:rPr>
              <w:t>Kennwortrichtlinie</w:t>
            </w:r>
          </w:p>
        </w:tc>
        <w:tc>
          <w:tcPr>
            <w:tcW w:type="dxa" w:w="1928"/>
          </w:tcPr>
          <w:p>
            <w:pPr>
              <w:spacing w:after="0"/>
            </w:pPr>
            <w:r>
              <w:rPr>
                <w:sz w:val="20"/>
              </w:rPr>
              <w:t>GPO-Editor</w:t>
            </w:r>
          </w:p>
        </w:tc>
        <w:tc>
          <w:tcPr>
            <w:tcW w:type="dxa" w:w="3175"/>
          </w:tcPr>
          <w:p>
            <w:pPr>
              <w:spacing w:after="0"/>
            </w:pPr>
            <w:r>
              <w:rPr>
                <w:sz w:val="20"/>
              </w:rPr>
              <w:t>keiner</w:t>
            </w:r>
          </w:p>
        </w:tc>
        <w:tc>
          <w:tcPr>
            <w:tcW w:type="dxa" w:w="2608"/>
          </w:tcPr>
          <w:p>
            <w:pPr>
              <w:spacing w:after="0"/>
            </w:pPr>
            <w:r>
              <w:rPr>
                <w:sz w:val="20"/>
              </w:rPr>
              <w:t>Oberfläche bleibt (siehe unten)</w:t>
            </w:r>
          </w:p>
        </w:tc>
      </w:tr>
      <w:tr>
        <w:tc>
          <w:tcPr>
            <w:tcW w:type="dxa" w:w="1701"/>
          </w:tcPr>
          <w:p>
            <w:pPr>
              <w:spacing w:after="0"/>
            </w:pPr>
            <w:r>
              <w:rPr>
                <w:sz w:val="20"/>
              </w:rPr>
              <w:t>Ordner, Freigaben</w:t>
            </w:r>
          </w:p>
        </w:tc>
        <w:tc>
          <w:tcPr>
            <w:tcW w:type="dxa" w:w="1928"/>
          </w:tcPr>
          <w:p>
            <w:pPr>
              <w:spacing w:after="0"/>
            </w:pPr>
            <w:r>
              <w:rPr>
                <w:sz w:val="20"/>
              </w:rPr>
              <w:t>md + net share</w:t>
            </w:r>
          </w:p>
        </w:tc>
        <w:tc>
          <w:tcPr>
            <w:tcW w:type="dxa" w:w="3175"/>
          </w:tcPr>
          <w:p>
            <w:pPr>
              <w:spacing w:after="0"/>
            </w:pPr>
            <w:r>
              <w:rPr>
                <w:sz w:val="20"/>
              </w:rPr>
              <w:t>bereits Befehle</w:t>
            </w:r>
          </w:p>
        </w:tc>
        <w:tc>
          <w:tcPr>
            <w:tcW w:type="dxa" w:w="2608"/>
          </w:tcPr>
          <w:p>
            <w:pPr>
              <w:spacing w:after="0"/>
            </w:pPr>
            <w:r>
              <w:rPr>
                <w:sz w:val="20"/>
              </w:rPr>
              <w:t>schon effizient</w:t>
            </w:r>
          </w:p>
        </w:tc>
      </w:tr>
      <w:tr>
        <w:tc>
          <w:tcPr>
            <w:tcW w:type="dxa" w:w="1701"/>
          </w:tcPr>
          <w:p>
            <w:pPr>
              <w:spacing w:after="0"/>
            </w:pPr>
            <w:r>
              <w:rPr>
                <w:sz w:val="20"/>
              </w:rPr>
              <w:t>Konten</w:t>
            </w:r>
          </w:p>
        </w:tc>
        <w:tc>
          <w:tcPr>
            <w:tcW w:type="dxa" w:w="1928"/>
          </w:tcPr>
          <w:p>
            <w:pPr>
              <w:spacing w:after="0"/>
            </w:pPr>
            <w:r>
              <w:rPr>
                <w:sz w:val="20"/>
              </w:rPr>
              <w:t>eine for-Schleife je OU, md + icacls</w:t>
            </w:r>
          </w:p>
        </w:tc>
        <w:tc>
          <w:tcPr>
            <w:tcW w:type="dxa" w:w="3175"/>
          </w:tcPr>
          <w:p>
            <w:pPr>
              <w:spacing w:after="0"/>
            </w:pPr>
            <w:r>
              <w:rPr>
                <w:sz w:val="20"/>
              </w:rPr>
              <w:t>ein PowerShell-Durchlauf für alle 5 OUs aus einer Tabelle</w:t>
            </w:r>
          </w:p>
        </w:tc>
        <w:tc>
          <w:tcPr>
            <w:tcW w:type="dxa" w:w="2608"/>
          </w:tcPr>
          <w:p>
            <w:pPr>
              <w:spacing w:after="0"/>
            </w:pPr>
            <w:r>
              <w:rPr>
                <w:sz w:val="20"/>
              </w:rPr>
              <w:t>deutlich schneller, keine Sonderzeile für Sachbearbeiter10</w:t>
            </w:r>
          </w:p>
        </w:tc>
      </w:tr>
      <w:tr>
        <w:tc>
          <w:tcPr>
            <w:tcW w:type="dxa" w:w="1701"/>
          </w:tcPr>
          <w:p>
            <w:pPr>
              <w:spacing w:after="0"/>
            </w:pPr>
            <w:r>
              <w:rPr>
                <w:sz w:val="20"/>
              </w:rPr>
              <w:t>GPOs anlegen und verknüpfen</w:t>
            </w:r>
          </w:p>
        </w:tc>
        <w:tc>
          <w:tcPr>
            <w:tcW w:type="dxa" w:w="1928"/>
          </w:tcPr>
          <w:p>
            <w:pPr>
              <w:spacing w:after="0"/>
            </w:pPr>
            <w:r>
              <w:rPr>
                <w:sz w:val="20"/>
              </w:rPr>
              <w:t>Rechtsklick je OU</w:t>
            </w:r>
          </w:p>
        </w:tc>
        <w:tc>
          <w:tcPr>
            <w:tcW w:type="dxa" w:w="3175"/>
          </w:tcPr>
          <w:p>
            <w:pPr>
              <w:spacing w:after="0"/>
            </w:pPr>
            <w:r>
              <w:rPr>
                <w:sz w:val="20"/>
              </w:rPr>
              <w:t>New-GPO | New-GPLink</w:t>
            </w:r>
          </w:p>
        </w:tc>
        <w:tc>
          <w:tcPr>
            <w:tcW w:type="dxa" w:w="2608"/>
          </w:tcPr>
          <w:p>
            <w:pPr>
              <w:spacing w:after="0"/>
            </w:pPr>
            <w:r>
              <w:rPr>
                <w:sz w:val="20"/>
              </w:rPr>
              <w:t>schneller bei drei GPOs</w:t>
            </w:r>
          </w:p>
        </w:tc>
      </w:tr>
      <w:tr>
        <w:tc>
          <w:tcPr>
            <w:tcW w:type="dxa" w:w="1701"/>
          </w:tcPr>
          <w:p>
            <w:pPr>
              <w:spacing w:after="0"/>
            </w:pPr>
            <w:r>
              <w:rPr>
                <w:sz w:val="20"/>
              </w:rPr>
              <w:t>GPO-Einstellungen</w:t>
            </w:r>
          </w:p>
        </w:tc>
        <w:tc>
          <w:tcPr>
            <w:tcW w:type="dxa" w:w="1928"/>
          </w:tcPr>
          <w:p>
            <w:pPr>
              <w:spacing w:after="0"/>
            </w:pPr>
            <w:r>
              <w:rPr>
                <w:sz w:val="20"/>
              </w:rPr>
              <w:t>GPO-Editor</w:t>
            </w:r>
          </w:p>
        </w:tc>
        <w:tc>
          <w:tcPr>
            <w:tcW w:type="dxa" w:w="3175"/>
          </w:tcPr>
          <w:p>
            <w:pPr>
              <w:spacing w:after="0"/>
            </w:pPr>
            <w:r>
              <w:rPr>
                <w:sz w:val="20"/>
              </w:rPr>
              <w:t>Set-GPRegistryValue</w:t>
            </w:r>
          </w:p>
        </w:tc>
        <w:tc>
          <w:tcPr>
            <w:tcW w:type="dxa" w:w="2608"/>
          </w:tcPr>
          <w:p>
            <w:pPr>
              <w:spacing w:after="0"/>
            </w:pPr>
            <w:r>
              <w:rPr>
                <w:sz w:val="20"/>
              </w:rPr>
              <w:t>nur für „Herunterfahren“ sinnvoll</w:t>
            </w:r>
          </w:p>
        </w:tc>
      </w:tr>
      <w:tr>
        <w:tc>
          <w:tcPr>
            <w:tcW w:type="dxa" w:w="1701"/>
          </w:tcPr>
          <w:p>
            <w:pPr>
              <w:spacing w:after="0"/>
            </w:pPr>
            <w:r>
              <w:rPr>
                <w:sz w:val="20"/>
              </w:rPr>
              <w:t>Softwareinstallation</w:t>
            </w:r>
          </w:p>
        </w:tc>
        <w:tc>
          <w:tcPr>
            <w:tcW w:type="dxa" w:w="1928"/>
          </w:tcPr>
          <w:p>
            <w:pPr>
              <w:spacing w:after="0"/>
            </w:pPr>
            <w:r>
              <w:rPr>
                <w:sz w:val="20"/>
              </w:rPr>
              <w:t>GPO-Editor</w:t>
            </w:r>
          </w:p>
        </w:tc>
        <w:tc>
          <w:tcPr>
            <w:tcW w:type="dxa" w:w="3175"/>
          </w:tcPr>
          <w:p>
            <w:pPr>
              <w:spacing w:after="0"/>
            </w:pPr>
            <w:r>
              <w:rPr>
                <w:sz w:val="20"/>
              </w:rPr>
              <w:t>keiner</w:t>
            </w:r>
          </w:p>
        </w:tc>
        <w:tc>
          <w:tcPr>
            <w:tcW w:type="dxa" w:w="2608"/>
          </w:tcPr>
          <w:p>
            <w:pPr>
              <w:spacing w:after="0"/>
            </w:pPr>
            <w:r>
              <w:rPr>
                <w:sz w:val="20"/>
              </w:rPr>
              <w:t>kein PowerShell-Befehl vorhanden</w:t>
            </w:r>
          </w:p>
        </w:tc>
      </w:tr>
      <w:tr>
        <w:tc>
          <w:tcPr>
            <w:tcW w:type="dxa" w:w="1701"/>
          </w:tcPr>
          <w:p>
            <w:pPr>
              <w:spacing w:after="0"/>
            </w:pPr>
            <w:r>
              <w:rPr>
                <w:sz w:val="20"/>
              </w:rPr>
              <w:t>DNS-Zonen + Hosts</w:t>
            </w:r>
          </w:p>
        </w:tc>
        <w:tc>
          <w:tcPr>
            <w:tcW w:type="dxa" w:w="1928"/>
          </w:tcPr>
          <w:p>
            <w:pPr>
              <w:spacing w:after="0"/>
            </w:pPr>
            <w:r>
              <w:rPr>
                <w:sz w:val="20"/>
              </w:rPr>
              <w:t>DNS-Manager</w:t>
            </w:r>
          </w:p>
        </w:tc>
        <w:tc>
          <w:tcPr>
            <w:tcW w:type="dxa" w:w="3175"/>
          </w:tcPr>
          <w:p>
            <w:pPr>
              <w:spacing w:after="0"/>
            </w:pPr>
            <w:r>
              <w:rPr>
                <w:sz w:val="20"/>
              </w:rPr>
              <w:t>Add-DnsServerPrimaryZone, Add-DnsServerResourceRecordA</w:t>
            </w:r>
          </w:p>
        </w:tc>
        <w:tc>
          <w:tcPr>
            <w:tcW w:type="dxa" w:w="2608"/>
          </w:tcPr>
          <w:p>
            <w:pPr>
              <w:spacing w:after="0"/>
            </w:pPr>
            <w:r>
              <w:rPr>
                <w:sz w:val="20"/>
              </w:rPr>
              <w:t>deutlich schneller</w:t>
            </w:r>
          </w:p>
        </w:tc>
      </w:tr>
      <w:tr>
        <w:tc>
          <w:tcPr>
            <w:tcW w:type="dxa" w:w="1701"/>
          </w:tcPr>
          <w:p>
            <w:pPr>
              <w:spacing w:after="0"/>
            </w:pPr>
            <w:r>
              <w:rPr>
                <w:sz w:val="20"/>
              </w:rPr>
              <w:t>Reverse-Zone + PTR</w:t>
            </w:r>
          </w:p>
        </w:tc>
        <w:tc>
          <w:tcPr>
            <w:tcW w:type="dxa" w:w="1928"/>
          </w:tcPr>
          <w:p>
            <w:pPr>
              <w:spacing w:after="0"/>
            </w:pPr>
            <w:r>
              <w:rPr>
                <w:sz w:val="20"/>
              </w:rPr>
              <w:t>DNS-Manager</w:t>
            </w:r>
          </w:p>
        </w:tc>
        <w:tc>
          <w:tcPr>
            <w:tcW w:type="dxa" w:w="3175"/>
          </w:tcPr>
          <w:p>
            <w:pPr>
              <w:spacing w:after="0"/>
            </w:pPr>
            <w:r>
              <w:rPr>
                <w:sz w:val="20"/>
              </w:rPr>
              <w:t>Add-DnsServerPrimaryZone -NetworkId, Add-DnsServerResourceRecordPtr</w:t>
            </w:r>
          </w:p>
        </w:tc>
        <w:tc>
          <w:tcPr>
            <w:tcW w:type="dxa" w:w="2608"/>
          </w:tcPr>
          <w:p>
            <w:pPr>
              <w:spacing w:after="0"/>
            </w:pPr>
            <w:r>
              <w:rPr>
                <w:sz w:val="20"/>
              </w:rPr>
              <w:t>schneller</w:t>
            </w:r>
          </w:p>
        </w:tc>
      </w:tr>
      <w:tr>
        <w:tc>
          <w:tcPr>
            <w:tcW w:type="dxa" w:w="1701"/>
          </w:tcPr>
          <w:p>
            <w:pPr>
              <w:spacing w:after="0"/>
            </w:pPr>
            <w:r>
              <w:rPr>
                <w:sz w:val="20"/>
              </w:rPr>
              <w:t>Domänenbeitritt</w:t>
            </w:r>
          </w:p>
        </w:tc>
        <w:tc>
          <w:tcPr>
            <w:tcW w:type="dxa" w:w="1928"/>
          </w:tcPr>
          <w:p>
            <w:pPr>
              <w:spacing w:after="0"/>
            </w:pPr>
            <w:r>
              <w:rPr>
                <w:sz w:val="20"/>
              </w:rPr>
              <w:t>sysdm.cpl</w:t>
            </w:r>
          </w:p>
        </w:tc>
        <w:tc>
          <w:tcPr>
            <w:tcW w:type="dxa" w:w="3175"/>
          </w:tcPr>
          <w:p>
            <w:pPr>
              <w:spacing w:after="0"/>
            </w:pPr>
            <w:r>
              <w:rPr>
                <w:sz w:val="20"/>
              </w:rPr>
              <w:t>Add-Computer</w:t>
            </w:r>
          </w:p>
        </w:tc>
        <w:tc>
          <w:tcPr>
            <w:tcW w:type="dxa" w:w="2608"/>
          </w:tcPr>
          <w:p>
            <w:pPr>
              <w:spacing w:after="0"/>
            </w:pPr>
            <w:r>
              <w:rPr>
                <w:sz w:val="20"/>
              </w:rPr>
              <w:t>etwas schneller</w:t>
            </w:r>
          </w:p>
        </w:tc>
      </w:tr>
    </w:tbl>
    <w:p>
      <w:pPr>
        <w:spacing w:after="0"/>
      </w:pPr>
    </w:p>
    <w:p>
      <w:pPr>
        <w:pStyle w:val="Heading2"/>
      </w:pPr>
      <w:r>
        <w:t>Geprüft und nicht empfohlen</w:t>
      </w:r>
    </w:p>
    <w:p>
      <w:pPr>
        <w:pStyle w:val="ListBullet"/>
        <w:spacing w:after="40"/>
      </w:pPr>
      <w:r>
        <w:rPr>
          <w:b/>
        </w:rPr>
        <w:t xml:space="preserve">dsadd mit $username$: </w:t>
      </w:r>
      <w:r>
        <w:t>Platzhalter $username$ bei dsadd/dsmod (-hmdir, -profile): Laut Microsoft möglich, aber bei versteckten Freigaben wie Home$ gibt es bekannte Probleme mit dem zusätzlichen $. Die Schleifenvariable %%i ist zuverlässiger.</w:t>
      </w:r>
    </w:p>
    <w:p>
      <w:pPr>
        <w:pStyle w:val="ListBullet"/>
        <w:spacing w:after="40"/>
      </w:pPr>
      <w:r>
        <w:rPr>
          <w:b/>
        </w:rPr>
        <w:t xml:space="preserve">Kennwortrichtlinie per PowerShell: </w:t>
      </w:r>
      <w:r>
        <w:t>Set-ADDefaultDomainPasswordPolicy ändert die Kennwortrichtlinie sofort, wird aber bei der nächsten Richtlinienaktualisierung von der Default Domain Policy wieder überschrieben. Deshalb die Richtlinie wie in der Doku im GPO ändern.</w:t>
      </w:r>
    </w:p>
    <w:p>
      <w:pPr>
        <w:pStyle w:val="ListBullet"/>
        <w:spacing w:after="40"/>
      </w:pPr>
      <w:r>
        <w:rPr>
          <w:b/>
        </w:rPr>
        <w:t xml:space="preserve">csvde-Import: </w:t>
      </w:r>
      <w:r>
        <w:t>csvde kann keine Kennwörter setzen; die Konten wären deaktiviert und ohne Kennwort.</w:t>
      </w:r>
    </w:p>
    <w:p>
      <w:pPr>
        <w:pStyle w:val="ListBullet"/>
        <w:spacing w:after="40"/>
      </w:pPr>
      <w:r>
        <w:rPr>
          <w:b/>
        </w:rPr>
        <w:t xml:space="preserve">Excel/CSV als Skript: </w:t>
      </w:r>
      <w:r>
        <w:t>Befehle in Excel zusammenbauen und als .cmd speichern (Rudis Weg) ist fehleranfällig (Leerzeichen, Trennzeichen) und langsamer als eine Schleife.</w:t>
      </w:r>
    </w:p>
    <w:p>
      <w:pPr>
        <w:pStyle w:val="Heading1"/>
      </w:pPr>
      <w:r>
        <w:t>4. PowerShell-Variante (auf dem Server als Administrator)</w:t>
      </w:r>
    </w:p>
    <w:p>
      <w:r>
        <w:t>Voraussetzung: Die Kennwortrichtlinie ist bereits angepasst (gpupdate /force), sonst lehnt New-ADUser die kurzen Kennwörter ab. Die Freigaben aus der Doku (net share) bleiben unverändert. Die Befehle in eine Datei, z. B. C:\Skripte\RWE.ps1, schreiben und in einer PowerShell als Administrator ausführen.</w:t>
      </w:r>
    </w:p>
    <w:p>
      <w:pPr>
        <w:pStyle w:val="Heading2"/>
      </w:pPr>
      <w:r>
        <w:t>OUs und alle Konten</w:t>
      </w:r>
    </w:p>
    <w:p>
      <w:pPr>
        <w:shd w:val="clear" w:color="auto" w:fill="F2F2F2"/>
        <w:spacing w:before="80" w:after="0"/>
        <w:ind w:left="170"/>
      </w:pPr>
      <w:r>
        <w:rPr>
          <w:rFonts w:ascii="Consolas" w:hAnsi="Consolas"/>
          <w:sz w:val="18"/>
        </w:rPr>
        <w:t>$dom = "DC=rwe01,DC=local"</w:t>
      </w:r>
    </w:p>
    <w:p>
      <w:pPr>
        <w:shd w:val="clear" w:color="auto" w:fill="F2F2F2"/>
        <w:spacing w:before="0" w:after="0"/>
        <w:ind w:left="170"/>
      </w:pPr>
      <w:r>
        <w:rPr>
          <w:rFonts w:ascii="Consolas" w:hAnsi="Consolas"/>
          <w:sz w:val="18"/>
        </w:rPr>
        <w:t># OU, Name, Kennwort, von, bis, servergespeichertes Profil, Anmeldeskript</w:t>
      </w:r>
    </w:p>
    <w:p>
      <w:pPr>
        <w:shd w:val="clear" w:color="auto" w:fill="F2F2F2"/>
        <w:spacing w:before="0" w:after="0"/>
        <w:ind w:left="170"/>
      </w:pPr>
      <w:r>
        <w:rPr>
          <w:rFonts w:ascii="Consolas" w:hAnsi="Consolas"/>
          <w:sz w:val="18"/>
        </w:rPr>
        <w:t>$plan = @(</w:t>
      </w:r>
    </w:p>
    <w:p>
      <w:pPr>
        <w:shd w:val="clear" w:color="auto" w:fill="F2F2F2"/>
        <w:spacing w:before="0" w:after="0"/>
        <w:ind w:left="170"/>
      </w:pPr>
      <w:r>
        <w:rPr>
          <w:rFonts w:ascii="Consolas" w:hAnsi="Consolas"/>
          <w:sz w:val="18"/>
        </w:rPr>
        <w:t xml:space="preserve">  @("Ausbildungswerkstatt", "Azubi",          "az",   1,  3, $true,  ""),</w:t>
      </w:r>
    </w:p>
    <w:p>
      <w:pPr>
        <w:shd w:val="clear" w:color="auto" w:fill="F2F2F2"/>
        <w:spacing w:before="0" w:after="0"/>
        <w:ind w:left="170"/>
      </w:pPr>
      <w:r>
        <w:rPr>
          <w:rFonts w:ascii="Consolas" w:hAnsi="Consolas"/>
          <w:sz w:val="18"/>
        </w:rPr>
        <w:t xml:space="preserve">  @("IT",                   "ITA",            "ita",  4,  7, $true,  "Software.cmd"),</w:t>
      </w:r>
    </w:p>
    <w:p>
      <w:pPr>
        <w:shd w:val="clear" w:color="auto" w:fill="F2F2F2"/>
        <w:spacing w:before="0" w:after="0"/>
        <w:ind w:left="170"/>
      </w:pPr>
      <w:r>
        <w:rPr>
          <w:rFonts w:ascii="Consolas" w:hAnsi="Consolas"/>
          <w:sz w:val="18"/>
        </w:rPr>
        <w:t xml:space="preserve">  @("Personal",             "Sachbearbeiter", "sb",   8, 10, $true,  ""),</w:t>
      </w:r>
    </w:p>
    <w:p>
      <w:pPr>
        <w:shd w:val="clear" w:color="auto" w:fill="F2F2F2"/>
        <w:spacing w:before="0" w:after="0"/>
        <w:ind w:left="170"/>
      </w:pPr>
      <w:r>
        <w:rPr>
          <w:rFonts w:ascii="Consolas" w:hAnsi="Consolas"/>
          <w:sz w:val="18"/>
        </w:rPr>
        <w:t xml:space="preserve">  @("Forschung",            "Forscher",       "fo",  11, 14, $true,  ""),</w:t>
      </w:r>
    </w:p>
    <w:p>
      <w:pPr>
        <w:shd w:val="clear" w:color="auto" w:fill="F2F2F2"/>
        <w:spacing w:before="0" w:after="0"/>
        <w:ind w:left="170"/>
      </w:pPr>
      <w:r>
        <w:rPr>
          <w:rFonts w:ascii="Consolas" w:hAnsi="Consolas"/>
          <w:sz w:val="18"/>
        </w:rPr>
        <w:t xml:space="preserve">  @("Fertigung",            "Fertigung",      "fe",  15, 20, $false, "Ersatzteile.bat")</w:t>
      </w:r>
    </w:p>
    <w:p>
      <w:pPr>
        <w:shd w:val="clear" w:color="auto" w:fill="F2F2F2"/>
        <w:spacing w:before="0" w:after="0"/>
        <w:ind w:left="170"/>
      </w:pPr>
      <w:r>
        <w:rPr>
          <w:rFonts w:ascii="Consolas" w:hAnsi="Consolas"/>
          <w:sz w:val="18"/>
        </w:rPr>
        <w:t>)</w:t>
      </w:r>
    </w:p>
    <w:p>
      <w:pPr>
        <w:shd w:val="clear" w:color="auto" w:fill="F2F2F2"/>
        <w:spacing w:before="0" w:after="0"/>
        <w:ind w:left="170"/>
      </w:pPr>
      <w:r>
        <w:rPr>
          <w:rFonts w:ascii="Consolas" w:hAnsi="Consolas"/>
          <w:sz w:val="18"/>
        </w:rPr>
        <w:t>New-ADOrganizationalUnit -Name "RWE" -Path $dom</w:t>
      </w:r>
    </w:p>
    <w:p>
      <w:pPr>
        <w:shd w:val="clear" w:color="auto" w:fill="F2F2F2"/>
        <w:spacing w:before="0" w:after="0"/>
        <w:ind w:left="170"/>
      </w:pPr>
      <w:r>
        <w:rPr>
          <w:rFonts w:ascii="Consolas" w:hAnsi="Consolas"/>
          <w:sz w:val="18"/>
        </w:rPr>
        <w:t>foreach ($p in $plan) {</w:t>
      </w:r>
    </w:p>
    <w:p>
      <w:pPr>
        <w:shd w:val="clear" w:color="auto" w:fill="F2F2F2"/>
        <w:spacing w:before="0" w:after="0"/>
        <w:ind w:left="170"/>
      </w:pPr>
      <w:r>
        <w:rPr>
          <w:rFonts w:ascii="Consolas" w:hAnsi="Consolas"/>
          <w:sz w:val="18"/>
        </w:rPr>
        <w:t xml:space="preserve">  $ou = "OU=$($p[0]),OU=RWE,$dom"</w:t>
      </w:r>
    </w:p>
    <w:p>
      <w:pPr>
        <w:shd w:val="clear" w:color="auto" w:fill="F2F2F2"/>
        <w:spacing w:before="0" w:after="0"/>
        <w:ind w:left="170"/>
      </w:pPr>
      <w:r>
        <w:rPr>
          <w:rFonts w:ascii="Consolas" w:hAnsi="Consolas"/>
          <w:sz w:val="18"/>
        </w:rPr>
        <w:t xml:space="preserve">  New-ADOrganizationalUnit -Name $p[0] -Path "OU=RWE,$dom"</w:t>
      </w:r>
    </w:p>
    <w:p>
      <w:pPr>
        <w:shd w:val="clear" w:color="auto" w:fill="F2F2F2"/>
        <w:spacing w:before="0" w:after="0"/>
        <w:ind w:left="170"/>
      </w:pPr>
      <w:r>
        <w:rPr>
          <w:rFonts w:ascii="Consolas" w:hAnsi="Consolas"/>
          <w:sz w:val="18"/>
        </w:rPr>
        <w:t xml:space="preserve">  foreach ($i in $p[3]..$p[4]) {</w:t>
      </w:r>
    </w:p>
    <w:p>
      <w:pPr>
        <w:shd w:val="clear" w:color="auto" w:fill="F2F2F2"/>
        <w:spacing w:before="0" w:after="0"/>
        <w:ind w:left="170"/>
      </w:pPr>
      <w:r>
        <w:rPr>
          <w:rFonts w:ascii="Consolas" w:hAnsi="Consolas"/>
          <w:sz w:val="18"/>
        </w:rPr>
        <w:t xml:space="preserve">    $nr   = "{0:D2}" -f $i</w:t>
      </w:r>
    </w:p>
    <w:p>
      <w:pPr>
        <w:shd w:val="clear" w:color="auto" w:fill="F2F2F2"/>
        <w:spacing w:before="0" w:after="0"/>
        <w:ind w:left="170"/>
      </w:pPr>
      <w:r>
        <w:rPr>
          <w:rFonts w:ascii="Consolas" w:hAnsi="Consolas"/>
          <w:sz w:val="18"/>
        </w:rPr>
        <w:t xml:space="preserve">    $name = $p[1] + $nr</w:t>
      </w:r>
    </w:p>
    <w:p>
      <w:pPr>
        <w:shd w:val="clear" w:color="auto" w:fill="F2F2F2"/>
        <w:spacing w:before="0" w:after="0"/>
        <w:ind w:left="170"/>
      </w:pPr>
      <w:r>
        <w:rPr>
          <w:rFonts w:ascii="Consolas" w:hAnsi="Consolas"/>
          <w:sz w:val="18"/>
        </w:rPr>
        <w:t xml:space="preserve">    $par  = @{</w:t>
      </w:r>
    </w:p>
    <w:p>
      <w:pPr>
        <w:shd w:val="clear" w:color="auto" w:fill="F2F2F2"/>
        <w:spacing w:before="0" w:after="0"/>
        <w:ind w:left="170"/>
      </w:pPr>
      <w:r>
        <w:rPr>
          <w:rFonts w:ascii="Consolas" w:hAnsi="Consolas"/>
          <w:sz w:val="18"/>
        </w:rPr>
        <w:t xml:space="preserve">      Name = $name; SamAccountName = $name; Path = $ou</w:t>
      </w:r>
    </w:p>
    <w:p>
      <w:pPr>
        <w:shd w:val="clear" w:color="auto" w:fill="F2F2F2"/>
        <w:spacing w:before="0" w:after="0"/>
        <w:ind w:left="170"/>
      </w:pPr>
      <w:r>
        <w:rPr>
          <w:rFonts w:ascii="Consolas" w:hAnsi="Consolas"/>
          <w:sz w:val="18"/>
        </w:rPr>
        <w:t xml:space="preserve">      AccountPassword = ConvertTo-SecureString ($p[2] + $nr) -AsPlainText -Force</w:t>
      </w:r>
    </w:p>
    <w:p>
      <w:pPr>
        <w:shd w:val="clear" w:color="auto" w:fill="F2F2F2"/>
        <w:spacing w:before="0" w:after="0"/>
        <w:ind w:left="170"/>
      </w:pPr>
      <w:r>
        <w:rPr>
          <w:rFonts w:ascii="Consolas" w:hAnsi="Consolas"/>
          <w:sz w:val="18"/>
        </w:rPr>
        <w:t xml:space="preserve">      Enabled = $true; ChangePasswordAtLogon = $true</w:t>
      </w:r>
    </w:p>
    <w:p>
      <w:pPr>
        <w:shd w:val="clear" w:color="auto" w:fill="F2F2F2"/>
        <w:spacing w:before="0" w:after="0"/>
        <w:ind w:left="170"/>
      </w:pPr>
      <w:r>
        <w:rPr>
          <w:rFonts w:ascii="Consolas" w:hAnsi="Consolas"/>
          <w:sz w:val="18"/>
        </w:rPr>
        <w:t xml:space="preserve">      HomeDirectory = '\\KLAUSUR\Home$\' + $name; HomeDrive = 'Z:'</w:t>
      </w:r>
    </w:p>
    <w:p>
      <w:pPr>
        <w:shd w:val="clear" w:color="auto" w:fill="F2F2F2"/>
        <w:spacing w:before="0" w:after="0"/>
        <w:ind w:left="170"/>
      </w:pPr>
      <w:r>
        <w:rPr>
          <w:rFonts w:ascii="Consolas" w:hAnsi="Consolas"/>
          <w:sz w:val="18"/>
        </w:rPr>
        <w:t xml:space="preserve">    }</w:t>
      </w:r>
    </w:p>
    <w:p>
      <w:pPr>
        <w:shd w:val="clear" w:color="auto" w:fill="F2F2F2"/>
        <w:spacing w:before="0" w:after="0"/>
        <w:ind w:left="170"/>
      </w:pPr>
      <w:r>
        <w:rPr>
          <w:rFonts w:ascii="Consolas" w:hAnsi="Consolas"/>
          <w:sz w:val="18"/>
        </w:rPr>
        <w:t xml:space="preserve">    if ($p[5]) { $par.ProfilePath = '\\KLAUSUR\Profile$\' + $name }</w:t>
      </w:r>
    </w:p>
    <w:p>
      <w:pPr>
        <w:shd w:val="clear" w:color="auto" w:fill="F2F2F2"/>
        <w:spacing w:before="0" w:after="0"/>
        <w:ind w:left="170"/>
      </w:pPr>
      <w:r>
        <w:rPr>
          <w:rFonts w:ascii="Consolas" w:hAnsi="Consolas"/>
          <w:sz w:val="18"/>
        </w:rPr>
        <w:t xml:space="preserve">    if ($p[6]) { $par.ScriptPath  = $p[6] }</w:t>
      </w:r>
    </w:p>
    <w:p>
      <w:pPr>
        <w:shd w:val="clear" w:color="auto" w:fill="F2F2F2"/>
        <w:spacing w:before="0" w:after="0"/>
        <w:ind w:left="170"/>
      </w:pPr>
      <w:r>
        <w:rPr>
          <w:rFonts w:ascii="Consolas" w:hAnsi="Consolas"/>
          <w:sz w:val="18"/>
        </w:rPr>
        <w:t xml:space="preserve">    New-ADUser @par</w:t>
      </w:r>
    </w:p>
    <w:p>
      <w:pPr>
        <w:shd w:val="clear" w:color="auto" w:fill="F2F2F2"/>
        <w:spacing w:before="0" w:after="0"/>
        <w:ind w:left="170"/>
      </w:pPr>
      <w:r>
        <w:rPr>
          <w:rFonts w:ascii="Consolas" w:hAnsi="Consolas"/>
          <w:sz w:val="18"/>
        </w:rPr>
        <w:t xml:space="preserve">    New-Item -ItemType Directory -Path "C:\Home\$name" | Out-Null</w:t>
      </w:r>
    </w:p>
    <w:p>
      <w:pPr>
        <w:shd w:val="clear" w:color="auto" w:fill="F2F2F2"/>
        <w:spacing w:before="0" w:after="0"/>
        <w:ind w:left="170"/>
      </w:pPr>
      <w:r>
        <w:rPr>
          <w:rFonts w:ascii="Consolas" w:hAnsi="Consolas"/>
          <w:sz w:val="18"/>
        </w:rPr>
        <w:t xml:space="preserve">    icacls "C:\Home\$name" /grant "RWE01\${name}:(OI)(CI)F" | Out-Null</w:t>
      </w:r>
    </w:p>
    <w:p>
      <w:pPr>
        <w:shd w:val="clear" w:color="auto" w:fill="F2F2F2"/>
        <w:spacing w:before="0" w:after="0"/>
        <w:ind w:left="170"/>
      </w:pPr>
      <w:r>
        <w:rPr>
          <w:rFonts w:ascii="Consolas" w:hAnsi="Consolas"/>
          <w:sz w:val="18"/>
        </w:rPr>
        <w:t xml:space="preserve">  }</w:t>
      </w:r>
    </w:p>
    <w:p>
      <w:pPr>
        <w:shd w:val="clear" w:color="auto" w:fill="F2F2F2"/>
        <w:spacing w:before="0" w:after="120"/>
        <w:ind w:left="170"/>
      </w:pPr>
      <w:r>
        <w:rPr>
          <w:rFonts w:ascii="Consolas" w:hAnsi="Consolas"/>
          <w:sz w:val="18"/>
        </w:rPr>
        <w:t>}</w:t>
      </w:r>
    </w:p>
    <w:p>
      <w:pPr>
        <w:pStyle w:val="ListBullet"/>
        <w:spacing w:after="40"/>
      </w:pPr>
      <w:r>
        <w:t>"{0:D2}" -f $i macht aus 1 die 01, lässt 10 aber als 10. Die Sonderzeile für Sachbearbeiter10 entfällt.</w:t>
      </w:r>
    </w:p>
    <w:p>
      <w:pPr>
        <w:pStyle w:val="ListBullet"/>
        <w:spacing w:after="40"/>
      </w:pPr>
      <w:r>
        <w:t>Pfade mit $ (Home$, Profile$) stehen in einfachen Anführungszeichen, damit PowerShell das $ nicht als Variable liest.</w:t>
      </w:r>
    </w:p>
    <w:p>
      <w:pPr>
        <w:pStyle w:val="ListBullet"/>
        <w:spacing w:after="40"/>
      </w:pPr>
      <w:r>
        <w:t>Wie bei dsadd legt New-ADUser die Home-Ordner nicht selbst an; dafür sorgen New-Item und icacls.</w:t>
      </w:r>
    </w:p>
    <w:p>
      <w:pPr>
        <w:pStyle w:val="Heading2"/>
      </w:pPr>
      <w:r>
        <w:t>GPOs anlegen und verknüpfen</w:t>
      </w:r>
    </w:p>
    <w:p>
      <w:pPr>
        <w:shd w:val="clear" w:color="auto" w:fill="F2F2F2"/>
        <w:spacing w:before="80" w:after="0"/>
        <w:ind w:left="170"/>
      </w:pPr>
      <w:r>
        <w:rPr>
          <w:rFonts w:ascii="Consolas" w:hAnsi="Consolas"/>
          <w:sz w:val="18"/>
        </w:rPr>
        <w:t>New-GPO -Name "Profilgroesse" | New-GPLink -Target "OU=RWE,DC=rwe01,DC=local"</w:t>
      </w:r>
    </w:p>
    <w:p>
      <w:pPr>
        <w:shd w:val="clear" w:color="auto" w:fill="F2F2F2"/>
        <w:spacing w:before="0" w:after="0"/>
        <w:ind w:left="170"/>
      </w:pPr>
      <w:r>
        <w:rPr>
          <w:rFonts w:ascii="Consolas" w:hAnsi="Consolas"/>
          <w:sz w:val="18"/>
        </w:rPr>
        <w:t>New-GPO -Name "IT"            | New-GPLink -Target "OU=IT,OU=RWE,DC=rwe01,DC=local"</w:t>
      </w:r>
    </w:p>
    <w:p>
      <w:pPr>
        <w:shd w:val="clear" w:color="auto" w:fill="F2F2F2"/>
        <w:spacing w:before="0" w:after="0"/>
        <w:ind w:left="170"/>
      </w:pPr>
      <w:r>
        <w:rPr>
          <w:rFonts w:ascii="Consolas" w:hAnsi="Consolas"/>
          <w:sz w:val="18"/>
        </w:rPr>
        <w:t>New-GPO -Name "Fertigung"     | New-GPLink -Target "OU=Fertigung,OU=RWE,DC=rwe01,DC=local"</w:t>
      </w:r>
    </w:p>
    <w:p>
      <w:pPr>
        <w:shd w:val="clear" w:color="auto" w:fill="F2F2F2"/>
        <w:spacing w:before="0" w:after="0"/>
        <w:ind w:left="170"/>
      </w:pPr>
      <w:r>
        <w:rPr>
          <w:rFonts w:ascii="Consolas" w:hAnsi="Consolas"/>
          <w:sz w:val="18"/>
        </w:rPr>
        <w:t># Herunterfahren verbieten (gleiche Registry-Einstellung wie die Richtlinie)</w:t>
      </w:r>
    </w:p>
    <w:p>
      <w:pPr>
        <w:shd w:val="clear" w:color="auto" w:fill="F2F2F2"/>
        <w:spacing w:before="0" w:after="120"/>
        <w:ind w:left="170"/>
      </w:pPr>
      <w:r>
        <w:rPr>
          <w:rFonts w:ascii="Consolas" w:hAnsi="Consolas"/>
          <w:sz w:val="18"/>
        </w:rPr>
        <w:t>Set-GPRegistryValue -Name "Fertigung" -Key "HKCU\Software\Microsoft\Windows\CurrentVersion\Policies\Explorer" -ValueName NoClose -Type DWord -Value 1</w:t>
      </w:r>
    </w:p>
    <w:p>
      <w:r>
        <w:t>Die Profilgröße besser im GPO-Editor einstellen: Die Richtlinie besteht aus mehreren Registry-Werten (EnableProfileQuota, MaxProfileSize, WarnUser …), und über die Oberfläche ist sichergestellt, dass sie vollständig und als Richtlinie lesbar gesetzt wird. Chrome und Firefox müssen ohnehin über den GPO-Editor zugewiesen werden.</w:t>
      </w:r>
    </w:p>
    <w:p>
      <w:pPr>
        <w:pStyle w:val="Heading2"/>
      </w:pPr>
      <w:r>
        <w:t>DNS</w:t>
      </w:r>
    </w:p>
    <w:p>
      <w:pPr>
        <w:shd w:val="clear" w:color="auto" w:fill="F2F2F2"/>
        <w:spacing w:before="80" w:after="0"/>
        <w:ind w:left="170"/>
      </w:pPr>
      <w:r>
        <w:rPr>
          <w:rFonts w:ascii="Consolas" w:hAnsi="Consolas"/>
          <w:sz w:val="18"/>
        </w:rPr>
        <w:t>Add-DnsServerPrimaryZone -Name "rwe.de" -ReplicationScope Domain</w:t>
      </w:r>
    </w:p>
    <w:p>
      <w:pPr>
        <w:shd w:val="clear" w:color="auto" w:fill="F2F2F2"/>
        <w:spacing w:before="0" w:after="0"/>
        <w:ind w:left="170"/>
      </w:pPr>
      <w:r>
        <w:rPr>
          <w:rFonts w:ascii="Consolas" w:hAnsi="Consolas"/>
          <w:sz w:val="18"/>
        </w:rPr>
        <w:t>Add-DnsServerPrimaryZone -Name "ewr.de" -ReplicationScope Domain</w:t>
      </w:r>
    </w:p>
    <w:p>
      <w:pPr>
        <w:shd w:val="clear" w:color="auto" w:fill="F2F2F2"/>
        <w:spacing w:before="0" w:after="0"/>
        <w:ind w:left="170"/>
      </w:pPr>
      <w:r>
        <w:rPr>
          <w:rFonts w:ascii="Consolas" w:hAnsi="Consolas"/>
          <w:sz w:val="18"/>
        </w:rPr>
        <w:t>Add-DnsServerResourceRecordA -ZoneName "rwe.de" -Name "www" -IPv4Address 192.168.1.10</w:t>
      </w:r>
    </w:p>
    <w:p>
      <w:pPr>
        <w:shd w:val="clear" w:color="auto" w:fill="F2F2F2"/>
        <w:spacing w:before="0" w:after="0"/>
        <w:ind w:left="170"/>
      </w:pPr>
      <w:r>
        <w:rPr>
          <w:rFonts w:ascii="Consolas" w:hAnsi="Consolas"/>
          <w:sz w:val="18"/>
        </w:rPr>
        <w:t>Add-DnsServerResourceRecordA -ZoneName "rwe.de" -Name "ww"  -IPv4Address 192.168.1.10</w:t>
      </w:r>
    </w:p>
    <w:p>
      <w:pPr>
        <w:shd w:val="clear" w:color="auto" w:fill="F2F2F2"/>
        <w:spacing w:before="0" w:after="0"/>
        <w:ind w:left="170"/>
      </w:pPr>
      <w:r>
        <w:rPr>
          <w:rFonts w:ascii="Consolas" w:hAnsi="Consolas"/>
          <w:sz w:val="18"/>
        </w:rPr>
        <w:t>Add-DnsServerResourceRecordA -ZoneName "ewr.de" -Name "www" -IPv4Address 192.168.1.10</w:t>
      </w:r>
    </w:p>
    <w:p>
      <w:pPr>
        <w:shd w:val="clear" w:color="auto" w:fill="F2F2F2"/>
        <w:spacing w:before="0" w:after="0"/>
        <w:ind w:left="170"/>
      </w:pPr>
      <w:r>
        <w:rPr>
          <w:rFonts w:ascii="Consolas" w:hAnsi="Consolas"/>
          <w:sz w:val="18"/>
        </w:rPr>
        <w:t>Add-DnsServerPrimaryZone -NetworkId "192.168.1.0/24" -ReplicationScope Domain</w:t>
      </w:r>
    </w:p>
    <w:p>
      <w:pPr>
        <w:shd w:val="clear" w:color="auto" w:fill="F2F2F2"/>
        <w:spacing w:before="0" w:after="120"/>
        <w:ind w:left="170"/>
      </w:pPr>
      <w:r>
        <w:rPr>
          <w:rFonts w:ascii="Consolas" w:hAnsi="Consolas"/>
          <w:sz w:val="18"/>
        </w:rPr>
        <w:t>Add-DnsServerResourceRecordPtr -ZoneName "1.168.192.in-addr.arpa" -Name "10" -PtrDomainName "klausur.rwe01.local"</w:t>
      </w:r>
    </w:p>
    <w:p>
      <w:r>
        <w:t>IP-Adresse und Netz an die eigene VM anpassen. Ohne PowerShell geht dasselbe in der Eingabeaufforderung mit dnscmd (/zoneadd, /recordadd).</w:t>
      </w:r>
    </w:p>
    <w:p>
      <w:pPr>
        <w:pStyle w:val="Heading2"/>
      </w:pPr>
      <w:r>
        <w:t>Domänenbeitritt (auf dem Client)</w:t>
      </w:r>
    </w:p>
    <w:p>
      <w:pPr>
        <w:shd w:val="clear" w:color="auto" w:fill="F2F2F2"/>
        <w:spacing w:before="80" w:after="120"/>
        <w:ind w:left="170"/>
      </w:pPr>
      <w:r>
        <w:rPr>
          <w:rFonts w:ascii="Consolas" w:hAnsi="Consolas"/>
          <w:sz w:val="18"/>
        </w:rPr>
        <w:t>Add-Computer -DomainName "rwe01.local" -Credential RWE01\Administrator -Restart</w:t>
      </w:r>
    </w:p>
    <w:p>
      <w:pPr>
        <w:pStyle w:val="Heading1"/>
      </w:pPr>
      <w:r>
        <w:t>5. Empfehlung für die Prüfung</w:t>
      </w:r>
    </w:p>
    <w:p>
      <w:pPr>
        <w:pStyle w:val="ListBullet"/>
        <w:spacing w:after="40"/>
      </w:pPr>
      <w:r>
        <w:t>Die Doku kann so bleiben; nur den Namen „Profilgröße beschränken“ korrigieren und den Hinweis zur zweiten Anmeldung bei der Softwareinstallation aufnehmen.</w:t>
      </w:r>
    </w:p>
    <w:p>
      <w:pPr>
        <w:pStyle w:val="ListBullet"/>
        <w:spacing w:after="40"/>
      </w:pPr>
      <w:r>
        <w:t>Wer PowerShell sicher beherrscht, spart mit dem Konten-Skript und den DNS-Befehlen am meisten Zeit. Wer unsicher ist, bleibt bei dsadd: Ein Tippfehler in PowerShell kostet mehr Zeit, als das Skript spart.</w:t>
      </w:r>
    </w:p>
    <w:p>
      <w:pPr>
        <w:pStyle w:val="ListBullet"/>
        <w:spacing w:after="40"/>
      </w:pPr>
      <w:r>
        <w:t>Für alle Befehle gilt: Domänenteil (DC=…) und Servername vorher prüfen (dsquery domainroot, hostname).</w:t>
      </w:r>
    </w:p>
    <w:p>
      <w:pPr>
        <w:pStyle w:val="Heading1"/>
      </w:pPr>
      <w:r>
        <w:t>Quellen</w:t>
      </w:r>
    </w:p>
    <w:p>
      <w:pPr>
        <w:pStyle w:val="ListBullet"/>
        <w:spacing w:after="40"/>
      </w:pPr>
      <w:r>
        <w:t>Microsoft Learn – Dsadd user: learn.microsoft.com/previous-versions/windows/it-pro/windows-server-2012-r2-and-2012/cc731279(v=ws.11)</w:t>
      </w:r>
    </w:p>
    <w:p>
      <w:pPr>
        <w:pStyle w:val="ListBullet"/>
        <w:spacing w:after="40"/>
      </w:pPr>
      <w:r>
        <w:t>Microsoft Learn – Dsmod user ($username$-Platzhalter): learn.microsoft.com/previous-versions/windows/it-pro/windows-server-2012-r2-and-2012/cc732954(v=ws.11)</w:t>
      </w:r>
    </w:p>
    <w:p>
      <w:pPr>
        <w:pStyle w:val="ListBullet"/>
        <w:spacing w:after="40"/>
      </w:pPr>
      <w:r>
        <w:t>SS64 – DSADD User: ss64.com/nt/dsadd-user.html</w:t>
      </w:r>
    </w:p>
    <w:p>
      <w:pPr>
        <w:pStyle w:val="ListBullet"/>
        <w:spacing w:after="40"/>
      </w:pPr>
      <w:r>
        <w:t>TechRepublic – dsmod update to users home directory (Problem mit $-Freigaben): techrepublic.com/forums/discussions/dsmod-update-to-users-home-directory/</w:t>
      </w:r>
    </w:p>
    <w:p>
      <w:pPr>
        <w:pStyle w:val="ListBullet"/>
        <w:spacing w:after="40"/>
      </w:pPr>
      <w:r>
        <w:t>Microsoft Learn – New-ADUser: learn.microsoft.com/powershell/module/activedirectory/new-aduser</w:t>
      </w:r>
    </w:p>
    <w:p>
      <w:pPr>
        <w:pStyle w:val="ListBullet"/>
        <w:spacing w:after="40"/>
      </w:pPr>
      <w:r>
        <w:t>Microsoft Learn – Add-DnsServerPrimaryZone: learn.microsoft.com/powershell/module/dnsserver/add-dnsserverprimaryzone</w:t>
      </w:r>
    </w:p>
    <w:p>
      <w:pPr>
        <w:pStyle w:val="ListBullet"/>
        <w:spacing w:after="40"/>
      </w:pPr>
      <w:r>
        <w:t>Microsoft Learn – Add-DnsServerResourceRecordA: learn.microsoft.com/powershell/module/dnsserver/add-dnsserverresourcerecorda</w:t>
      </w:r>
    </w:p>
    <w:p>
      <w:pPr>
        <w:pStyle w:val="ListBullet"/>
        <w:spacing w:after="40"/>
      </w:pPr>
      <w:r>
        <w:t>Microsoft Learn – Set-GPRegistryValue: learn.microsoft.com/powershell/module/grouppolicy/set-gpregistryvalue</w:t>
      </w:r>
    </w:p>
    <w:p>
      <w:pPr>
        <w:pStyle w:val="ListBullet"/>
        <w:spacing w:after="40"/>
      </w:pPr>
      <w:r>
        <w:t>Windows FAQ – Windows Profilgrößen beschränken: windows-faq.de/2019/03/11/windows-profilgroessen-beschraenken/</w:t>
      </w:r>
    </w:p>
    <w:p>
      <w:pPr>
        <w:pStyle w:val="ListBullet"/>
        <w:spacing w:after="40"/>
      </w:pPr>
      <w:r>
        <w:t>Windowspage – Maximale Profilgrösse festlegen: windowspage.de/tipps/022418.html</w:t>
      </w:r>
    </w:p>
    <w:p>
      <w:pPr>
        <w:pStyle w:val="ListBullet"/>
        <w:spacing w:after="40"/>
      </w:pPr>
      <w:r>
        <w:t>windows-security.org – Limit profile size: windows-security.org/df80de9e7a5dbbc627757f50b711386b/limit-profile-size</w:t>
      </w:r>
    </w:p>
    <w:p>
      <w:pPr>
        <w:pStyle w:val="ListBullet"/>
        <w:spacing w:after="40"/>
      </w:pPr>
      <w:r>
        <w:t>Microsoft Learn (de) – Richtlinieneinstellungen Start (Herunterfahren entfernen): learn.microsoft.com/de-de/windows/configuration/start/policy-settings</w:t>
      </w:r>
    </w:p>
    <w:p>
      <w:pPr>
        <w:pStyle w:val="ListBullet"/>
        <w:spacing w:after="40"/>
      </w:pPr>
      <w:r>
        <w:t>appuals.com – Prevent Access to Shut Down, Restart, Sleep, and Hibernate (NoClose): appuals.com/remove-and-prevent-access-to-the-shut-down-restart-sleep-and-hibernate/</w:t>
      </w:r>
    </w:p>
    <w:p>
      <w:pPr>
        <w:pStyle w:val="ListBullet"/>
        <w:spacing w:after="40"/>
      </w:pPr>
      <w:r>
        <w:t>Microsoft Learn – Software Installation changes do not apply after logon: learn.microsoft.com/previous-versions/windows/it-pro/windows-server-2003/cc782893(v=ws.10)</w:t>
      </w:r>
    </w:p>
    <w:p>
      <w:pPr>
        <w:pStyle w:val="ListBullet"/>
        <w:spacing w:after="40"/>
      </w:pPr>
      <w:r>
        <w:t>Google – Chrome Enterprise &amp; Education FAQ (MSI installiert systemweit): support.google.com/chrome/a/answer/188447</w:t>
      </w:r>
    </w:p>
    <w:p>
      <w:pPr>
        <w:pStyle w:val="ListBullet"/>
        <w:spacing w:after="40"/>
      </w:pPr>
      <w:r>
        <w:t>std.rocks – Deploy Firefox with Group Policy: std.rocks/windows_grouppolicy_deploy_firefox.html</w:t>
      </w:r>
    </w:p>
    <w:p>
      <w:pPr>
        <w:pStyle w:val="ListBullet"/>
        <w:spacing w:after="40"/>
      </w:pPr>
      <w:r>
        <w:t>Microsoft Tech Community – Automatic creation of user folders for home, roaming profile and redirected folders: techcommunity.microsoft.com/t5/ask-the-directory-services-team/automatic-creation-of-user-folders-for-home-roaming-profile-and/ba-p/395527</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