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DOCUMENTO TÉCNICO Y DESCRIPTIVO DE LA LANDING PAGE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GRENCO · GRUPO ENRIQUEZ CONSTRUCCIONES S.A.C.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8F8F8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Empresa: Grupo Enriquez Construcciones S.A.C. (GRENCO)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Proyecto: Plataforma Web Institucional y Comercial (Landing Page)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Versión: 2.0 (Producción)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Ámbito Geográfico: Regiones Piura y La Libertad (Trujillo) - Perú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Formato: Documento técnico formal (tipografía en color negro, sin enlaces azules)</w:t>
            </w:r>
          </w:p>
        </w:tc>
      </w:tr>
    </w:tbl>
    <w:p>
      <w:pPr>
        <w:spacing w:after="240"/>
      </w:pPr>
    </w:p>
    <w:p>
      <w:pPr>
        <w:pStyle w:val="Heading1"/>
        <w:pBdr>
          <w:bottom w:color="000000" w:sz="12" w:space="4"/>
        </w:pBdr>
        <w:spacing w:after="14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1. INTRODUCCIÓN Y OBJETIVO DEL PROYECTO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El presente documento detalla la totalidad de secciones, funcionalidades interactivas, arquitectura de diseño y recursos multimedia (fotografías reales de obra y producciones de video) que integran la landing page oficial de GRENCO (Grupo Enriquez Construcciones S.A.C.).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 web ha sido diseñada para posicionar a GRENCO frente a clientes corporativos públicos y privados en el norte del país, destacando su solvencia en movimiento de tierras masivo, habilitación urbana, obras viales, edificaciones, saneamiento y soldadura industrial.</w:t>
      </w:r>
    </w:p>
    <w:p>
      <w:pPr>
        <w:pStyle w:val="Heading1"/>
        <w:pBdr>
          <w:bottom w:color="000000" w:sz="12" w:space="4"/>
        </w:pBdr>
        <w:spacing w:after="14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2. ARQUITECTURA DE DISEÑO Y TECNOLOGÍAS APLICADAS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Estética Neumórfica de Precisión: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Interfaz construida con sombras y luces volumétricas suaves que simulan superficies de concreto satinado y acabados industriales sobrios.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Modo Claro y Modo Oscuro: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Conmutador instantáneo que permite navegar en entorno diurno o nocturno, guardando la preferencia del usuario en localStorage.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Arquitectura Multi-Sede: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La plataforma adapta automáticamente el video de portada, las obras emblemáticas y los contactos según la sede activa (Piura o Trujillo).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Optimización Fotográfica y Streaming: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Todas las fotografías fueron convertidas a formato WebP ligero de alta definición. Los videos fueron comprimidos bajo perfil H.264 High Profile con bandera faststart para reproducción inmediata sin búfer.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Derechos de Autor Dinámicos: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En el pie de página, el año fiscal se actualiza de manera automática mediante código JavaScript (new Date().getFullYear()), garantizando que en 2027 y años sucesivos se actualice automáticamente sin modificaciones manuales.</w:t>
      </w:r>
    </w:p>
    <w:p>
      <w:pPr>
        <w:pStyle w:val="Heading1"/>
        <w:pBdr>
          <w:bottom w:color="000000" w:sz="12" w:space="4"/>
        </w:pBdr>
        <w:spacing w:after="14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3. DEPURACIÓN DE DISEÑO Y ELIMINACIÓN DE "AI SLOP"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Para asegurar que la plataforma proyecte la solidez y seriedad técnica de una constructora de ingeniería civil, se realizó una auditoría visual completa para erradicar vicios de diseño ("AI Slop"), componentes no solicitados y código residual generado por herramientas de IA: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Eliminación de Simulación Climática Procedural: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Se eliminó el componente huérfano Nubes.jsx y más de 140 líneas de estilos CSS asociadas al cómputo de nubes fractales SVG y un sol artificial procedural, reduciendo el consumo de memoria y CPU del navegador del cliente.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Refinamiento del Neumorfismo a Estándar de Ingeniería: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Se calibraron los tokens cromáticos de sombra (--nu1, --nu2, --nu3, --nuin). Se reemplazaron sombras oscuras con tintes marrones por elevaciones neutras, nítidas y arquitectónicas, eliminando el efecto de "plastilina hinchada" para proyectar la solidez estructural del concreto y el acero.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Ajuste de Geometría y Radios de Borde: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Se moderaron los radios de curvatura excesivos (de 24-34px a 14-18px en tarjetas y marcos de fotografía de obra), aportando una geometría más sobria, aplomada y técnica.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Supresión de Micro-Animaciones Invasivas: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Se retiró la animación de onda expansiva continua en el botón flotante de WhatsApp (.wa__pulse), manteniendo una interacción limpia y enfocada sin distracciones permanentes.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Preservación de Componentes Clave Validados: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Se preservaron deliberadamente la barra fija superior de 3px que indica visualmente el avance de desplazamiento (scroll) y el módulo "GRENCO Tracking" (mockups de aplicación móvil y portal de control de obra con cuadrillas de campo).</w:t>
      </w:r>
    </w:p>
    <w:p>
      <w:pPr>
        <w:pStyle w:val="Heading1"/>
        <w:pBdr>
          <w:bottom w:color="000000" w:sz="12" w:space="4"/>
        </w:pBdr>
        <w:spacing w:after="14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4. DESGLOSE DETALLADO SECCIÓN POR SECCIÓN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1: Barra de Navegación Superior (Navbar)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Cabecera fija inteligente con detector de desplazamiento (ScrollSpy) y barra fija dorada de 3px que refleja el progreso de lectura. Incluye el logotipo oficial en versión clara y oscura, enlaces directos a las áreas principales (Inicio, Nosotros, Servicios, Proyectos, Bitácora, Galería, Contacto), selector de sede (Piura / Trujillo), conmutador de modo claro/oscuro y botón de cotización directa.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1895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Logotipo Institucional GRENCO para Modo Claro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1895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Logotipo Institucional GRENCO para Modo Oscuro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2: Portada Principal (Hero Wall)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Impacto visual inicial con video cinematográfico en pantalla completa, relieve central del isotipo de la marca y llamada a la acción para explorar proyectos.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Video Hero Piura (/video/piura-hero.mp4 - 12.0 Segundos):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Registro aéreo cinematográfico en 4K optimizado para web a 720p 30fps (3.36 MB). Muestra un vuelo continuo de dron sobre el puente vehicular del Río Piura, el tránsito en marcha, el agua del río y el panorama urbano. Se reproduce en bucle infinito continuo (loop) sin pestañas de corte. Dispone de póster WebP companion (/video/piura-hero.webp).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Video Hero Trujillo (/video/trujillo.mp4 - 14.0 Segundos):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Registro aéreo continuo sobre frente de trabajo de maquinaria y cuadrillas en La Libertad, acompañado de su póster WebP companion (/video/trujillo.webp).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3: Indicadores de Confianza (Highlights)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Bloques de respaldo técnico y formalidad empresarial: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Cuadrillas en Planilla: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Personal técnico y operarios contratados bajo régimen formal con seguro SCTR.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Flota Propia Certificada: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Equipos propios CAT, Volvo y Komatsu con operadores certificados.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Cumplimiento de Plazos: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Cronogramas de avance valorizado con compromisos de penalidad por atraso.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Estándar SSOMA: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Protocolos estrictos de seguridad y salud en el trabajo con meta de cero incidentes.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4: Manifiesto Institucional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Declaración de principios de ingeniería que aloja el titular H1 principal para posicionamiento en motores de búsqueda: "Movemos tierra. Levantamos el norte". Presenta el compromiso operativo de la empresa acompañado de fotografía real de campo.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635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Cuadrilla de Campo y Maquinaria en Movimiento de Tierras (obra-0082)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5: Sobre la Empresa (About)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Exposición de la capacidad técnica, talleres de mantenimiento propios, bases operativas en Piura y Trujillo y especialidades constructivas en el norte del país.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635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Inspección Técnica de Suelos y Topografía en Obra (obra-1718)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6: Portal de Seguimiento en Tiempo Real (Tracking)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Adelanto del sistema digital de supervisión de obra. Cuenta con una insignia táctil neumórfica "Próximamente" con relieve grabado y punto de estado, acompañada de una ficha técnica de la aplicación (curva S valorizada, reporte de horas de maquinaria pesada y cuadrillas en frente) que completa armónicamente el encabezado. Se presentan maquetas interactivas del aplicativo móvil y panel web, junto con una tira continua de fotos de campo georreferenciadas.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Verificación de Eje y Nivel de Vía en Terreno (obra-1012)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Cuadrilla de Ingeniería Verificando Puntos Geodésicos (obra-1844)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7: Servicios Especializados (Videos Demostrativos)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Seis tarjetas con especificaciones técnicas detalladas y videos individuales en bucle continuo: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1. Movimiento de Tierras (Video: /video/servicios/servicio-movimiento.mp4):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Excavadoras sobre orugas realizando corte masivo de terreno, perfilado de taludes y carguío a camiones volquete.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2. Habilitación Urbana y Rasantes (Video: /video/servicios/servicio-habilitacion.mp4):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Motoniveladora y rodillo compactador conformando subrasante y terraplén para vías de acceso urbano y rural.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 Obras Civiles y Edificaciones (Video: /video/servicios/servicio-obras-civiles.mp4):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Encofrado, vaciado de concreto estructural y cimentaciones para naves industriales y colegios.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 Soldadura y Estructuras Metálicas (Video: /video/servicios/servicio-soldadura.mp4):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Operadores especializados en soldadura por arco y habilitación de vigas reticuladas y tuberías de conducción.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 Saneamiento y Redes Hidráulicas (Video: /video/servicios/servicio-saneamiento.mp4):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Zanjeo con retroexcavadora e instalación de tuberías para redes de agua potable, desagüe y drenaje pluvial.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 Demoliciones Técnicas y Eliminación (Video: /video/servicios/servicio-demolicion.mp4):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Demolición controlada de estructuras de concreto y retiro de material excedente con volquetes de alto tonelaje.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8: Misión, Visión y Valores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Pilares institucionales de GRENCO: compromiso de ingeniería rigurosa, cumplimiento estricto de cronogramas y transparencia en costos operativos.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9: Cultura y Equipo Humano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Presentación de los perfiles profesionales que lideran las obras de la constructora: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Ingeniería Residente de Obra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Especialista en Topografía y Georreferenciación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Operador Homologado de Maquinaria Pesada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Supervisión de Seguridad y Salud Ocupacional (SSOMA)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10: Proyectos Emblemáticos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Fichas de obras de envergadura ejecutadas en el norte peruano: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Planta Agroindustrial - Movimiento de Tierras y Nivelación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635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Defensas Ribereñas y Muros de Contención Los Ejidos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Construcción de Vía Canal y Redes de Drenaje Pluvial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11: Bitácora de Obra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Registro cronológico de avances de campo con fechas formales, descripciones técnicas y soporte fotográfico.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Avance de Plataforma y Rasante (obra-1096)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Nivelación y Control Altimétrico de Terreno (obra-4827)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12: Galería Fotográfica Profesional con Sistema de Zoom 2D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Módulo de exhibición clasificado por categorías técnicas (Todas, Topografía, Maquinaria, Obras viales, Edificaciones, Grenco Soldadura). Cuenta con vista inicial compacta de 6 fotografías y botón con relieve neumorfista 3D "Ver más fotos".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Funcionalidades del Visor con Zoom Interactivo: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Zoom por Clic / Doble Clic: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Clic directo sobre cualquier foto amplía instantáneamente a 240% centrado hacia la zona pulsada. Un segundo clic restaura la vista al 100%.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Zoom Continuo con Rueda del Mouse: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Desplazamiento de la rueda del ratón amplía progresivamente desde 100% hasta 400% sin alterar el scroll de la página.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Arrastre y Paneo 2D (Pan &amp; Drag):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Con la imagen aumentada, el cursor adopta modo de agarre (grab/grabbing) para arrastrar y explorar detalles constructivos en tiempo real a 60 fps con topes elásticos de contorno.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Barra de Controles Neumórfica: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Botón alejar (-), badge de porcentaje activo (100%, 150%, 200%), botón acercar (+) y botón restablecer (↺).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Bloqueo Absoluto de Fondo: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Al abrir el visor, el fondo se desenfoca 20px y se bloquea totalmente el scroll y la interacción del fondo.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Compatibilidad Táctil Móvil: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Pellizco con dos dedos (pinch-to-zoom) y arrastre con un dedo en teléfonos y tabletas.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Topografía con Receptor Satelital GNSS Diferencial en Las Lomas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Estación Total Leica Calibrada sobre Hito Geodésico en Canal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Detalle Digital Macro Leica PinPoint y Plomada Láser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Motoniveladora Komatsu en Conformación de Rasante Urbana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Corte y Soldadura de Perfiles de Acero Estructural en Obra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635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Montaje y Fijación de Elementos Metálicos Estructurales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Habilitación y Soldadura en Zanja para Tubería Hidráulica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635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Columnas y Cimentación de Concreto Armado en Edificación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13: Contacto y Cotizaciones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Canal de conversión con formulario técnico de cotización, números directos de WhatsApp institucional para Piura y Trujillo y ubicación física de bases operativas.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14: Pie de Página (Footer) y Elementos Flotantes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Enlaces a redes sociales institucionales (LinkedIn, Facebook, Instagram, TikTok, YouTube), botón flotante permanente de WhatsApp (FAB), botón de retorno rápido a cabecera (Volver arriba) y leyenda de derechos de autor con cálculo dinámico del año.</w:t>
      </w:r>
    </w:p>
    <w:p>
      <w:pPr>
        <w:pStyle w:val="Heading1"/>
        <w:pBdr>
          <w:bottom w:color="000000" w:sz="12" w:space="4"/>
        </w:pBdr>
        <w:spacing w:after="14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5. TABLA RESUMEN DE RECURSOS MULTIMEDIA DE LA LANDING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Inventario técnico de los archivos multimedia incorporados en la plataforma: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EAEAEA"/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Tipo</w:t>
            </w:r>
          </w:p>
        </w:tc>
        <w:tc>
          <w:tcPr>
            <w:shd w:fill="EAEAEA"/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Archivo</w:t>
            </w:r>
          </w:p>
        </w:tc>
        <w:tc>
          <w:tcPr>
            <w:shd w:fill="EAEAEA"/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Formato</w:t>
            </w:r>
          </w:p>
        </w:tc>
        <w:tc>
          <w:tcPr>
            <w:shd w:fill="EAEAEA"/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Sección</w:t>
            </w:r>
          </w:p>
        </w:tc>
        <w:tc>
          <w:tcPr>
            <w:shd w:fill="EAEAEA"/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Descripción Técnica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piura-hero.mp4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Hero Piura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Toma aérea 12s sobre puente vehicular Río Piura en bucle continuo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Póster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piura-hero.webp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Hero Piura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Imagen de precarga del Hero de Piura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trujillo.mp4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Hero Trujillo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Toma aérea 14s sobre frente de obra en La Libertad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Póster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trujillo.webp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Hero Trujillo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Imagen de precarga del Hero de Trujillo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servicio-movimiento.mp4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Servicios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Excavadoras en corte masivo y carguío a volquetes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servicio-habilitacion.mp4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Servicios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Motoniveladora y rodillo perfilando subrasante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servicio-obras-civiles.mp4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Servicios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Encofrado y vaciado de concreto en zapatas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servicio-soldadura.mp4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Servicios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Soldadores en estructuras metálicas y tuberías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servicio-saneamiento.mp4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Servicios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Zanjeo e instalación de redes matrices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servicio-demolicion.mp4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Servicios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Demolición controlada y retiro de material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topo-lomas-4.webp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Topografía GNSS diferencial en Las Lomas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topo-1.webp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Estación total Leica sobre hito geodésico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topo-lomas-extra.webp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Detalle digital pantalla Leica PinPoint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gal-4.webp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Motoniveladora Komatsu en rasante vial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sold-3128.webp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Soldadura estructural pesada en taller de obra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sold-0191.webp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Montaje de vigas y columnas de acero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sold-entubado-1.webp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Soldadura en tubería hidráulica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maq-excavadora.webp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 (Maquinaria)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Excavadora hidráulica sobre orugas CAT 20T en frente de obra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maq-cargador.webp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 (Maquinaria)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Cargador frontal CAT para carguío y acopio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maq-retro-obra.webp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 (Maquinaria)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Retroexcavadora CAT 420F en zanjeo estructural</w:t>
            </w:r>
          </w:p>
        </w:tc>
      </w:tr>
    </w:tbl>
    <w:p>
      <w:pPr>
        <w:spacing w:before="300"/>
      </w:pPr>
    </w:p>
    <w:p>
      <w:pPr>
        <w:jc w:val="center"/>
      </w:pPr>
      <w:r>
        <w:rPr>
          <w:i/>
          <w:iCs/>
          <w:color w:val="000000"/>
          <w:sz w:val="20"/>
          <w:szCs w:val="20"/>
        </w:rPr>
        <w:t xml:space="preserve">Documento técnico formal emitido para la gerencia y equipo de ingeniería de GRENCO (Grupo Enriquez Construcciones S.A.C.).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cc28d080609e5404d592fb2426352cd7430f33b.undefined"/><Relationship Id="rId8" Type="http://schemas.openxmlformats.org/officeDocument/2006/relationships/image" Target="media/e4400f704fed25646fc0830d45e89530f5a1f2f0.undefined"/><Relationship Id="rId9" Type="http://schemas.openxmlformats.org/officeDocument/2006/relationships/image" Target="media/8528c5de5fae485402a0ea2ddc27ab8fbd88dce8.undefined"/><Relationship Id="rId10" Type="http://schemas.openxmlformats.org/officeDocument/2006/relationships/image" Target="media/0d25a2aa77df3a65e2b35e5dd9afae1d30ddfaeb.undefined"/><Relationship Id="rId11" Type="http://schemas.openxmlformats.org/officeDocument/2006/relationships/image" Target="media/b13598d28c02f6643f3e9933c9dd9b8981a789ad.undefined"/><Relationship Id="rId12" Type="http://schemas.openxmlformats.org/officeDocument/2006/relationships/image" Target="media/56548a9622d0bceabab88599912bbb97831c3775.undefined"/><Relationship Id="rId13" Type="http://schemas.openxmlformats.org/officeDocument/2006/relationships/image" Target="media/5d2d5741b70294e6e98a2cf01fd6a07503f2bd38.undefined"/><Relationship Id="rId14" Type="http://schemas.openxmlformats.org/officeDocument/2006/relationships/image" Target="media/9b5effbda06f07263b96832b6556c9a0b6d866d6.undefined"/><Relationship Id="rId15" Type="http://schemas.openxmlformats.org/officeDocument/2006/relationships/image" Target="media/2cbde65c8e66bee4a43f553f535bacab49be6842.undefined"/><Relationship Id="rId16" Type="http://schemas.openxmlformats.org/officeDocument/2006/relationships/image" Target="media/1ba7aae540ac25373eb56a637b2cee42da8cba05.undefined"/><Relationship Id="rId17" Type="http://schemas.openxmlformats.org/officeDocument/2006/relationships/image" Target="media/9bc18f59ab0836df8eb0e8948357c5123cc05c37.undefined"/><Relationship Id="rId18" Type="http://schemas.openxmlformats.org/officeDocument/2006/relationships/image" Target="media/4dfc03408ab8953d19fa157ea277878b6ee7deb2.undefined"/><Relationship Id="rId19" Type="http://schemas.openxmlformats.org/officeDocument/2006/relationships/image" Target="media/76046df82db680b9f6c08a77c1bf2520c52a6573.undefined"/><Relationship Id="rId20" Type="http://schemas.openxmlformats.org/officeDocument/2006/relationships/image" Target="media/f056a546a6ed25f2b08ea32efbedc31e41845981.undefined"/><Relationship Id="rId21" Type="http://schemas.openxmlformats.org/officeDocument/2006/relationships/image" Target="media/d25b924a6d2207d3740e723e23a9ad55e50b7b89.undefined"/><Relationship Id="rId22" Type="http://schemas.openxmlformats.org/officeDocument/2006/relationships/image" Target="media/3227b518ca51fff022cf06c53cddfca1043ceaa6.undefined"/><Relationship Id="rId23" Type="http://schemas.openxmlformats.org/officeDocument/2006/relationships/image" Target="media/c8af7490ac7968ef55bec34051d8de4197190159.undefined"/><Relationship Id="rId24" Type="http://schemas.openxmlformats.org/officeDocument/2006/relationships/image" Target="media/9e857721056f447db45fb6a138a5ba3964a09732.undefined"/><Relationship Id="rId25" Type="http://schemas.openxmlformats.org/officeDocument/2006/relationships/image" Target="media/91425af35001e8b4b06a1b47a44cf2f080c1af29.undefined"/><Relationship Id="rId26" Type="http://schemas.openxmlformats.org/officeDocument/2006/relationships/image" Target="media/006f188fd3950b08f6805c0e953905896465c09a.undefined"/><Relationship Id="rId27" Type="http://schemas.openxmlformats.org/officeDocument/2006/relationships/image" Target="media/e51d2734dc1b5e6502e6c2fa0eb8b29951e6d691.undefined"/><Relationship Id="rId28" Type="http://schemas.openxmlformats.org/officeDocument/2006/relationships/image" Target="media/42f512fdb08e092edbc3ce57cded6d6c3d353c40.undefined"/><Relationship Id="rId29" Type="http://schemas.openxmlformats.org/officeDocument/2006/relationships/image" Target="media/c9c4c860f2913c7a8116744b108c34a0fbcb488c.undefined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2026-09-13T02:19:48.768Z</dcterms:created>
  <dcterms:modified xsi:type="dcterms:W3CDTF">2026-09-13T02:19:48.769Z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