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left"/>
      </w:pPr>
      <w:r>
        <w:rPr>
          <w:rFonts w:ascii="Times New Roman" w:hAnsi="Times New Roman" w:eastAsia="Times New Roman"/>
          <w:i w:val="0"/>
          <w:sz w:val="24"/>
        </w:rPr>
        <w:t>УДК 519.87:004.8</w:t>
      </w:r>
    </w:p>
    <w:p>
      <w:pPr>
        <w:spacing w:before="120" w:after="200"/>
        <w:ind w:firstLine="0"/>
        <w:jc w:val="center"/>
      </w:pPr>
      <w:r>
        <w:rPr>
          <w:rFonts w:ascii="Times New Roman" w:hAnsi="Times New Roman" w:eastAsia="Times New Roman"/>
          <w:b/>
          <w:i w:val="0"/>
          <w:sz w:val="28"/>
        </w:rPr>
        <w:t>ОБ ИСПОЛЬЗОВАНИИ НЕЙРОННОЙ СЕТИ ДЛЯ УПРАВЛЕНИЯ РАСПРЕДЕЛЕНИЕМ ГРУППЫ БПЛА В ГОРИЗОНТАЛЬНОЙ ПЛОСКОСТИ</w:t>
      </w:r>
    </w:p>
    <w:p>
      <w:pPr>
        <w:ind w:firstLine="0"/>
        <w:jc w:val="center"/>
      </w:pPr>
      <w:r>
        <w:rPr>
          <w:rFonts w:ascii="Times New Roman" w:hAnsi="Times New Roman" w:eastAsia="Times New Roman"/>
          <w:b/>
          <w:i w:val="0"/>
          <w:sz w:val="24"/>
        </w:rPr>
        <w:t>Головкин Пётр Романович</w:t>
      </w:r>
    </w:p>
    <w:p>
      <w:pPr>
        <w:ind w:firstLine="0"/>
        <w:jc w:val="center"/>
      </w:pPr>
      <w:r>
        <w:rPr>
          <w:rFonts w:ascii="Times New Roman" w:hAnsi="Times New Roman" w:eastAsia="Times New Roman"/>
          <w:i w:val="0"/>
          <w:sz w:val="24"/>
        </w:rPr>
        <w:t>ФГБОУ ВО «Ульяновский институт гражданской авиации имени Главного маршала авиации Б. П. Бугаева»</w:t>
      </w:r>
    </w:p>
    <w:p>
      <w:pPr>
        <w:pStyle w:val="Heading1"/>
        <w:jc w:val="left"/>
      </w:pPr>
      <w:r>
        <w:rPr>
          <w:rFonts w:ascii="Times New Roman" w:hAnsi="Times New Roman" w:eastAsia="Times New Roman"/>
          <w:i w:val="0"/>
          <w:sz w:val="28"/>
        </w:rPr>
        <w:t>Аннотация</w:t>
      </w:r>
    </w:p>
    <w:p>
      <w:pPr>
        <w:jc w:val="both"/>
      </w:pPr>
      <w:r>
        <w:rPr>
          <w:rFonts w:ascii="Times New Roman" w:hAnsi="Times New Roman" w:eastAsia="Times New Roman"/>
          <w:i w:val="0"/>
          <w:sz w:val="28"/>
        </w:rPr>
        <w:t>В работе рассматривается задача верхнеуровневого управления группой мультироторных беспилотных летательных аппаратов по заданному распределению в горизонтальной плоскости. В отличие от подхода, при котором оператор или планировщик задаёт независимую траекторию каждому аппарату, предлагается сначала описывать группу пространственной плотностью ρ(x,y,t), а затем преобразовывать рассчитанное поле движения в индивидуальные команды отдельным БПЛА. Математическая модель основана на уравнении неразрывности и консервативном управляющем потоке. Нейронная сеть типа U-Net используется для аппроксимации поля, получаемого математическим контроллером. Дополнительно разработан дискретный слой, назначающий реальным аппаратам целевые позиции, обеспечивающий обход препятствий, ограничение скорости и ускорения и локальное межбортовое разведение. Практическая постановка намеренно ограничена двумерным случаем: сначала все аппараты набирают заданную рабочую высоту, затем перемещаются в горизонтальной плоскости при постоянной высоте и после завершения распределения получают команду на посадку. Разработано приложение Swarm Density Control GCS, включающее симулятор 1–100 БПЛА и отдельный модуль подключения PX4/ArduPilot-совместимых аппаратов через MAVLink. В базовом вычислительном эксперименте для 10 БПЛА оператор задавал распределение «1 аппарат в область A и 9 аппаратов в область B». Гибридный контроллер обеспечил фактическое распределение 1/9, среднюю ошибку относительно назначенных позиций 1,93 м и минимальную межбортовую дистанцию 2,50 м при среднем времени расчёта шага около 7,2 мс. Результаты показывают возможность использовать плотностное управление как промежуточный уровень между задачей оператора и низкоуровневыми автопилотами отдельных БПЛА.</w:t>
      </w:r>
    </w:p>
    <w:p>
      <w:pPr>
        <w:jc w:val="both"/>
      </w:pPr>
      <w:r>
        <w:rPr>
          <w:rFonts w:ascii="Times New Roman" w:hAnsi="Times New Roman" w:eastAsia="Times New Roman"/>
          <w:b/>
          <w:i w:val="0"/>
          <w:sz w:val="28"/>
        </w:rPr>
        <w:t>Ключевые слова:</w:t>
      </w:r>
      <w:r>
        <w:rPr>
          <w:rFonts w:ascii="Times New Roman" w:hAnsi="Times New Roman" w:eastAsia="Times New Roman"/>
          <w:i w:val="0"/>
          <w:sz w:val="28"/>
        </w:rPr>
        <w:t xml:space="preserve"> БПЛА, рой БПЛА, групповое управление, пространственная плотность, уравнение неразрывности, нейронная сеть, U-Net, MAVLink, PX4, ArduPilot, управление в горизонтальной плоскости.</w:t>
      </w:r>
    </w:p>
    <w:p>
      <w:pPr>
        <w:pStyle w:val="Heading1"/>
        <w:jc w:val="left"/>
      </w:pPr>
      <w:r>
        <w:rPr>
          <w:rFonts w:ascii="Times New Roman" w:hAnsi="Times New Roman" w:eastAsia="Times New Roman"/>
          <w:i w:val="0"/>
          <w:sz w:val="28"/>
        </w:rPr>
        <w:t>Введение</w:t>
      </w:r>
    </w:p>
    <w:p>
      <w:pPr>
        <w:jc w:val="both"/>
      </w:pPr>
      <w:r>
        <w:rPr>
          <w:rFonts w:ascii="Times New Roman" w:hAnsi="Times New Roman" w:eastAsia="Times New Roman"/>
          <w:i w:val="0"/>
          <w:sz w:val="28"/>
        </w:rPr>
        <w:t>При увеличении количества беспилотных летательных аппаратов усложняется не только расчёт траекторий, но и сам способ постановки задачи оператором. Для одного аппарата естественно указать конкретную точку назначения или последовательность путевых точек. Для группы из десятков аппаратов ручное назначение независимой траектории каждому БПЛА становится неудобным, а для более крупных групп практически теряет смысл. Поэтому в swarm robotics рассматриваются макроскопические модели, в которых группа описывается не полным набором индивидуальных состояний, а распределением или плотностью агентов [1, 2].</w:t>
      </w:r>
    </w:p>
    <w:p>
      <w:pPr>
        <w:jc w:val="both"/>
      </w:pPr>
      <w:r>
        <w:rPr>
          <w:rFonts w:ascii="Times New Roman" w:hAnsi="Times New Roman" w:eastAsia="Times New Roman"/>
          <w:i w:val="0"/>
          <w:sz w:val="28"/>
        </w:rPr>
        <w:t>В работах по mean-field и density control показано, что управление распределением может формулироваться через дифференциальные уравнения и поля скорости [2, 9]. Для воздушных групп дополнительной задачей является переход от такой абстрактной модели к реальным командам автопилотам. Реальный БПЛА не принимает команду «перейти к плотности ρd»; ему необходимы конкретные управляющие задания — координата, скорость, ускорение или ориентация. Поэтому практическая система должна содержать промежуточный слой, который переводит макроскопическое поле в индивидуальные команды.</w:t>
      </w:r>
    </w:p>
    <w:p>
      <w:pPr>
        <w:jc w:val="both"/>
      </w:pPr>
      <w:r>
        <w:rPr>
          <w:rFonts w:ascii="Times New Roman" w:hAnsi="Times New Roman" w:eastAsia="Times New Roman"/>
          <w:i w:val="0"/>
          <w:sz w:val="28"/>
        </w:rPr>
        <w:t>В данной работе исследуется именно такая двухуровневая схема. На верхнем уровне состояние группы представляется плотностью ρ(x,y,t), а оператор задаёт целевое распределение. На нижнем уровне текущее положение каждого аппарата сопоставляется с рассчитанным полем и конкретной целевой позицией, после чего формируются индивидуальные команды горизонтальной скорости. Такой подход позволяет сохранить идею управления распределением и одновременно связать математическую модель с реальными автопилотами.</w:t>
      </w:r>
    </w:p>
    <w:p>
      <w:pPr>
        <w:jc w:val="both"/>
      </w:pPr>
      <w:r>
        <w:rPr>
          <w:rFonts w:ascii="Times New Roman" w:hAnsi="Times New Roman" w:eastAsia="Times New Roman"/>
          <w:i w:val="0"/>
          <w:sz w:val="28"/>
        </w:rPr>
        <w:t xml:space="preserve">В отличие от полноценной пространственной задачи, в работе рассматривается </w:t>
      </w:r>
      <w:r>
        <w:rPr>
          <w:rFonts w:ascii="Times New Roman" w:hAnsi="Times New Roman" w:eastAsia="Times New Roman"/>
          <w:b/>
          <w:i w:val="0"/>
          <w:sz w:val="28"/>
        </w:rPr>
        <w:t>движение в горизонтальной плоскости</w:t>
      </w:r>
      <w:r>
        <w:rPr>
          <w:rFonts w:ascii="Times New Roman" w:hAnsi="Times New Roman" w:eastAsia="Times New Roman"/>
          <w:i w:val="0"/>
          <w:sz w:val="28"/>
        </w:rPr>
        <w:t>. Это принципиальное ограничение модели. Предполагается, что все мультироторные БПЛА сначала поднимаются на общую рабочую высоту H, затем выполняют групповое перераспределение по координатам X и Y при z≈H=const и после завершения миссии переходят к посадке. Таким образом, совместный набор высоты, эшелонирование и трёхмерный обход препятствий не входят в рассматриваемую постановку.</w:t>
      </w:r>
    </w:p>
    <w:p>
      <w:pPr>
        <w:pStyle w:val="Heading2"/>
      </w:pPr>
      <w:r>
        <w:rPr>
          <w:rFonts w:ascii="Times New Roman" w:hAnsi="Times New Roman" w:eastAsia="Times New Roman"/>
          <w:i w:val="0"/>
          <w:sz w:val="28"/>
        </w:rPr>
        <w:t>Цель и задачи исследования</w:t>
      </w:r>
    </w:p>
    <w:p>
      <w:pPr>
        <w:jc w:val="both"/>
      </w:pPr>
      <w:r>
        <w:rPr>
          <w:rFonts w:ascii="Times New Roman" w:hAnsi="Times New Roman" w:eastAsia="Times New Roman"/>
          <w:b/>
          <w:i w:val="0"/>
          <w:sz w:val="28"/>
        </w:rPr>
        <w:t>Цель работы</w:t>
      </w:r>
      <w:r>
        <w:rPr>
          <w:rFonts w:ascii="Times New Roman" w:hAnsi="Times New Roman" w:eastAsia="Times New Roman"/>
          <w:i w:val="0"/>
          <w:sz w:val="28"/>
        </w:rPr>
        <w:t xml:space="preserve"> — разработать математическую и программную модель, которая по заданному оператором распределению группы БПЛА в горизонтальной плоскости формирует индивидуальные команды движения отдельным аппаратам и допускает последующее подключение реальных мультироторных БПЛА через MAVLink.</w:t>
      </w:r>
    </w:p>
    <w:p>
      <w:pPr>
        <w:jc w:val="both"/>
      </w:pPr>
      <w:r>
        <w:rPr>
          <w:rFonts w:ascii="Times New Roman" w:hAnsi="Times New Roman" w:eastAsia="Times New Roman"/>
          <w:i w:val="0"/>
          <w:sz w:val="28"/>
        </w:rPr>
        <w:t>Для достижения цели решались следующие задачи:</w:t>
      </w:r>
    </w:p>
    <w:p>
      <w:pPr>
        <w:pStyle w:val="ListNumber"/>
        <w:ind w:left="709" w:firstLine="0"/>
      </w:pPr>
      <w:r>
        <w:rPr>
          <w:rFonts w:ascii="Times New Roman" w:hAnsi="Times New Roman" w:eastAsia="Times New Roman"/>
          <w:i w:val="0"/>
          <w:sz w:val="28"/>
        </w:rPr>
        <w:t>описать группу БПЛА двумерным полем плотности;</w:t>
      </w:r>
    </w:p>
    <w:p>
      <w:pPr>
        <w:pStyle w:val="ListNumber"/>
        <w:ind w:left="709" w:firstLine="0"/>
      </w:pPr>
      <w:r>
        <w:rPr>
          <w:rFonts w:ascii="Times New Roman" w:hAnsi="Times New Roman" w:eastAsia="Times New Roman"/>
          <w:i w:val="0"/>
          <w:sz w:val="28"/>
        </w:rPr>
        <w:t>сформировать математический эталон управляющего потока на основе закона сохранения количества агентов;</w:t>
      </w:r>
    </w:p>
    <w:p>
      <w:pPr>
        <w:pStyle w:val="ListNumber"/>
        <w:ind w:left="709" w:firstLine="0"/>
      </w:pPr>
      <w:r>
        <w:rPr>
          <w:rFonts w:ascii="Times New Roman" w:hAnsi="Times New Roman" w:eastAsia="Times New Roman"/>
          <w:i w:val="0"/>
          <w:sz w:val="28"/>
        </w:rPr>
        <w:t>использовать нейронную сеть для аппроксимации математического управляющего поля;</w:t>
      </w:r>
    </w:p>
    <w:p>
      <w:pPr>
        <w:pStyle w:val="ListNumber"/>
        <w:ind w:left="709" w:firstLine="0"/>
      </w:pPr>
      <w:r>
        <w:rPr>
          <w:rFonts w:ascii="Times New Roman" w:hAnsi="Times New Roman" w:eastAsia="Times New Roman"/>
          <w:i w:val="0"/>
          <w:sz w:val="28"/>
        </w:rPr>
        <w:t>разработать способ задания оператором произвольного распределения, например «1 БПЛА в одной точке и 9 БПЛА в другой»;</w:t>
      </w:r>
    </w:p>
    <w:p>
      <w:pPr>
        <w:pStyle w:val="ListNumber"/>
        <w:ind w:left="709" w:firstLine="0"/>
      </w:pPr>
      <w:r>
        <w:rPr>
          <w:rFonts w:ascii="Times New Roman" w:hAnsi="Times New Roman" w:eastAsia="Times New Roman"/>
          <w:i w:val="0"/>
          <w:sz w:val="28"/>
        </w:rPr>
        <w:t>преобразовать поле управления в индивидуальные команды каждому аппарату;</w:t>
      </w:r>
    </w:p>
    <w:p>
      <w:pPr>
        <w:pStyle w:val="ListNumber"/>
        <w:ind w:left="709" w:firstLine="0"/>
      </w:pPr>
      <w:r>
        <w:rPr>
          <w:rFonts w:ascii="Times New Roman" w:hAnsi="Times New Roman" w:eastAsia="Times New Roman"/>
          <w:i w:val="0"/>
          <w:sz w:val="28"/>
        </w:rPr>
        <w:t>добавить локальное разведение БПЛА, ограничения скорости и ускорения и обход препятствий на плоскости;</w:t>
      </w:r>
    </w:p>
    <w:p>
      <w:pPr>
        <w:pStyle w:val="ListNumber"/>
        <w:ind w:left="709" w:firstLine="0"/>
      </w:pPr>
      <w:r>
        <w:rPr>
          <w:rFonts w:ascii="Times New Roman" w:hAnsi="Times New Roman" w:eastAsia="Times New Roman"/>
          <w:i w:val="0"/>
          <w:sz w:val="28"/>
        </w:rPr>
        <w:t>реализовать трёхэтапную схему TAKEOFF → PLANAR CONTROL → LAND;</w:t>
      </w:r>
    </w:p>
    <w:p>
      <w:pPr>
        <w:pStyle w:val="ListNumber"/>
        <w:ind w:left="709" w:firstLine="0"/>
      </w:pPr>
      <w:r>
        <w:rPr>
          <w:rFonts w:ascii="Times New Roman" w:hAnsi="Times New Roman" w:eastAsia="Times New Roman"/>
          <w:i w:val="0"/>
          <w:sz w:val="28"/>
        </w:rPr>
        <w:t>создать симулятор для 1–100 аппаратов и модуль подключения реальных БПЛА/SITL через MAVLink;</w:t>
      </w:r>
    </w:p>
    <w:p>
      <w:pPr>
        <w:pStyle w:val="ListNumber"/>
        <w:ind w:left="709" w:firstLine="0"/>
      </w:pPr>
      <w:r>
        <w:rPr>
          <w:rFonts w:ascii="Times New Roman" w:hAnsi="Times New Roman" w:eastAsia="Times New Roman"/>
          <w:i w:val="0"/>
          <w:sz w:val="28"/>
        </w:rPr>
        <w:t>провести вычислительные эксперименты и оценить точность, устойчивость и вычислительное время.</w:t>
      </w:r>
    </w:p>
    <w:p>
      <w:pPr>
        <w:pStyle w:val="Heading1"/>
        <w:jc w:val="left"/>
      </w:pPr>
      <w:r>
        <w:rPr>
          <w:rFonts w:ascii="Times New Roman" w:hAnsi="Times New Roman" w:eastAsia="Times New Roman"/>
          <w:i w:val="0"/>
          <w:sz w:val="28"/>
        </w:rPr>
        <w:t>Методика исследования</w:t>
      </w:r>
    </w:p>
    <w:p>
      <w:pPr>
        <w:jc w:val="both"/>
      </w:pPr>
      <w:r>
        <w:rPr>
          <w:rFonts w:ascii="Times New Roman" w:hAnsi="Times New Roman" w:eastAsia="Times New Roman"/>
          <w:i w:val="0"/>
          <w:sz w:val="28"/>
        </w:rPr>
        <w:t>На первом этапе была сформирована математическая модель пространственного распределения группы БПЛА в горизонтальной плоскости. Вместо индивидуального описания каждого аппарата состояние системы представлялось полем плотности ρ(x,y,t), показывающим относительную концентрацию аппаратов в различных областях рабочей зоны. Для моделирования задавались начальное расположение группы, целевые области, карта препятствий и общая рабочая высота.</w:t>
      </w:r>
    </w:p>
    <w:p>
      <w:pPr>
        <w:jc w:val="both"/>
      </w:pPr>
      <w:r>
        <w:rPr>
          <w:rFonts w:ascii="Times New Roman" w:hAnsi="Times New Roman" w:eastAsia="Times New Roman"/>
          <w:i w:val="0"/>
          <w:sz w:val="28"/>
        </w:rPr>
        <w:t>Изменение плотности описывалось уравнением неразрывности. Управляющим воздействием являлось двумерное поле потока. Математический эталон строился по разности текущего и целевого распределений через решение уравнения Пуассона. На синтетических данных математического контроллера была обучена свёрточная нейронная сеть типа U-Net, получающая текущую плотность, целевую плотность и карту препятствий и выдающая два компонента управляющего потока.</w:t>
      </w:r>
    </w:p>
    <w:p>
      <w:pPr>
        <w:jc w:val="both"/>
      </w:pPr>
      <w:r>
        <w:rPr>
          <w:rFonts w:ascii="Times New Roman" w:hAnsi="Times New Roman" w:eastAsia="Times New Roman"/>
          <w:i w:val="0"/>
          <w:sz w:val="28"/>
        </w:rPr>
        <w:t>На следующем этапе макроскопическая модель была дополнена дискретным слоем для конечной группы 1–100 БПЛА. Оператор задаёт несколько целевых областей и количество аппаратов в каждой из них. Внутри областей автоматически формируются индивидуальные целевые позиции; затем аппараты назначаются на эти позиции с минимизацией суммарного начального расстояния. Для каждого аппарата поле плотностного управления объединяется с движением к назначенной позиции, локальным разведением соседей и обходом препятствий.</w:t>
      </w:r>
    </w:p>
    <w:p>
      <w:pPr>
        <w:jc w:val="both"/>
      </w:pPr>
      <w:r>
        <w:rPr>
          <w:rFonts w:ascii="Times New Roman" w:hAnsi="Times New Roman" w:eastAsia="Times New Roman"/>
          <w:i w:val="0"/>
          <w:sz w:val="28"/>
        </w:rPr>
        <w:t>В симуляции отдельно моделируются набор рабочей высоты, горизонтальный этап и посадка. Для связи с реальными аппаратами реализован MAVLink-модуль, получающий телеметрию и передающий индивидуальные команды горизонтальной скорости. Экспериментальная оценка выполнялась по средней ошибке до назначенных позиций, MAE распределения, минимальной межбортовой дистанции, времени расчёта одного шага и устойчивости к случайным ошибкам положения.</w:t>
      </w:r>
    </w:p>
    <w:p>
      <w:pPr>
        <w:pStyle w:val="Heading1"/>
        <w:jc w:val="left"/>
      </w:pPr>
      <w:r>
        <w:rPr>
          <w:rFonts w:ascii="Times New Roman" w:hAnsi="Times New Roman" w:eastAsia="Times New Roman"/>
          <w:i w:val="0"/>
          <w:sz w:val="28"/>
        </w:rPr>
        <w:t>1. Математическое описание группы БПЛА</w:t>
      </w:r>
    </w:p>
    <w:p>
      <w:pPr>
        <w:jc w:val="both"/>
      </w:pPr>
      <w:r>
        <w:rPr>
          <w:rFonts w:ascii="Times New Roman" w:hAnsi="Times New Roman" w:eastAsia="Times New Roman"/>
          <w:i w:val="0"/>
          <w:sz w:val="28"/>
        </w:rPr>
        <w:t>Пусть Ω⊂R² — ограниченная горизонтальная рабочая область. Состояние группы задаётся функцией</w:t>
      </w:r>
    </w:p>
    <w:p>
      <w:pPr>
        <w:spacing w:before="60" w:after="60"/>
        <w:ind w:firstLine="0"/>
        <w:jc w:val="center"/>
      </w:pPr>
      <w:r>
        <w:rPr>
          <w:rFonts w:ascii="Times New Roman" w:hAnsi="Times New Roman" w:eastAsia="Times New Roman"/>
          <w:i/>
          <w:sz w:val="26"/>
        </w:rPr>
        <w:t>ρ = ρ(x,y,t),</w:t>
      </w:r>
    </w:p>
    <w:p>
      <w:pPr>
        <w:jc w:val="both"/>
      </w:pPr>
      <w:r>
        <w:rPr>
          <w:rFonts w:ascii="Times New Roman" w:hAnsi="Times New Roman" w:eastAsia="Times New Roman"/>
          <w:i w:val="0"/>
          <w:sz w:val="28"/>
        </w:rPr>
        <w:t>где x и y — горизонтальные координаты, t — время. Плотность нормируется условием</w:t>
      </w:r>
    </w:p>
    <w:p>
      <w:pPr>
        <w:spacing w:before="60" w:after="60"/>
        <w:ind w:firstLine="0"/>
        <w:jc w:val="center"/>
      </w:pPr>
      <w:r>
        <w:rPr>
          <w:rFonts w:ascii="Times New Roman" w:hAnsi="Times New Roman" w:eastAsia="Times New Roman"/>
          <w:i/>
          <w:sz w:val="26"/>
        </w:rPr>
        <w:t>∫Ω ρ(x,y,t)dΩ = 1.</w:t>
      </w:r>
    </w:p>
    <w:p>
      <w:pPr>
        <w:jc w:val="both"/>
      </w:pPr>
      <w:r>
        <w:rPr>
          <w:rFonts w:ascii="Times New Roman" w:hAnsi="Times New Roman" w:eastAsia="Times New Roman"/>
          <w:i w:val="0"/>
          <w:sz w:val="28"/>
        </w:rPr>
        <w:t>Такое нормирование позволяет интерпретировать ρ как относительное распределение группы, независимо от конкретного количества аппаратов N.</w:t>
      </w:r>
    </w:p>
    <w:p>
      <w:pPr>
        <w:jc w:val="both"/>
      </w:pPr>
      <w:r>
        <w:rPr>
          <w:rFonts w:ascii="Times New Roman" w:hAnsi="Times New Roman" w:eastAsia="Times New Roman"/>
          <w:i w:val="0"/>
          <w:sz w:val="28"/>
        </w:rPr>
        <w:t>Перенос плотности описывается уравнением</w:t>
      </w:r>
    </w:p>
    <w:p>
      <w:pPr>
        <w:spacing w:before="60" w:after="60"/>
        <w:ind w:firstLine="0"/>
        <w:jc w:val="center"/>
      </w:pPr>
      <w:r>
        <w:rPr>
          <w:rFonts w:ascii="Times New Roman" w:hAnsi="Times New Roman" w:eastAsia="Times New Roman"/>
          <w:i/>
          <w:sz w:val="26"/>
        </w:rPr>
        <w:t>∂ρ/∂t + ∇·J = DΔρ,</w:t>
      </w:r>
    </w:p>
    <w:p>
      <w:pPr>
        <w:jc w:val="both"/>
      </w:pPr>
      <w:r>
        <w:rPr>
          <w:rFonts w:ascii="Times New Roman" w:hAnsi="Times New Roman" w:eastAsia="Times New Roman"/>
          <w:i w:val="0"/>
          <w:sz w:val="28"/>
        </w:rPr>
        <w:t>где J=(Jx,Jy) — управляющий поток, D — коэффициент диффузии, Δρ — лапласиан плотности. При D=0 получается классическое уравнение неразрывности. Связь потока с полем скорости имеет вид</w:t>
      </w:r>
    </w:p>
    <w:p>
      <w:pPr>
        <w:spacing w:before="60" w:after="60"/>
        <w:ind w:firstLine="0"/>
        <w:jc w:val="center"/>
      </w:pPr>
      <w:r>
        <w:rPr>
          <w:rFonts w:ascii="Times New Roman" w:hAnsi="Times New Roman" w:eastAsia="Times New Roman"/>
          <w:i/>
          <w:sz w:val="26"/>
        </w:rPr>
        <w:t>J = ρv.</w:t>
      </w:r>
    </w:p>
    <w:p>
      <w:pPr>
        <w:jc w:val="both"/>
      </w:pPr>
      <w:r>
        <w:rPr>
          <w:rFonts w:ascii="Times New Roman" w:hAnsi="Times New Roman" w:eastAsia="Times New Roman"/>
          <w:i w:val="0"/>
          <w:sz w:val="28"/>
        </w:rPr>
        <w:t>Физический смысл уравнения состоит в сохранении количества агентов: плотность в некоторой области изменяется только из-за притока, оттока и введённого в модели рассеивания.</w:t>
      </w:r>
    </w:p>
    <w:p>
      <w:pPr>
        <w:pStyle w:val="Heading2"/>
      </w:pPr>
      <w:r>
        <w:rPr>
          <w:rFonts w:ascii="Times New Roman" w:hAnsi="Times New Roman" w:eastAsia="Times New Roman"/>
          <w:i w:val="0"/>
          <w:sz w:val="28"/>
        </w:rPr>
        <w:t>1.1. Математический эталон</w:t>
      </w:r>
    </w:p>
    <w:p>
      <w:pPr>
        <w:jc w:val="both"/>
      </w:pPr>
      <w:r>
        <w:rPr>
          <w:rFonts w:ascii="Times New Roman" w:hAnsi="Times New Roman" w:eastAsia="Times New Roman"/>
          <w:i w:val="0"/>
          <w:sz w:val="28"/>
        </w:rPr>
        <w:t>Пусть ρd(x,y) — требуемое распределение. В программе вводится ошибка</w:t>
      </w:r>
    </w:p>
    <w:p>
      <w:pPr>
        <w:spacing w:before="60" w:after="60"/>
        <w:ind w:firstLine="0"/>
        <w:jc w:val="center"/>
      </w:pPr>
      <w:r>
        <w:rPr>
          <w:rFonts w:ascii="Times New Roman" w:hAnsi="Times New Roman" w:eastAsia="Times New Roman"/>
          <w:i/>
          <w:sz w:val="26"/>
        </w:rPr>
        <w:t>e(x,y)=ρ(x,y)-ρd(x,y).</w:t>
      </w:r>
    </w:p>
    <w:p>
      <w:pPr>
        <w:jc w:val="both"/>
      </w:pPr>
      <w:r>
        <w:rPr>
          <w:rFonts w:ascii="Times New Roman" w:hAnsi="Times New Roman" w:eastAsia="Times New Roman"/>
          <w:i w:val="0"/>
          <w:sz w:val="28"/>
        </w:rPr>
        <w:t>Для построения эталонного консервативного поля решается уравнение Пуассона</w:t>
      </w:r>
    </w:p>
    <w:p>
      <w:pPr>
        <w:spacing w:before="60" w:after="60"/>
        <w:ind w:firstLine="0"/>
        <w:jc w:val="center"/>
      </w:pPr>
      <w:r>
        <w:rPr>
          <w:rFonts w:ascii="Times New Roman" w:hAnsi="Times New Roman" w:eastAsia="Times New Roman"/>
          <w:i/>
          <w:sz w:val="26"/>
        </w:rPr>
        <w:t>Δφ=e,</w:t>
      </w:r>
    </w:p>
    <w:p>
      <w:pPr>
        <w:jc w:val="both"/>
      </w:pPr>
      <w:r>
        <w:rPr>
          <w:rFonts w:ascii="Times New Roman" w:hAnsi="Times New Roman" w:eastAsia="Times New Roman"/>
          <w:i w:val="0"/>
          <w:sz w:val="28"/>
        </w:rPr>
        <w:t>после чего управляющий поток принимается равным</w:t>
      </w:r>
    </w:p>
    <w:p>
      <w:pPr>
        <w:spacing w:before="60" w:after="60"/>
        <w:ind w:firstLine="0"/>
        <w:jc w:val="center"/>
      </w:pPr>
      <w:r>
        <w:rPr>
          <w:rFonts w:ascii="Times New Roman" w:hAnsi="Times New Roman" w:eastAsia="Times New Roman"/>
          <w:i/>
          <w:sz w:val="26"/>
        </w:rPr>
        <w:t>Jb=∇φ.</w:t>
      </w:r>
    </w:p>
    <w:p>
      <w:pPr>
        <w:jc w:val="both"/>
      </w:pPr>
      <w:r>
        <w:rPr>
          <w:rFonts w:ascii="Times New Roman" w:hAnsi="Times New Roman" w:eastAsia="Times New Roman"/>
          <w:i w:val="0"/>
          <w:sz w:val="28"/>
        </w:rPr>
        <w:t>Если временно не учитывать препятствия, диффузию и численные ограничения, то</w:t>
      </w:r>
    </w:p>
    <w:p>
      <w:pPr>
        <w:spacing w:before="60" w:after="60"/>
        <w:ind w:firstLine="0"/>
        <w:jc w:val="center"/>
      </w:pPr>
      <w:r>
        <w:rPr>
          <w:rFonts w:ascii="Times New Roman" w:hAnsi="Times New Roman" w:eastAsia="Times New Roman"/>
          <w:i/>
          <w:sz w:val="26"/>
        </w:rPr>
        <w:t>∇·Jb=Δφ=ρ-ρd.</w:t>
      </w:r>
    </w:p>
    <w:p>
      <w:pPr>
        <w:jc w:val="both"/>
      </w:pPr>
      <w:r>
        <w:rPr>
          <w:rFonts w:ascii="Times New Roman" w:hAnsi="Times New Roman" w:eastAsia="Times New Roman"/>
          <w:i w:val="0"/>
          <w:sz w:val="28"/>
        </w:rPr>
        <w:t>Подстановка в уравнение неразрывности приводит к</w:t>
      </w:r>
    </w:p>
    <w:p>
      <w:pPr>
        <w:spacing w:before="60" w:after="60"/>
        <w:ind w:firstLine="0"/>
        <w:jc w:val="center"/>
      </w:pPr>
      <w:r>
        <w:rPr>
          <w:rFonts w:ascii="Times New Roman" w:hAnsi="Times New Roman" w:eastAsia="Times New Roman"/>
          <w:i/>
          <w:sz w:val="26"/>
        </w:rPr>
        <w:t>∂ρ/∂t=-(ρ-ρd),</w:t>
      </w:r>
    </w:p>
    <w:p>
      <w:pPr>
        <w:jc w:val="both"/>
      </w:pPr>
      <w:r>
        <w:rPr>
          <w:rFonts w:ascii="Times New Roman" w:hAnsi="Times New Roman" w:eastAsia="Times New Roman"/>
          <w:i w:val="0"/>
          <w:sz w:val="28"/>
        </w:rPr>
        <w:t>то есть знак поля выбран так, чтобы текущая плотность стремилась к целевой. В реальной численной схеме поток ограничивается по величине, зануляется внутри препятствий и пересчитывается на каждом шаге.</w:t>
      </w:r>
    </w:p>
    <w:p>
      <w:pPr>
        <w:pStyle w:val="Heading2"/>
      </w:pPr>
      <w:r>
        <w:rPr>
          <w:rFonts w:ascii="Times New Roman" w:hAnsi="Times New Roman" w:eastAsia="Times New Roman"/>
          <w:i w:val="0"/>
          <w:sz w:val="28"/>
        </w:rPr>
        <w:t>1.2. Нейросетевая аппроксимация</w:t>
      </w:r>
    </w:p>
    <w:p>
      <w:pPr>
        <w:jc w:val="both"/>
      </w:pPr>
      <w:r>
        <w:rPr>
          <w:rFonts w:ascii="Times New Roman" w:hAnsi="Times New Roman" w:eastAsia="Times New Roman"/>
          <w:i w:val="0"/>
          <w:sz w:val="28"/>
        </w:rPr>
        <w:t>Вход нейросети состоит из трёх двумерных каналов:</w:t>
      </w:r>
    </w:p>
    <w:p>
      <w:pPr>
        <w:spacing w:before="60" w:after="60"/>
        <w:ind w:firstLine="0"/>
        <w:jc w:val="center"/>
      </w:pPr>
      <w:r>
        <w:rPr>
          <w:rFonts w:ascii="Times New Roman" w:hAnsi="Times New Roman" w:eastAsia="Times New Roman"/>
          <w:i/>
          <w:sz w:val="26"/>
        </w:rPr>
        <w:t>X=[ρ, ρd, O],</w:t>
      </w:r>
    </w:p>
    <w:p>
      <w:pPr>
        <w:jc w:val="both"/>
      </w:pPr>
      <w:r>
        <w:rPr>
          <w:rFonts w:ascii="Times New Roman" w:hAnsi="Times New Roman" w:eastAsia="Times New Roman"/>
          <w:i w:val="0"/>
          <w:sz w:val="28"/>
        </w:rPr>
        <w:t>где O(x,y) — бинарная карта препятствий. Выход содержит два канала</w:t>
      </w:r>
    </w:p>
    <w:p>
      <w:pPr>
        <w:spacing w:before="60" w:after="60"/>
        <w:ind w:firstLine="0"/>
        <w:jc w:val="center"/>
      </w:pPr>
      <w:r>
        <w:rPr>
          <w:rFonts w:ascii="Times New Roman" w:hAnsi="Times New Roman" w:eastAsia="Times New Roman"/>
          <w:i/>
          <w:sz w:val="26"/>
        </w:rPr>
        <w:t>NNθ(X)=(Jx, Jy).</w:t>
      </w:r>
    </w:p>
    <w:p>
      <w:pPr>
        <w:jc w:val="both"/>
      </w:pPr>
      <w:r>
        <w:rPr>
          <w:rFonts w:ascii="Times New Roman" w:hAnsi="Times New Roman" w:eastAsia="Times New Roman"/>
          <w:i w:val="0"/>
          <w:sz w:val="28"/>
        </w:rPr>
        <w:t>Используемая U-Net обучалась на синтетических состояниях, для которых эталонное поле рассчитывалось математическим контроллером. Таким образом, нейросеть не заменяет физическую постановку задачи, а аппроксимирует отображение «текущее распределение + цель + препятствия → управляющий поток».</w:t>
      </w:r>
    </w:p>
    <w:p>
      <w:pPr>
        <w:jc w:val="both"/>
      </w:pPr>
      <w:r>
        <w:rPr>
          <w:rFonts w:ascii="Times New Roman" w:hAnsi="Times New Roman" w:eastAsia="Times New Roman"/>
          <w:i w:val="0"/>
          <w:sz w:val="28"/>
        </w:rPr>
        <w:t>Для повышения устойчивости оставлен гибридный режим</w:t>
      </w:r>
    </w:p>
    <w:p>
      <w:pPr>
        <w:spacing w:before="60" w:after="60"/>
        <w:ind w:firstLine="0"/>
        <w:jc w:val="center"/>
      </w:pPr>
      <w:r>
        <w:rPr>
          <w:rFonts w:ascii="Times New Roman" w:hAnsi="Times New Roman" w:eastAsia="Times New Roman"/>
          <w:i/>
          <w:sz w:val="26"/>
        </w:rPr>
        <w:t>Jh = 0,70JNN + 0,30Jb.</w:t>
      </w:r>
    </w:p>
    <w:p>
      <w:pPr>
        <w:jc w:val="both"/>
      </w:pPr>
      <w:r>
        <w:rPr>
          <w:rFonts w:ascii="Times New Roman" w:hAnsi="Times New Roman" w:eastAsia="Times New Roman"/>
          <w:i w:val="0"/>
          <w:sz w:val="28"/>
        </w:rPr>
        <w:t>Экспериментально чистая нейросеть в рассматриваемой версии не превзошла математический эталон; поэтому гибридный режим рассматривается как способ совместить быстроту нейросетевого вывода с сохранением вклада аналитически заданного поля.</w:t>
      </w:r>
    </w:p>
    <w:p>
      <w:pPr>
        <w:pStyle w:val="Heading1"/>
        <w:jc w:val="left"/>
      </w:pPr>
      <w:r>
        <w:rPr>
          <w:rFonts w:ascii="Times New Roman" w:hAnsi="Times New Roman" w:eastAsia="Times New Roman"/>
          <w:i w:val="0"/>
          <w:sz w:val="28"/>
        </w:rPr>
        <w:t>2. Задание распределения оператором</w:t>
      </w:r>
    </w:p>
    <w:p>
      <w:pPr>
        <w:jc w:val="both"/>
      </w:pPr>
      <w:r>
        <w:rPr>
          <w:rFonts w:ascii="Times New Roman" w:hAnsi="Times New Roman" w:eastAsia="Times New Roman"/>
          <w:i w:val="0"/>
          <w:sz w:val="28"/>
        </w:rPr>
        <w:t>Для практического применения оператору удобнее задавать не изображение плотности вручную, а набор целевых областей. Каждая цель описывается параметрами</w:t>
      </w:r>
    </w:p>
    <w:p>
      <w:pPr>
        <w:spacing w:before="60" w:after="60"/>
        <w:ind w:firstLine="0"/>
        <w:jc w:val="center"/>
      </w:pPr>
      <w:r>
        <w:rPr>
          <w:rFonts w:ascii="Times New Roman" w:hAnsi="Times New Roman" w:eastAsia="Times New Roman"/>
          <w:i/>
          <w:sz w:val="26"/>
        </w:rPr>
        <w:t>Gk=(xk, yk, nk, rk),</w:t>
      </w:r>
    </w:p>
    <w:p>
      <w:pPr>
        <w:jc w:val="both"/>
      </w:pPr>
      <w:r>
        <w:rPr>
          <w:rFonts w:ascii="Times New Roman" w:hAnsi="Times New Roman" w:eastAsia="Times New Roman"/>
          <w:i w:val="0"/>
          <w:sz w:val="28"/>
        </w:rPr>
        <w:t>где (xk,yk) — центр области, nk — количество БПЛА, которое должно быть направлено в эту область, rk — характерный радиус. Обязательно выполняется</w:t>
      </w:r>
    </w:p>
    <w:p>
      <w:pPr>
        <w:spacing w:before="60" w:after="60"/>
        <w:ind w:firstLine="0"/>
        <w:jc w:val="center"/>
      </w:pPr>
      <w:r>
        <w:rPr>
          <w:rFonts w:ascii="Times New Roman" w:hAnsi="Times New Roman" w:eastAsia="Times New Roman"/>
          <w:i/>
          <w:sz w:val="26"/>
        </w:rPr>
        <w:t>Σ nk = N.</w:t>
      </w:r>
    </w:p>
    <w:p>
      <w:pPr>
        <w:jc w:val="both"/>
      </w:pPr>
      <w:r>
        <w:rPr>
          <w:rFonts w:ascii="Times New Roman" w:hAnsi="Times New Roman" w:eastAsia="Times New Roman"/>
          <w:i w:val="0"/>
          <w:sz w:val="28"/>
        </w:rPr>
        <w:t>Например, при N=10 можно задать:</w:t>
      </w:r>
    </w:p>
    <w:p>
      <w:pPr>
        <w:pStyle w:val="ListBullet"/>
        <w:ind w:left="709" w:firstLine="0"/>
      </w:pPr>
      <w:r>
        <w:rPr>
          <w:rFonts w:ascii="Times New Roman" w:hAnsi="Times New Roman" w:eastAsia="Times New Roman"/>
          <w:i w:val="0"/>
          <w:sz w:val="28"/>
        </w:rPr>
        <w:t>область A: nA=1;</w:t>
      </w:r>
    </w:p>
    <w:p>
      <w:pPr>
        <w:pStyle w:val="ListBullet"/>
        <w:ind w:left="709" w:firstLine="0"/>
      </w:pPr>
      <w:r>
        <w:rPr>
          <w:rFonts w:ascii="Times New Roman" w:hAnsi="Times New Roman" w:eastAsia="Times New Roman"/>
          <w:i w:val="0"/>
          <w:sz w:val="28"/>
        </w:rPr>
        <w:t>область B: nB=9.</w:t>
      </w:r>
    </w:p>
    <w:p>
      <w:pPr>
        <w:jc w:val="both"/>
      </w:pPr>
      <w:r>
        <w:rPr>
          <w:rFonts w:ascii="Times New Roman" w:hAnsi="Times New Roman" w:eastAsia="Times New Roman"/>
          <w:i w:val="0"/>
          <w:sz w:val="28"/>
        </w:rPr>
        <w:t>Из этих данных автоматически строится целевая плотность</w:t>
      </w:r>
    </w:p>
    <w:p>
      <w:pPr>
        <w:spacing w:before="60" w:after="60"/>
        <w:ind w:firstLine="0"/>
        <w:jc w:val="center"/>
      </w:pPr>
      <w:r>
        <w:rPr>
          <w:rFonts w:ascii="Times New Roman" w:hAnsi="Times New Roman" w:eastAsia="Times New Roman"/>
          <w:i/>
          <w:sz w:val="26"/>
        </w:rPr>
        <w:t>ρd(x,y)=1/Z · Σ nk exp(-((x-xk)²+(y-yk)²)/(2σk²)),</w:t>
      </w:r>
    </w:p>
    <w:p>
      <w:pPr>
        <w:jc w:val="both"/>
      </w:pPr>
      <w:r>
        <w:rPr>
          <w:rFonts w:ascii="Times New Roman" w:hAnsi="Times New Roman" w:eastAsia="Times New Roman"/>
          <w:i w:val="0"/>
          <w:sz w:val="28"/>
        </w:rPr>
        <w:t>где σk связан с заданным радиусом области, Z — нормирующий коэффициент.</w:t>
      </w:r>
    </w:p>
    <w:p>
      <w:pPr>
        <w:jc w:val="both"/>
      </w:pPr>
      <w:r>
        <w:rPr>
          <w:rFonts w:ascii="Times New Roman" w:hAnsi="Times New Roman" w:eastAsia="Times New Roman"/>
          <w:i w:val="0"/>
          <w:sz w:val="28"/>
        </w:rPr>
        <w:t>Одновременно внутри целевых областей формируются N дискретных позиций sj. Это необходимо потому, что реальный автопилот управляет конкретным аппаратом, а не непрерывной плотностью.</w:t>
      </w:r>
    </w:p>
    <w:p>
      <w:pPr>
        <w:jc w:val="both"/>
      </w:pPr>
      <w:r>
        <w:rPr>
          <w:rFonts w:ascii="Times New Roman" w:hAnsi="Times New Roman" w:eastAsia="Times New Roman"/>
          <w:i w:val="0"/>
          <w:sz w:val="28"/>
        </w:rPr>
        <w:t>Для назначения аппаратов на позиции решается задача</w:t>
      </w:r>
    </w:p>
    <w:p>
      <w:pPr>
        <w:spacing w:before="60" w:after="60"/>
        <w:ind w:firstLine="0"/>
        <w:jc w:val="center"/>
      </w:pPr>
      <w:r>
        <w:rPr>
          <w:rFonts w:ascii="Times New Roman" w:hAnsi="Times New Roman" w:eastAsia="Times New Roman"/>
          <w:i/>
          <w:sz w:val="26"/>
        </w:rPr>
        <w:t>π*=arg minπ Σ ||pi-sπ(i)||,</w:t>
      </w:r>
    </w:p>
    <w:p>
      <w:pPr>
        <w:jc w:val="both"/>
      </w:pPr>
      <w:r>
        <w:rPr>
          <w:rFonts w:ascii="Times New Roman" w:hAnsi="Times New Roman" w:eastAsia="Times New Roman"/>
          <w:i w:val="0"/>
          <w:sz w:val="28"/>
        </w:rPr>
        <w:t>где pi — текущая позиция i-го БПЛА. В программной реализации используется алгоритм решения задачи о назначениях [16]. Это позволяет оператору задавать только количество БПЛА в областях, не выбирая вручную, какой именно аппарат должен лететь в каждую точку.</w:t>
      </w:r>
    </w:p>
    <w:p>
      <w:pPr>
        <w:pStyle w:val="Heading1"/>
        <w:jc w:val="left"/>
      </w:pPr>
      <w:r>
        <w:rPr>
          <w:rFonts w:ascii="Times New Roman" w:hAnsi="Times New Roman" w:eastAsia="Times New Roman"/>
          <w:i w:val="0"/>
          <w:sz w:val="28"/>
        </w:rPr>
        <w:t>3. Преобразование поля в команды отдельным БПЛА</w:t>
      </w:r>
    </w:p>
    <w:p>
      <w:pPr>
        <w:jc w:val="both"/>
      </w:pPr>
      <w:r>
        <w:rPr>
          <w:rFonts w:ascii="Times New Roman" w:hAnsi="Times New Roman" w:eastAsia="Times New Roman"/>
          <w:i w:val="0"/>
          <w:sz w:val="28"/>
        </w:rPr>
        <w:t xml:space="preserve">Ключевым практическим дополнением работы является слой </w:t>
      </w:r>
      <w:r>
        <w:rPr>
          <w:rFonts w:ascii="Times New Roman" w:hAnsi="Times New Roman" w:eastAsia="Times New Roman"/>
          <w:b/>
          <w:i w:val="0"/>
          <w:sz w:val="28"/>
        </w:rPr>
        <w:t>density-to-agent control</w:t>
      </w:r>
      <w:r>
        <w:rPr>
          <w:rFonts w:ascii="Times New Roman" w:hAnsi="Times New Roman" w:eastAsia="Times New Roman"/>
          <w:i w:val="0"/>
          <w:sz w:val="28"/>
        </w:rPr>
        <w:t>. На каждом шаге известны реальные или виртуальные координаты</w:t>
      </w:r>
    </w:p>
    <w:p>
      <w:pPr>
        <w:spacing w:before="60" w:after="60"/>
        <w:ind w:firstLine="0"/>
        <w:jc w:val="center"/>
      </w:pPr>
      <w:r>
        <w:rPr>
          <w:rFonts w:ascii="Times New Roman" w:hAnsi="Times New Roman" w:eastAsia="Times New Roman"/>
          <w:i/>
          <w:sz w:val="26"/>
        </w:rPr>
        <w:t>pi=(xi,yi).</w:t>
      </w:r>
    </w:p>
    <w:p>
      <w:pPr>
        <w:jc w:val="both"/>
      </w:pPr>
      <w:r>
        <w:rPr>
          <w:rFonts w:ascii="Times New Roman" w:hAnsi="Times New Roman" w:eastAsia="Times New Roman"/>
          <w:i w:val="0"/>
          <w:sz w:val="28"/>
        </w:rPr>
        <w:t>В точке положения каждого аппарата интерполируется поле плотностного контроллера. Одновременно учитывается назначенная дискретная цель, соседние аппараты и препятствия. Итоговая горизонтальная команда имеет структуру</w:t>
      </w:r>
    </w:p>
    <w:p>
      <w:pPr>
        <w:spacing w:before="60" w:after="60"/>
        <w:ind w:firstLine="0"/>
        <w:jc w:val="center"/>
      </w:pPr>
      <w:r>
        <w:rPr>
          <w:rFonts w:ascii="Times New Roman" w:hAnsi="Times New Roman" w:eastAsia="Times New Roman"/>
          <w:i/>
          <w:sz w:val="26"/>
        </w:rPr>
        <w:t>ui = wf uiρ + ws uis + uisep + uiobs,</w:t>
      </w:r>
    </w:p>
    <w:p>
      <w:pPr>
        <w:jc w:val="both"/>
      </w:pPr>
      <w:r>
        <w:rPr>
          <w:rFonts w:ascii="Times New Roman" w:hAnsi="Times New Roman" w:eastAsia="Times New Roman"/>
          <w:i w:val="0"/>
          <w:sz w:val="28"/>
        </w:rPr>
        <w:t>где uiρ — вклад плотностного поля, uis — движение к назначенной позиции, uisep — локальное разведение, uiobs — обход препятствий. В поставляемой версии симулятора используются wf=0,35 и ws=0,65. Эти коэффициенты являются параметрами реализации, а не фундаментальными константами модели.</w:t>
      </w:r>
    </w:p>
    <w:p>
      <w:pPr>
        <w:jc w:val="both"/>
      </w:pPr>
      <w:r>
        <w:rPr>
          <w:rFonts w:ascii="Times New Roman" w:hAnsi="Times New Roman" w:eastAsia="Times New Roman"/>
          <w:i w:val="0"/>
          <w:sz w:val="28"/>
        </w:rPr>
        <w:t>Команда ограничивается условиями</w:t>
      </w:r>
    </w:p>
    <w:p>
      <w:pPr>
        <w:spacing w:before="60" w:after="60"/>
        <w:ind w:firstLine="0"/>
        <w:jc w:val="center"/>
      </w:pPr>
      <w:r>
        <w:rPr>
          <w:rFonts w:ascii="Times New Roman" w:hAnsi="Times New Roman" w:eastAsia="Times New Roman"/>
          <w:i/>
          <w:sz w:val="26"/>
        </w:rPr>
        <w:t>||ui|| ≤ vmax,</w:t>
      </w:r>
    </w:p>
    <w:p>
      <w:pPr>
        <w:spacing w:before="60" w:after="60"/>
        <w:ind w:firstLine="0"/>
        <w:jc w:val="center"/>
      </w:pPr>
      <w:r>
        <w:rPr>
          <w:rFonts w:ascii="Times New Roman" w:hAnsi="Times New Roman" w:eastAsia="Times New Roman"/>
          <w:i/>
          <w:sz w:val="26"/>
        </w:rPr>
        <w:t>||ui(t)-ui(t-Δt)||/Δt ≤ amax.</w:t>
      </w:r>
    </w:p>
    <w:p>
      <w:pPr>
        <w:jc w:val="both"/>
      </w:pPr>
      <w:r>
        <w:rPr>
          <w:rFonts w:ascii="Times New Roman" w:hAnsi="Times New Roman" w:eastAsia="Times New Roman"/>
          <w:i w:val="0"/>
          <w:sz w:val="28"/>
        </w:rPr>
        <w:t>Локальный слой безопасности контролирует прогнозируемую дистанцию между парами аппаратов и уменьшает сближающую составляющую скорости при приближении к заданному пределу dmin. Препятствия на рассматриваемой плоскости задаются запрещёнными прямоугольными областями; если прямой участок к назначенной позиции пересекает препятствие, формируется промежуточная путевая точка около свободного угла препятствия.</w:t>
      </w:r>
    </w:p>
    <w:p>
      <w:pPr>
        <w:jc w:val="both"/>
      </w:pPr>
      <w:r>
        <w:rPr>
          <w:rFonts w:ascii="Times New Roman" w:hAnsi="Times New Roman" w:eastAsia="Times New Roman"/>
          <w:i w:val="0"/>
          <w:sz w:val="28"/>
        </w:rPr>
        <w:t xml:space="preserve">Такая архитектура принципиально отличается от полного отказа от индивидуального управления. </w:t>
      </w:r>
      <w:r>
        <w:rPr>
          <w:rFonts w:ascii="Times New Roman" w:hAnsi="Times New Roman" w:eastAsia="Times New Roman"/>
          <w:b/>
          <w:i w:val="0"/>
          <w:sz w:val="28"/>
        </w:rPr>
        <w:t>Оператор не управляет каждым БПЛА отдельно, однако последний уровень системы всё равно формирует отдельную безопасную команду каждому автопилоту.</w:t>
      </w:r>
    </w:p>
    <w:p>
      <w:pPr>
        <w:spacing w:before="120" w:after="40"/>
        <w:ind w:firstLine="0"/>
        <w:jc w:val="center"/>
      </w:pPr>
      <w:r>
        <w:drawing>
          <wp:inline xmlns:a="http://schemas.openxmlformats.org/drawingml/2006/main" xmlns:pic="http://schemas.openxmlformats.org/drawingml/2006/picture">
            <wp:extent cx="5580000" cy="1689383"/>
            <wp:docPr id="1" name="Picture 1"/>
            <wp:cNvGraphicFramePr>
              <a:graphicFrameLocks noChangeAspect="1"/>
            </wp:cNvGraphicFramePr>
            <a:graphic>
              <a:graphicData uri="http://schemas.openxmlformats.org/drawingml/2006/picture">
                <pic:pic>
                  <pic:nvPicPr>
                    <pic:cNvPr id="0" name="20_fleet_architecture.png"/>
                    <pic:cNvPicPr/>
                  </pic:nvPicPr>
                  <pic:blipFill>
                    <a:blip r:embed="rId9"/>
                    <a:stretch>
                      <a:fillRect/>
                    </a:stretch>
                  </pic:blipFill>
                  <pic:spPr>
                    <a:xfrm>
                      <a:off x="0" y="0"/>
                      <a:ext cx="5580000" cy="1689383"/>
                    </a:xfrm>
                    <a:prstGeom prst="rect"/>
                  </pic:spPr>
                </pic:pic>
              </a:graphicData>
            </a:graphic>
          </wp:inline>
        </w:drawing>
      </w:r>
    </w:p>
    <w:p>
      <w:pPr>
        <w:spacing w:after="120"/>
        <w:ind w:firstLine="0"/>
        <w:jc w:val="center"/>
      </w:pPr>
      <w:r>
        <w:rPr>
          <w:rFonts w:ascii="Times New Roman" w:hAnsi="Times New Roman" w:eastAsia="Times New Roman"/>
          <w:i/>
          <w:sz w:val="24"/>
        </w:rPr>
        <w:t>Рисунок 1 — Архитектура перехода от распределения к индивидуальным командам</w:t>
      </w:r>
    </w:p>
    <w:p>
      <w:pPr>
        <w:pStyle w:val="Heading1"/>
        <w:jc w:val="left"/>
      </w:pPr>
      <w:r>
        <w:rPr>
          <w:rFonts w:ascii="Times New Roman" w:hAnsi="Times New Roman" w:eastAsia="Times New Roman"/>
          <w:i w:val="0"/>
          <w:sz w:val="28"/>
        </w:rPr>
        <w:t>4. Управление на плоскости и этапы полёта</w:t>
      </w:r>
    </w:p>
    <w:p>
      <w:pPr>
        <w:jc w:val="both"/>
      </w:pPr>
      <w:r>
        <w:rPr>
          <w:rFonts w:ascii="Times New Roman" w:hAnsi="Times New Roman" w:eastAsia="Times New Roman"/>
          <w:i w:val="0"/>
          <w:sz w:val="28"/>
        </w:rPr>
        <w:t>В работе не предполагается, что двумерная модель одновременно решает задачу высоты. Полёт разбит на три стадии.</w:t>
      </w:r>
    </w:p>
    <w:p>
      <w:pPr>
        <w:jc w:val="both"/>
      </w:pPr>
      <w:r>
        <w:rPr>
          <w:rFonts w:ascii="Times New Roman" w:hAnsi="Times New Roman" w:eastAsia="Times New Roman"/>
          <w:b/>
          <w:i w:val="0"/>
          <w:sz w:val="28"/>
        </w:rPr>
        <w:t>1. TAKEOFF.</w:t>
      </w:r>
      <w:r>
        <w:rPr>
          <w:rFonts w:ascii="Times New Roman" w:hAnsi="Times New Roman" w:eastAsia="Times New Roman"/>
          <w:i w:val="0"/>
          <w:sz w:val="28"/>
        </w:rPr>
        <w:t xml:space="preserve"> Каждый аппарат получает команду набрать рабочую высоту H. Горизонтальное распределение на этом этапе не выполняется.</w:t>
      </w:r>
    </w:p>
    <w:p>
      <w:pPr>
        <w:jc w:val="both"/>
      </w:pPr>
      <w:r>
        <w:rPr>
          <w:rFonts w:ascii="Times New Roman" w:hAnsi="Times New Roman" w:eastAsia="Times New Roman"/>
          <w:b/>
          <w:i w:val="0"/>
          <w:sz w:val="28"/>
        </w:rPr>
        <w:t>2. PLANAR CONTROL.</w:t>
      </w:r>
      <w:r>
        <w:rPr>
          <w:rFonts w:ascii="Times New Roman" w:hAnsi="Times New Roman" w:eastAsia="Times New Roman"/>
          <w:i w:val="0"/>
          <w:sz w:val="28"/>
        </w:rPr>
        <w:t xml:space="preserve"> После выхода группы на рабочую высоту предполагается</w:t>
      </w:r>
    </w:p>
    <w:p>
      <w:pPr>
        <w:spacing w:before="60" w:after="60"/>
        <w:ind w:firstLine="0"/>
        <w:jc w:val="center"/>
      </w:pPr>
      <w:r>
        <w:rPr>
          <w:rFonts w:ascii="Times New Roman" w:hAnsi="Times New Roman" w:eastAsia="Times New Roman"/>
          <w:i/>
          <w:sz w:val="26"/>
        </w:rPr>
        <w:t>z1≈z2≈…≈zN≈H=const.</w:t>
      </w:r>
    </w:p>
    <w:p>
      <w:pPr>
        <w:jc w:val="both"/>
      </w:pPr>
      <w:r>
        <w:rPr>
          <w:rFonts w:ascii="Times New Roman" w:hAnsi="Times New Roman" w:eastAsia="Times New Roman"/>
          <w:i w:val="0"/>
          <w:sz w:val="28"/>
        </w:rPr>
        <w:t>Далее плотностная модель и дискретный контроллер работают только с x и y.</w:t>
      </w:r>
    </w:p>
    <w:p>
      <w:pPr>
        <w:jc w:val="both"/>
      </w:pPr>
      <w:r>
        <w:rPr>
          <w:rFonts w:ascii="Times New Roman" w:hAnsi="Times New Roman" w:eastAsia="Times New Roman"/>
          <w:b/>
          <w:i w:val="0"/>
          <w:sz w:val="28"/>
        </w:rPr>
        <w:t>3. LANDING.</w:t>
      </w:r>
      <w:r>
        <w:rPr>
          <w:rFonts w:ascii="Times New Roman" w:hAnsi="Times New Roman" w:eastAsia="Times New Roman"/>
          <w:i w:val="0"/>
          <w:sz w:val="28"/>
        </w:rPr>
        <w:t xml:space="preserve"> После достижения распределения горизонтальный контур останавливается, затем аппараты получают команду снижения/посадки.</w:t>
      </w:r>
    </w:p>
    <w:p>
      <w:pPr>
        <w:jc w:val="both"/>
      </w:pPr>
      <w:r>
        <w:rPr>
          <w:rFonts w:ascii="Times New Roman" w:hAnsi="Times New Roman" w:eastAsia="Times New Roman"/>
          <w:i w:val="0"/>
          <w:sz w:val="28"/>
        </w:rPr>
        <w:t>Такая декомпозиция позволяет корректно связать двумерную математическую модель с реальным полётом, не заявляя решение полноценной трёхмерной задачи.</w:t>
      </w:r>
    </w:p>
    <w:p>
      <w:pPr>
        <w:spacing w:before="120" w:after="40"/>
        <w:ind w:firstLine="0"/>
        <w:jc w:val="center"/>
      </w:pPr>
      <w:r>
        <w:drawing>
          <wp:inline xmlns:a="http://schemas.openxmlformats.org/drawingml/2006/main" xmlns:pic="http://schemas.openxmlformats.org/drawingml/2006/picture">
            <wp:extent cx="5580000" cy="3204097"/>
            <wp:docPr id="2" name="Picture 2"/>
            <wp:cNvGraphicFramePr>
              <a:graphicFrameLocks noChangeAspect="1"/>
            </wp:cNvGraphicFramePr>
            <a:graphic>
              <a:graphicData uri="http://schemas.openxmlformats.org/drawingml/2006/picture">
                <pic:pic>
                  <pic:nvPicPr>
                    <pic:cNvPr id="0" name="25_three_phase_altitude.png"/>
                    <pic:cNvPicPr/>
                  </pic:nvPicPr>
                  <pic:blipFill>
                    <a:blip r:embed="rId10"/>
                    <a:stretch>
                      <a:fillRect/>
                    </a:stretch>
                  </pic:blipFill>
                  <pic:spPr>
                    <a:xfrm>
                      <a:off x="0" y="0"/>
                      <a:ext cx="5580000" cy="3204097"/>
                    </a:xfrm>
                    <a:prstGeom prst="rect"/>
                  </pic:spPr>
                </pic:pic>
              </a:graphicData>
            </a:graphic>
          </wp:inline>
        </w:drawing>
      </w:r>
    </w:p>
    <w:p>
      <w:pPr>
        <w:spacing w:after="120"/>
        <w:ind w:firstLine="0"/>
        <w:jc w:val="center"/>
      </w:pPr>
      <w:r>
        <w:rPr>
          <w:rFonts w:ascii="Times New Roman" w:hAnsi="Times New Roman" w:eastAsia="Times New Roman"/>
          <w:i/>
          <w:sz w:val="24"/>
        </w:rPr>
        <w:t>Рисунок 2 — Изменение средней высоты на этапах TAKEOFF, PLANAR CONTROL и LANDING</w:t>
      </w:r>
    </w:p>
    <w:p>
      <w:pPr>
        <w:pStyle w:val="Heading1"/>
        <w:jc w:val="left"/>
      </w:pPr>
      <w:r>
        <w:rPr>
          <w:rFonts w:ascii="Times New Roman" w:hAnsi="Times New Roman" w:eastAsia="Times New Roman"/>
          <w:i w:val="0"/>
          <w:sz w:val="28"/>
        </w:rPr>
        <w:t>5. Схема управления оператором</w:t>
      </w:r>
    </w:p>
    <w:p>
      <w:pPr>
        <w:jc w:val="both"/>
      </w:pPr>
      <w:r>
        <w:rPr>
          <w:rFonts w:ascii="Times New Roman" w:hAnsi="Times New Roman" w:eastAsia="Times New Roman"/>
          <w:i w:val="0"/>
          <w:sz w:val="28"/>
        </w:rPr>
        <w:t>В предлагаемой архитектуре достаточно одного оператора верхнего уровня. Его задача состоит в формировании миссии, а не в ручном пилотировании каждого аппарата. В интерфейсе задаются:</w:t>
      </w:r>
    </w:p>
    <w:p>
      <w:pPr>
        <w:pStyle w:val="ListBullet"/>
        <w:ind w:left="709" w:firstLine="0"/>
      </w:pPr>
      <w:r>
        <w:rPr>
          <w:rFonts w:ascii="Times New Roman" w:hAnsi="Times New Roman" w:eastAsia="Times New Roman"/>
          <w:i w:val="0"/>
          <w:sz w:val="28"/>
        </w:rPr>
        <w:t>количество подключённых БПЛА;</w:t>
      </w:r>
    </w:p>
    <w:p>
      <w:pPr>
        <w:pStyle w:val="ListBullet"/>
        <w:ind w:left="709" w:firstLine="0"/>
      </w:pPr>
      <w:r>
        <w:rPr>
          <w:rFonts w:ascii="Times New Roman" w:hAnsi="Times New Roman" w:eastAsia="Times New Roman"/>
          <w:i w:val="0"/>
          <w:sz w:val="28"/>
        </w:rPr>
        <w:t>рабочая высота;</w:t>
      </w:r>
    </w:p>
    <w:p>
      <w:pPr>
        <w:pStyle w:val="ListBullet"/>
        <w:ind w:left="709" w:firstLine="0"/>
      </w:pPr>
      <w:r>
        <w:rPr>
          <w:rFonts w:ascii="Times New Roman" w:hAnsi="Times New Roman" w:eastAsia="Times New Roman"/>
          <w:i w:val="0"/>
          <w:sz w:val="28"/>
        </w:rPr>
        <w:t>размеры рабочей области;</w:t>
      </w:r>
    </w:p>
    <w:p>
      <w:pPr>
        <w:pStyle w:val="ListBullet"/>
        <w:ind w:left="709" w:firstLine="0"/>
      </w:pPr>
      <w:r>
        <w:rPr>
          <w:rFonts w:ascii="Times New Roman" w:hAnsi="Times New Roman" w:eastAsia="Times New Roman"/>
          <w:i w:val="0"/>
          <w:sz w:val="28"/>
        </w:rPr>
        <w:t>координаты и размеры целевых областей;</w:t>
      </w:r>
    </w:p>
    <w:p>
      <w:pPr>
        <w:pStyle w:val="ListBullet"/>
        <w:ind w:left="709" w:firstLine="0"/>
      </w:pPr>
      <w:r>
        <w:rPr>
          <w:rFonts w:ascii="Times New Roman" w:hAnsi="Times New Roman" w:eastAsia="Times New Roman"/>
          <w:i w:val="0"/>
          <w:sz w:val="28"/>
        </w:rPr>
        <w:t>количество БПЛА для каждой области;</w:t>
      </w:r>
    </w:p>
    <w:p>
      <w:pPr>
        <w:pStyle w:val="ListBullet"/>
        <w:ind w:left="709" w:firstLine="0"/>
      </w:pPr>
      <w:r>
        <w:rPr>
          <w:rFonts w:ascii="Times New Roman" w:hAnsi="Times New Roman" w:eastAsia="Times New Roman"/>
          <w:i w:val="0"/>
          <w:sz w:val="28"/>
        </w:rPr>
        <w:t>допустимые скорость, ускорение и межбортовая дистанция;</w:t>
      </w:r>
    </w:p>
    <w:p>
      <w:pPr>
        <w:pStyle w:val="ListBullet"/>
        <w:ind w:left="709" w:firstLine="0"/>
      </w:pPr>
      <w:r>
        <w:rPr>
          <w:rFonts w:ascii="Times New Roman" w:hAnsi="Times New Roman" w:eastAsia="Times New Roman"/>
          <w:i w:val="0"/>
          <w:sz w:val="28"/>
        </w:rPr>
        <w:t>препятствия и режим контроллера.</w:t>
      </w:r>
    </w:p>
    <w:p>
      <w:pPr>
        <w:jc w:val="both"/>
      </w:pPr>
      <w:r>
        <w:rPr>
          <w:rFonts w:ascii="Times New Roman" w:hAnsi="Times New Roman" w:eastAsia="Times New Roman"/>
          <w:i w:val="0"/>
          <w:sz w:val="28"/>
        </w:rPr>
        <w:t>После этого система автоматически назначает конкретные аппараты на целевые позиции и рассчитывает их команды.</w:t>
      </w:r>
    </w:p>
    <w:p>
      <w:pPr>
        <w:jc w:val="both"/>
      </w:pPr>
      <w:r>
        <w:rPr>
          <w:rFonts w:ascii="Times New Roman" w:hAnsi="Times New Roman" w:eastAsia="Times New Roman"/>
          <w:i w:val="0"/>
          <w:sz w:val="28"/>
        </w:rPr>
        <w:t xml:space="preserve">Для сравнения реализован режим </w:t>
      </w:r>
      <w:r>
        <w:rPr>
          <w:rFonts w:ascii="Times New Roman" w:hAnsi="Times New Roman" w:eastAsia="Times New Roman"/>
          <w:b/>
          <w:i w:val="0"/>
          <w:sz w:val="28"/>
        </w:rPr>
        <w:t>Leader–Follower</w:t>
      </w:r>
      <w:r>
        <w:rPr>
          <w:rFonts w:ascii="Times New Roman" w:hAnsi="Times New Roman" w:eastAsia="Times New Roman"/>
          <w:i w:val="0"/>
          <w:sz w:val="28"/>
        </w:rPr>
        <w:t>, в котором один аппарат играет роль лидера, а остальные поддерживают заданное положение относительно него. Такой вариант удобен для компактной формации, однако хуже соответствует задаче произвольного перераспределения массы группы между несколькими областями. Поэтому основным методом работы является density control, а leader–follower используется как сравнительный режим.</w:t>
      </w:r>
    </w:p>
    <w:p>
      <w:pPr>
        <w:pStyle w:val="Heading1"/>
        <w:jc w:val="left"/>
      </w:pPr>
      <w:r>
        <w:rPr>
          <w:rFonts w:ascii="Times New Roman" w:hAnsi="Times New Roman" w:eastAsia="Times New Roman"/>
          <w:i w:val="0"/>
          <w:sz w:val="28"/>
        </w:rPr>
        <w:t>6. Подключение к реальным БПЛА</w:t>
      </w:r>
    </w:p>
    <w:p>
      <w:pPr>
        <w:jc w:val="both"/>
      </w:pPr>
      <w:r>
        <w:rPr>
          <w:rFonts w:ascii="Times New Roman" w:hAnsi="Times New Roman" w:eastAsia="Times New Roman"/>
          <w:i w:val="0"/>
          <w:sz w:val="28"/>
        </w:rPr>
        <w:t xml:space="preserve">Разработанное приложение содержит отдельную вкладку </w:t>
      </w:r>
      <w:r>
        <w:rPr>
          <w:rFonts w:ascii="Times New Roman" w:hAnsi="Times New Roman" w:eastAsia="Times New Roman"/>
          <w:b/>
          <w:i w:val="0"/>
          <w:sz w:val="28"/>
        </w:rPr>
        <w:t>«Реальные БПЛА / SITL»</w:t>
      </w:r>
      <w:r>
        <w:rPr>
          <w:rFonts w:ascii="Times New Roman" w:hAnsi="Times New Roman" w:eastAsia="Times New Roman"/>
          <w:i w:val="0"/>
          <w:sz w:val="28"/>
        </w:rPr>
        <w:t>. Для каждого аппарата задаётся MAVLink endpoint. Программный мост получает heartbeat, глобальные координаты, относительную высоту, скорость и доступную информацию о батарее. Координаты переводятся в общую локальную горизонтальную систему.</w:t>
      </w:r>
    </w:p>
    <w:p>
      <w:pPr>
        <w:jc w:val="both"/>
      </w:pPr>
      <w:r>
        <w:rPr>
          <w:rFonts w:ascii="Times New Roman" w:hAnsi="Times New Roman" w:eastAsia="Times New Roman"/>
          <w:i w:val="0"/>
          <w:sz w:val="28"/>
        </w:rPr>
        <w:t xml:space="preserve">Для передачи индивидуального управления используется сообщение MAVLink </w:t>
      </w:r>
      <w:r>
        <w:rPr>
          <w:rFonts w:ascii="Times New Roman" w:hAnsi="Times New Roman" w:eastAsia="Times New Roman"/>
          <w:b/>
          <w:i w:val="0"/>
          <w:sz w:val="28"/>
        </w:rPr>
        <w:t>SET_POSITION_TARGET_LOCAL_NED</w:t>
      </w:r>
      <w:r>
        <w:rPr>
          <w:rFonts w:ascii="Times New Roman" w:hAnsi="Times New Roman" w:eastAsia="Times New Roman"/>
          <w:i w:val="0"/>
          <w:sz w:val="28"/>
        </w:rPr>
        <w:t>, позволяющее внешнему контроллеру задавать скорости vx, vy, vz в локальной системе NED [13]. Внутри приложения принята визуальная система X=East, Y=North, поэтому перед отправкой выполняется преобразование осей: горизонтальная команда X переводится в компонент East, а Y — в North.</w:t>
      </w:r>
    </w:p>
    <w:p>
      <w:pPr>
        <w:jc w:val="both"/>
      </w:pPr>
      <w:r>
        <w:rPr>
          <w:rFonts w:ascii="Times New Roman" w:hAnsi="Times New Roman" w:eastAsia="Times New Roman"/>
          <w:i w:val="0"/>
          <w:sz w:val="28"/>
        </w:rPr>
        <w:t>PX4 в режиме Offboard требует непрерывный поток внешних setpoint-сообщений с частотой выше 2 Гц; в реализованном MAVLink-модуле используется фоновая передача с частотой 10 Гц [14]. ArduPilot также допускает работу companion computer через MAVLink, при которой внешний компьютер получает телеметрию и принимает решения верхнего уровня [15].</w:t>
      </w:r>
    </w:p>
    <w:p>
      <w:pPr>
        <w:jc w:val="both"/>
      </w:pPr>
      <w:r>
        <w:rPr>
          <w:rFonts w:ascii="Times New Roman" w:hAnsi="Times New Roman" w:eastAsia="Times New Roman"/>
          <w:i w:val="0"/>
          <w:sz w:val="28"/>
        </w:rPr>
        <w:t xml:space="preserve">Для предотвращения случайной отправки команд реальному аппарату введена программная блокировка. Реальный ARM/TAKEOFF и запуск внешнего контура разрешаются только при одновременном выборе режима REAL, подтверждении оператором безопасной зоны и установке системной переменной </w:t>
      </w:r>
      <w:r>
        <w:rPr>
          <w:rFonts w:ascii="Times New Roman" w:hAnsi="Times New Roman" w:eastAsia="Times New Roman"/>
          <w:i w:val="0"/>
          <w:sz w:val="28"/>
        </w:rPr>
        <w:t>SWARM_ENABLE_REAL=1</w:t>
      </w:r>
      <w:r>
        <w:rPr>
          <w:rFonts w:ascii="Times New Roman" w:hAnsi="Times New Roman" w:eastAsia="Times New Roman"/>
          <w:i w:val="0"/>
          <w:sz w:val="28"/>
        </w:rPr>
        <w:t>. По умолчанию приложение допускает безопасную проверку в симуляции и SITL.</w:t>
      </w:r>
    </w:p>
    <w:p>
      <w:pPr>
        <w:jc w:val="both"/>
      </w:pPr>
      <w:r>
        <w:rPr>
          <w:rFonts w:ascii="Times New Roman" w:hAnsi="Times New Roman" w:eastAsia="Times New Roman"/>
          <w:i w:val="0"/>
          <w:sz w:val="28"/>
        </w:rPr>
        <w:t>Важно отметить, что наличие программного MAVLink-моста не является доказательством готовности к полётной эксплуатации. Перед физическими испытаниями необходимы отдельная верификация failsafe, направления осей, геозоны, радиоканала, GNSS/локальной навигации, параметров конкретного автопилота и возможности ручного перехвата управления.</w:t>
      </w:r>
    </w:p>
    <w:p>
      <w:pPr>
        <w:spacing w:before="120" w:after="40"/>
        <w:ind w:firstLine="0"/>
        <w:jc w:val="center"/>
      </w:pPr>
      <w:r>
        <w:drawing>
          <wp:inline xmlns:a="http://schemas.openxmlformats.org/drawingml/2006/main" xmlns:pic="http://schemas.openxmlformats.org/drawingml/2006/picture">
            <wp:extent cx="5580000" cy="2281004"/>
            <wp:docPr id="3" name="Picture 3"/>
            <wp:cNvGraphicFramePr>
              <a:graphicFrameLocks noChangeAspect="1"/>
            </wp:cNvGraphicFramePr>
            <a:graphic>
              <a:graphicData uri="http://schemas.openxmlformats.org/drawingml/2006/picture">
                <pic:pic>
                  <pic:nvPicPr>
                    <pic:cNvPr id="0" name="30_real_mavlink_architecture.png"/>
                    <pic:cNvPicPr/>
                  </pic:nvPicPr>
                  <pic:blipFill>
                    <a:blip r:embed="rId11"/>
                    <a:stretch>
                      <a:fillRect/>
                    </a:stretch>
                  </pic:blipFill>
                  <pic:spPr>
                    <a:xfrm>
                      <a:off x="0" y="0"/>
                      <a:ext cx="5580000" cy="2281004"/>
                    </a:xfrm>
                    <a:prstGeom prst="rect"/>
                  </pic:spPr>
                </pic:pic>
              </a:graphicData>
            </a:graphic>
          </wp:inline>
        </w:drawing>
      </w:r>
    </w:p>
    <w:p>
      <w:pPr>
        <w:spacing w:after="120"/>
        <w:ind w:firstLine="0"/>
        <w:jc w:val="center"/>
      </w:pPr>
      <w:r>
        <w:rPr>
          <w:rFonts w:ascii="Times New Roman" w:hAnsi="Times New Roman" w:eastAsia="Times New Roman"/>
          <w:i/>
          <w:sz w:val="24"/>
        </w:rPr>
        <w:t>Рисунок 3 — Структура интеграции наземной станции, MAVLink и автопилотов</w:t>
      </w:r>
    </w:p>
    <w:p>
      <w:pPr>
        <w:pStyle w:val="Heading1"/>
        <w:jc w:val="left"/>
      </w:pPr>
      <w:r>
        <w:rPr>
          <w:rFonts w:ascii="Times New Roman" w:hAnsi="Times New Roman" w:eastAsia="Times New Roman"/>
          <w:i w:val="0"/>
          <w:sz w:val="28"/>
        </w:rPr>
        <w:t>7. Вычислительный эксперимент</w:t>
      </w:r>
    </w:p>
    <w:p>
      <w:pPr>
        <w:jc w:val="both"/>
      </w:pPr>
      <w:r>
        <w:rPr>
          <w:rFonts w:ascii="Times New Roman" w:hAnsi="Times New Roman" w:eastAsia="Times New Roman"/>
          <w:i w:val="0"/>
          <w:sz w:val="28"/>
        </w:rPr>
        <w:t>Базовый эксперимент выполнен для 10 мультироторных БПЛА в прямоугольной рабочей области 80×60 м. Рабочая высота составляла 20 м. Начальное расположение — слева от препятствия. В центре находилась запрещённая область. Оператор задавал две целевые зоны: A для одного аппарата и B для девяти аппаратов. Горизонтальный этап содержал 300 шагов с Δt=0,2 с. Максимальная горизонтальная скорость составляла 4 м/с, максимальное ускорение — 3 м/с², заданная межбортовая дистанция — 2,5 м.</w:t>
      </w:r>
    </w:p>
    <w:p>
      <w:pPr>
        <w:spacing w:before="60" w:after="60"/>
        <w:ind w:firstLine="0"/>
        <w:jc w:val="center"/>
      </w:pPr>
      <w:r>
        <w:rPr>
          <w:rFonts w:ascii="Times New Roman" w:hAnsi="Times New Roman" w:eastAsia="Times New Roman"/>
          <w:i/>
          <w:sz w:val="26"/>
        </w:rPr>
        <w:t>Таблица 1 — Параметры базового эксперимента</w:t>
      </w:r>
    </w:p>
    <w:tbl>
      <w:tblPr>
        <w:tblStyle w:val="TableGrid"/>
        <w:tblW w:type="auto" w:w="0"/>
        <w:tblLayout w:type="autofit"/>
        <w:tblLook w:firstColumn="1" w:firstRow="1" w:lastColumn="0" w:lastRow="0" w:noHBand="0" w:noVBand="1" w:val="04A0"/>
      </w:tblPr>
      <w:tblGrid>
        <w:gridCol w:w="4986"/>
        <w:gridCol w:w="4986"/>
      </w:tblGrid>
      <w:tr>
        <w:trPr>
          <w:tblHeader w:val="true"/>
        </w:trPr>
        <w:tc>
          <w:tcPr>
            <w:tcW w:type="dxa" w:w="4986"/>
            <w:shd w:fill="E7E6E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Параметр</w:t>
            </w:r>
          </w:p>
        </w:tc>
        <w:tc>
          <w:tcPr>
            <w:tcW w:type="dxa" w:w="4986"/>
            <w:shd w:fill="E7E6E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Значение</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Количество БПЛА</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10</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Размер рабочей области</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80×60 м</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Рабочая высота</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20 м</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Горизонтальных шагов</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300</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Шаг времени</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0,2 с</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Максимальная скорость</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4 м/с</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Максимальное ускорение</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3 м/с²</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Заданная минимальная дистанция</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2,5 м</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Контроллер</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гибрид 70/30</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Групповой режим</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Density control</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Цель A</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1 БПЛА</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Цель B</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9 БПЛА</w:t>
            </w:r>
          </w:p>
        </w:tc>
      </w:tr>
    </w:tbl>
    <w:p>
      <w:pPr>
        <w:spacing w:after="0"/>
      </w:pPr>
    </w:p>
    <w:p>
      <w:pPr>
        <w:spacing w:before="120" w:after="40"/>
        <w:ind w:firstLine="0"/>
        <w:jc w:val="center"/>
      </w:pPr>
      <w:r>
        <w:drawing>
          <wp:inline xmlns:a="http://schemas.openxmlformats.org/drawingml/2006/main" xmlns:pic="http://schemas.openxmlformats.org/drawingml/2006/picture">
            <wp:extent cx="5580000" cy="4392452"/>
            <wp:docPr id="4" name="Picture 4"/>
            <wp:cNvGraphicFramePr>
              <a:graphicFrameLocks noChangeAspect="1"/>
            </wp:cNvGraphicFramePr>
            <a:graphic>
              <a:graphicData uri="http://schemas.openxmlformats.org/drawingml/2006/picture">
                <pic:pic>
                  <pic:nvPicPr>
                    <pic:cNvPr id="0" name="21_mission_1_9.png"/>
                    <pic:cNvPicPr/>
                  </pic:nvPicPr>
                  <pic:blipFill>
                    <a:blip r:embed="rId12"/>
                    <a:stretch>
                      <a:fillRect/>
                    </a:stretch>
                  </pic:blipFill>
                  <pic:spPr>
                    <a:xfrm>
                      <a:off x="0" y="0"/>
                      <a:ext cx="5580000" cy="4392452"/>
                    </a:xfrm>
                    <a:prstGeom prst="rect"/>
                  </pic:spPr>
                </pic:pic>
              </a:graphicData>
            </a:graphic>
          </wp:inline>
        </w:drawing>
      </w:r>
    </w:p>
    <w:p>
      <w:pPr>
        <w:spacing w:after="120"/>
        <w:ind w:firstLine="0"/>
        <w:jc w:val="center"/>
      </w:pPr>
      <w:r>
        <w:rPr>
          <w:rFonts w:ascii="Times New Roman" w:hAnsi="Times New Roman" w:eastAsia="Times New Roman"/>
          <w:i/>
          <w:sz w:val="24"/>
        </w:rPr>
        <w:t>Рисунок 4 — Траектории БПЛА и заданные целевые области в базовом эксперименте</w:t>
      </w:r>
    </w:p>
    <w:p>
      <w:pPr>
        <w:spacing w:before="120" w:after="40"/>
        <w:ind w:firstLine="0"/>
        <w:jc w:val="center"/>
      </w:pPr>
      <w:r>
        <w:drawing>
          <wp:inline xmlns:a="http://schemas.openxmlformats.org/drawingml/2006/main" xmlns:pic="http://schemas.openxmlformats.org/drawingml/2006/picture">
            <wp:extent cx="5580000" cy="2365435"/>
            <wp:docPr id="5" name="Picture 5"/>
            <wp:cNvGraphicFramePr>
              <a:graphicFrameLocks noChangeAspect="1"/>
            </wp:cNvGraphicFramePr>
            <a:graphic>
              <a:graphicData uri="http://schemas.openxmlformats.org/drawingml/2006/picture">
                <pic:pic>
                  <pic:nvPicPr>
                    <pic:cNvPr id="0" name="22_density_1_9.png"/>
                    <pic:cNvPicPr/>
                  </pic:nvPicPr>
                  <pic:blipFill>
                    <a:blip r:embed="rId13"/>
                    <a:stretch>
                      <a:fillRect/>
                    </a:stretch>
                  </pic:blipFill>
                  <pic:spPr>
                    <a:xfrm>
                      <a:off x="0" y="0"/>
                      <a:ext cx="5580000" cy="2365435"/>
                    </a:xfrm>
                    <a:prstGeom prst="rect"/>
                  </pic:spPr>
                </pic:pic>
              </a:graphicData>
            </a:graphic>
          </wp:inline>
        </w:drawing>
      </w:r>
    </w:p>
    <w:p>
      <w:pPr>
        <w:spacing w:after="120"/>
        <w:ind w:firstLine="0"/>
        <w:jc w:val="center"/>
      </w:pPr>
      <w:r>
        <w:rPr>
          <w:rFonts w:ascii="Times New Roman" w:hAnsi="Times New Roman" w:eastAsia="Times New Roman"/>
          <w:i/>
          <w:sz w:val="24"/>
        </w:rPr>
        <w:t>Рисунок 5 — Сравнение заданной и полученной плотности</w:t>
      </w:r>
    </w:p>
    <w:p>
      <w:pPr>
        <w:jc w:val="both"/>
      </w:pPr>
      <w:r>
        <w:rPr>
          <w:rFonts w:ascii="Times New Roman" w:hAnsi="Times New Roman" w:eastAsia="Times New Roman"/>
          <w:i w:val="0"/>
          <w:sz w:val="28"/>
        </w:rPr>
        <w:t>Качество дискретного распределения оценивалось средней ошибкой</w:t>
      </w:r>
    </w:p>
    <w:p>
      <w:pPr>
        <w:spacing w:before="60" w:after="60"/>
        <w:ind w:firstLine="0"/>
        <w:jc w:val="center"/>
      </w:pPr>
      <w:r>
        <w:rPr>
          <w:rFonts w:ascii="Times New Roman" w:hAnsi="Times New Roman" w:eastAsia="Times New Roman"/>
          <w:i/>
          <w:sz w:val="26"/>
        </w:rPr>
        <w:t>Ep = 1/N Σ ||pi-sπ(i)||.</w:t>
      </w:r>
    </w:p>
    <w:p>
      <w:pPr>
        <w:jc w:val="both"/>
      </w:pPr>
      <w:r>
        <w:rPr>
          <w:rFonts w:ascii="Times New Roman" w:hAnsi="Times New Roman" w:eastAsia="Times New Roman"/>
          <w:i w:val="0"/>
          <w:sz w:val="28"/>
        </w:rPr>
        <w:t>Для распределения использовалась также средняя абсолютная ошибка плотности</w:t>
      </w:r>
    </w:p>
    <w:p>
      <w:pPr>
        <w:spacing w:before="60" w:after="60"/>
        <w:ind w:firstLine="0"/>
        <w:jc w:val="center"/>
      </w:pPr>
      <w:r>
        <w:rPr>
          <w:rFonts w:ascii="Times New Roman" w:hAnsi="Times New Roman" w:eastAsia="Times New Roman"/>
          <w:i/>
          <w:sz w:val="26"/>
        </w:rPr>
        <w:t>MAEρ = 1/M Σ |ρj-ρdj|,</w:t>
      </w:r>
    </w:p>
    <w:p>
      <w:pPr>
        <w:jc w:val="both"/>
      </w:pPr>
      <w:r>
        <w:rPr>
          <w:rFonts w:ascii="Times New Roman" w:hAnsi="Times New Roman" w:eastAsia="Times New Roman"/>
          <w:i w:val="0"/>
          <w:sz w:val="28"/>
        </w:rPr>
        <w:t>где M — число ячеек сетки.</w:t>
      </w:r>
    </w:p>
    <w:p>
      <w:pPr>
        <w:jc w:val="both"/>
      </w:pPr>
      <w:r>
        <w:rPr>
          <w:rFonts w:ascii="Times New Roman" w:hAnsi="Times New Roman" w:eastAsia="Times New Roman"/>
          <w:i w:val="0"/>
          <w:sz w:val="28"/>
        </w:rPr>
        <w:t>Безопасность в симуляции дополнительно характеризовалась величиной</w:t>
      </w:r>
    </w:p>
    <w:p>
      <w:pPr>
        <w:spacing w:before="60" w:after="60"/>
        <w:ind w:firstLine="0"/>
        <w:jc w:val="center"/>
      </w:pPr>
      <w:r>
        <w:rPr>
          <w:rFonts w:ascii="Times New Roman" w:hAnsi="Times New Roman" w:eastAsia="Times New Roman"/>
          <w:i/>
          <w:sz w:val="26"/>
        </w:rPr>
        <w:t>dmin(t)=min(i≠j)||pi(t)-pj(t)||.</w:t>
      </w:r>
    </w:p>
    <w:p>
      <w:pPr>
        <w:pStyle w:val="Heading1"/>
        <w:jc w:val="left"/>
      </w:pPr>
      <w:r>
        <w:rPr>
          <w:rFonts w:ascii="Times New Roman" w:hAnsi="Times New Roman" w:eastAsia="Times New Roman"/>
          <w:i w:val="0"/>
          <w:sz w:val="28"/>
        </w:rPr>
        <w:t>8. Результаты</w:t>
      </w:r>
    </w:p>
    <w:p>
      <w:pPr>
        <w:jc w:val="both"/>
      </w:pPr>
      <w:r>
        <w:rPr>
          <w:rFonts w:ascii="Times New Roman" w:hAnsi="Times New Roman" w:eastAsia="Times New Roman"/>
          <w:i w:val="0"/>
          <w:sz w:val="28"/>
        </w:rPr>
        <w:t>По завершении базового эксперимента система получила требуемое распределение: в области A находился 1 аппарат, в области B — 9 аппаратов. Средняя ошибка относительно назначенных позиций составила 1,93 м. Девять из десяти аппаратов завершили горизонтальный этап не далее 2 м от назначенной позиции. Минимальная за горизонтальный этап межбортовая дистанция составила 2,5003 м, а на записанных шагах не было зафиксировано пар, находившихся ближе заданного порога 2,5 м. Итоговая MAE плотности составила 2,37·10⁻⁴.</w:t>
      </w:r>
    </w:p>
    <w:p>
      <w:pPr>
        <w:jc w:val="both"/>
      </w:pPr>
      <w:r>
        <w:rPr>
          <w:rFonts w:ascii="Times New Roman" w:hAnsi="Times New Roman" w:eastAsia="Times New Roman"/>
          <w:i w:val="0"/>
          <w:sz w:val="28"/>
        </w:rPr>
        <w:t>Среднее вычислительное время полного расчёта одного шага для 10 БПЛА составило около 7,2 мс. В эту величину входят построение текущей плотности, получение поля, назначенный дискретный корректирующий слой, обход препятствий и межбортовое разведение.</w:t>
      </w:r>
    </w:p>
    <w:p>
      <w:pPr>
        <w:spacing w:before="120" w:after="40"/>
        <w:ind w:firstLine="0"/>
        <w:jc w:val="center"/>
      </w:pPr>
      <w:r>
        <w:drawing>
          <wp:inline xmlns:a="http://schemas.openxmlformats.org/drawingml/2006/main" xmlns:pic="http://schemas.openxmlformats.org/drawingml/2006/picture">
            <wp:extent cx="5580000" cy="3518885"/>
            <wp:docPr id="6" name="Picture 6"/>
            <wp:cNvGraphicFramePr>
              <a:graphicFrameLocks noChangeAspect="1"/>
            </wp:cNvGraphicFramePr>
            <a:graphic>
              <a:graphicData uri="http://schemas.openxmlformats.org/drawingml/2006/picture">
                <pic:pic>
                  <pic:nvPicPr>
                    <pic:cNvPr id="0" name="23_convergence_1_9.png"/>
                    <pic:cNvPicPr/>
                  </pic:nvPicPr>
                  <pic:blipFill>
                    <a:blip r:embed="rId14"/>
                    <a:stretch>
                      <a:fillRect/>
                    </a:stretch>
                  </pic:blipFill>
                  <pic:spPr>
                    <a:xfrm>
                      <a:off x="0" y="0"/>
                      <a:ext cx="5580000" cy="3518885"/>
                    </a:xfrm>
                    <a:prstGeom prst="rect"/>
                  </pic:spPr>
                </pic:pic>
              </a:graphicData>
            </a:graphic>
          </wp:inline>
        </w:drawing>
      </w:r>
    </w:p>
    <w:p>
      <w:pPr>
        <w:spacing w:after="120"/>
        <w:ind w:firstLine="0"/>
        <w:jc w:val="center"/>
      </w:pPr>
      <w:r>
        <w:rPr>
          <w:rFonts w:ascii="Times New Roman" w:hAnsi="Times New Roman" w:eastAsia="Times New Roman"/>
          <w:i/>
          <w:sz w:val="24"/>
        </w:rPr>
        <w:t>Рисунок 6 — Сходимость группы к целевому распределению</w:t>
      </w:r>
    </w:p>
    <w:p>
      <w:pPr>
        <w:spacing w:before="120" w:after="40"/>
        <w:ind w:firstLine="0"/>
        <w:jc w:val="center"/>
      </w:pPr>
      <w:r>
        <w:drawing>
          <wp:inline xmlns:a="http://schemas.openxmlformats.org/drawingml/2006/main" xmlns:pic="http://schemas.openxmlformats.org/drawingml/2006/picture">
            <wp:extent cx="5580000" cy="3362980"/>
            <wp:docPr id="7" name="Picture 7"/>
            <wp:cNvGraphicFramePr>
              <a:graphicFrameLocks noChangeAspect="1"/>
            </wp:cNvGraphicFramePr>
            <a:graphic>
              <a:graphicData uri="http://schemas.openxmlformats.org/drawingml/2006/picture">
                <pic:pic>
                  <pic:nvPicPr>
                    <pic:cNvPr id="0" name="24_separation_1_9.png"/>
                    <pic:cNvPicPr/>
                  </pic:nvPicPr>
                  <pic:blipFill>
                    <a:blip r:embed="rId15"/>
                    <a:stretch>
                      <a:fillRect/>
                    </a:stretch>
                  </pic:blipFill>
                  <pic:spPr>
                    <a:xfrm>
                      <a:off x="0" y="0"/>
                      <a:ext cx="5580000" cy="3362980"/>
                    </a:xfrm>
                    <a:prstGeom prst="rect"/>
                  </pic:spPr>
                </pic:pic>
              </a:graphicData>
            </a:graphic>
          </wp:inline>
        </w:drawing>
      </w:r>
    </w:p>
    <w:p>
      <w:pPr>
        <w:spacing w:after="120"/>
        <w:ind w:firstLine="0"/>
        <w:jc w:val="center"/>
      </w:pPr>
      <w:r>
        <w:rPr>
          <w:rFonts w:ascii="Times New Roman" w:hAnsi="Times New Roman" w:eastAsia="Times New Roman"/>
          <w:i/>
          <w:sz w:val="24"/>
        </w:rPr>
        <w:t>Рисунок 7 — Минимальная межбортовая дистанция на горизонтальном этапе</w:t>
      </w:r>
    </w:p>
    <w:p>
      <w:pPr>
        <w:spacing w:before="120" w:after="40"/>
        <w:ind w:firstLine="0"/>
        <w:jc w:val="center"/>
      </w:pPr>
      <w:r>
        <w:drawing>
          <wp:inline xmlns:a="http://schemas.openxmlformats.org/drawingml/2006/main" xmlns:pic="http://schemas.openxmlformats.org/drawingml/2006/picture">
            <wp:extent cx="5580000" cy="3204097"/>
            <wp:docPr id="8" name="Picture 8"/>
            <wp:cNvGraphicFramePr>
              <a:graphicFrameLocks noChangeAspect="1"/>
            </wp:cNvGraphicFramePr>
            <a:graphic>
              <a:graphicData uri="http://schemas.openxmlformats.org/drawingml/2006/picture">
                <pic:pic>
                  <pic:nvPicPr>
                    <pic:cNvPr id="0" name="26_uav1_velocity_commands.png"/>
                    <pic:cNvPicPr/>
                  </pic:nvPicPr>
                  <pic:blipFill>
                    <a:blip r:embed="rId16"/>
                    <a:stretch>
                      <a:fillRect/>
                    </a:stretch>
                  </pic:blipFill>
                  <pic:spPr>
                    <a:xfrm>
                      <a:off x="0" y="0"/>
                      <a:ext cx="5580000" cy="3204097"/>
                    </a:xfrm>
                    <a:prstGeom prst="rect"/>
                  </pic:spPr>
                </pic:pic>
              </a:graphicData>
            </a:graphic>
          </wp:inline>
        </w:drawing>
      </w:r>
    </w:p>
    <w:p>
      <w:pPr>
        <w:spacing w:after="120"/>
        <w:ind w:firstLine="0"/>
        <w:jc w:val="center"/>
      </w:pPr>
      <w:r>
        <w:rPr>
          <w:rFonts w:ascii="Times New Roman" w:hAnsi="Times New Roman" w:eastAsia="Times New Roman"/>
          <w:i/>
          <w:sz w:val="24"/>
        </w:rPr>
        <w:t>Рисунок 8 — Пример индивидуальных команд скорости для БПЛА №1</w:t>
      </w:r>
    </w:p>
    <w:p>
      <w:pPr>
        <w:pStyle w:val="Heading2"/>
      </w:pPr>
      <w:r>
        <w:rPr>
          <w:rFonts w:ascii="Times New Roman" w:hAnsi="Times New Roman" w:eastAsia="Times New Roman"/>
          <w:i w:val="0"/>
          <w:sz w:val="28"/>
        </w:rPr>
        <w:t>8.1. Сравнение способов управления</w:t>
      </w:r>
    </w:p>
    <w:p>
      <w:pPr>
        <w:jc w:val="both"/>
      </w:pPr>
      <w:r>
        <w:rPr>
          <w:rFonts w:ascii="Times New Roman" w:hAnsi="Times New Roman" w:eastAsia="Times New Roman"/>
          <w:i w:val="0"/>
          <w:sz w:val="28"/>
        </w:rPr>
        <w:t>На одной и той же задаче сравнивались математический эталон, чистая U-Net, гибрид 70/30 и leader–follower.</w:t>
      </w:r>
    </w:p>
    <w:p>
      <w:pPr>
        <w:spacing w:before="60" w:after="60"/>
        <w:ind w:firstLine="0"/>
        <w:jc w:val="center"/>
      </w:pPr>
      <w:r>
        <w:rPr>
          <w:rFonts w:ascii="Times New Roman" w:hAnsi="Times New Roman" w:eastAsia="Times New Roman"/>
          <w:i/>
          <w:sz w:val="26"/>
        </w:rPr>
        <w:t>Таблица 2 — Сравнение контроллеров</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94"/>
            <w:shd w:fill="E7E6E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Режим</w:t>
            </w:r>
          </w:p>
        </w:tc>
        <w:tc>
          <w:tcPr>
            <w:tcW w:type="dxa" w:w="1994"/>
            <w:shd w:fill="E7E6E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Средняя итоговая ошибка, м</w:t>
            </w:r>
          </w:p>
        </w:tc>
        <w:tc>
          <w:tcPr>
            <w:tcW w:type="dxa" w:w="1994"/>
            <w:shd w:fill="E7E6E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MAE плотности</w:t>
            </w:r>
          </w:p>
        </w:tc>
        <w:tc>
          <w:tcPr>
            <w:tcW w:type="dxa" w:w="1994"/>
            <w:shd w:fill="E7E6E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Минимальная дистанция, м</w:t>
            </w:r>
          </w:p>
        </w:tc>
        <w:tc>
          <w:tcPr>
            <w:tcW w:type="dxa" w:w="1994"/>
            <w:shd w:fill="E7E6E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Среднее время шага, мс</w:t>
            </w:r>
          </w:p>
        </w:tc>
      </w:tr>
      <w:tr>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Density: математический эталон</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1,046</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2,12·10⁻⁴</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2,501</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1,68</w:t>
            </w:r>
          </w:p>
        </w:tc>
      </w:tr>
      <w:tr>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Density: нейросеть</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4,681</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3,05·10⁻⁴</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2,500</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6,40</w:t>
            </w:r>
          </w:p>
        </w:tc>
      </w:tr>
      <w:tr>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Density: гибрид 70/30</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1,927</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2,37·10⁻⁴</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2,500</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6,27</w:t>
            </w:r>
          </w:p>
        </w:tc>
      </w:tr>
      <w:tr>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Leader–Follower</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10,575</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5,19·10⁻⁴</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2,017</w:t>
            </w:r>
          </w:p>
        </w:tc>
        <w:tc>
          <w:tcPr>
            <w:tcW w:type="dxa" w:w="1994"/>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0,55</w:t>
            </w:r>
          </w:p>
        </w:tc>
      </w:tr>
    </w:tbl>
    <w:p>
      <w:pPr>
        <w:spacing w:after="0"/>
      </w:pPr>
    </w:p>
    <w:p>
      <w:pPr>
        <w:jc w:val="both"/>
      </w:pPr>
      <w:r>
        <w:rPr>
          <w:rFonts w:ascii="Times New Roman" w:hAnsi="Times New Roman" w:eastAsia="Times New Roman"/>
          <w:i w:val="0"/>
          <w:sz w:val="28"/>
        </w:rPr>
        <w:t>Полученный результат показывает, что на текущем наборе обучения чистая нейросеть не воспроизводит математический контроллер с достаточной точностью, чтобы превзойти эталон. Это важный результат работы: применение нейронной сети само по себе не гарантирует улучшение. Гибридный режим уменьшает ошибку относительно чистой нейросети, однако математический эталон в данном эксперименте остаётся наиболее точным. Следовательно, дальнейшая работа с нейросетевой частью должна быть направлена на расширение обучающей выборки и улучшение функции потерь, а не на утверждение о безусловном преимуществе нейросети.</w:t>
      </w:r>
    </w:p>
    <w:p>
      <w:pPr>
        <w:jc w:val="both"/>
      </w:pPr>
      <w:r>
        <w:rPr>
          <w:rFonts w:ascii="Times New Roman" w:hAnsi="Times New Roman" w:eastAsia="Times New Roman"/>
          <w:i w:val="0"/>
          <w:sz w:val="28"/>
        </w:rPr>
        <w:t>Leader–follower оказался менее подходящим именно для сценария, где группа должна разделиться между двумя удалёнными областями. Это объясняется тем, что такой режим ориентирован на сохранение относительной структуры вокруг лидера, тогда как density control непосредственно задаёт конечное распределение.</w:t>
      </w:r>
    </w:p>
    <w:p>
      <w:pPr>
        <w:spacing w:before="120" w:after="40"/>
        <w:ind w:firstLine="0"/>
        <w:jc w:val="center"/>
      </w:pPr>
      <w:r>
        <w:drawing>
          <wp:inline xmlns:a="http://schemas.openxmlformats.org/drawingml/2006/main" xmlns:pic="http://schemas.openxmlformats.org/drawingml/2006/picture">
            <wp:extent cx="5580000" cy="3168847"/>
            <wp:docPr id="9" name="Picture 9"/>
            <wp:cNvGraphicFramePr>
              <a:graphicFrameLocks noChangeAspect="1"/>
            </wp:cNvGraphicFramePr>
            <a:graphic>
              <a:graphicData uri="http://schemas.openxmlformats.org/drawingml/2006/picture">
                <pic:pic>
                  <pic:nvPicPr>
                    <pic:cNvPr id="0" name="27_controller_comparison.png"/>
                    <pic:cNvPicPr/>
                  </pic:nvPicPr>
                  <pic:blipFill>
                    <a:blip r:embed="rId17"/>
                    <a:stretch>
                      <a:fillRect/>
                    </a:stretch>
                  </pic:blipFill>
                  <pic:spPr>
                    <a:xfrm>
                      <a:off x="0" y="0"/>
                      <a:ext cx="5580000" cy="3168847"/>
                    </a:xfrm>
                    <a:prstGeom prst="rect"/>
                  </pic:spPr>
                </pic:pic>
              </a:graphicData>
            </a:graphic>
          </wp:inline>
        </w:drawing>
      </w:r>
    </w:p>
    <w:p>
      <w:pPr>
        <w:spacing w:after="120"/>
        <w:ind w:firstLine="0"/>
        <w:jc w:val="center"/>
      </w:pPr>
      <w:r>
        <w:rPr>
          <w:rFonts w:ascii="Times New Roman" w:hAnsi="Times New Roman" w:eastAsia="Times New Roman"/>
          <w:i/>
          <w:sz w:val="24"/>
        </w:rPr>
        <w:t>Рисунок 9 — Сравнение итоговой ошибки разных способов группового управления</w:t>
      </w:r>
    </w:p>
    <w:p>
      <w:pPr>
        <w:pStyle w:val="Heading2"/>
      </w:pPr>
      <w:r>
        <w:rPr>
          <w:rFonts w:ascii="Times New Roman" w:hAnsi="Times New Roman" w:eastAsia="Times New Roman"/>
          <w:i w:val="0"/>
          <w:sz w:val="28"/>
        </w:rPr>
        <w:t>8.2. Масштабируемость в диапазоне 1–100 БПЛА</w:t>
      </w:r>
    </w:p>
    <w:p>
      <w:pPr>
        <w:jc w:val="both"/>
      </w:pPr>
      <w:r>
        <w:rPr>
          <w:rFonts w:ascii="Times New Roman" w:hAnsi="Times New Roman" w:eastAsia="Times New Roman"/>
          <w:i w:val="0"/>
          <w:sz w:val="28"/>
        </w:rPr>
        <w:t>После замечания о необходимости сначала рассматривать небольшие реальные группы масштабируемость оценивалась не для миллионов виртуальных агентов, а для 5, 10, 20, 50 и 100 дискретных БПЛА. Для каждого значения выполнялся короткий одинаковый вычислительный benchmark из 30 горизонтальных шагов. Оценивалось именно время вычисления контроллера; короткий горизонт не предназначен для оценки конечной точности распределения.</w:t>
      </w:r>
    </w:p>
    <w:p>
      <w:pPr>
        <w:spacing w:before="60" w:after="60"/>
        <w:ind w:firstLine="0"/>
        <w:jc w:val="center"/>
      </w:pPr>
      <w:r>
        <w:rPr>
          <w:rFonts w:ascii="Times New Roman" w:hAnsi="Times New Roman" w:eastAsia="Times New Roman"/>
          <w:i/>
          <w:sz w:val="26"/>
        </w:rPr>
        <w:t>Таблица 3 — Время расчёта одного шага</w:t>
      </w:r>
    </w:p>
    <w:tbl>
      <w:tblPr>
        <w:tblStyle w:val="TableGrid"/>
        <w:tblW w:type="auto" w:w="0"/>
        <w:tblLayout w:type="autofit"/>
        <w:tblLook w:firstColumn="1" w:firstRow="1" w:lastColumn="0" w:lastRow="0" w:noHBand="0" w:noVBand="1" w:val="04A0"/>
      </w:tblPr>
      <w:tblGrid>
        <w:gridCol w:w="4986"/>
        <w:gridCol w:w="4986"/>
      </w:tblGrid>
      <w:tr>
        <w:trPr>
          <w:tblHeader w:val="true"/>
        </w:trPr>
        <w:tc>
          <w:tcPr>
            <w:tcW w:type="dxa" w:w="4986"/>
            <w:shd w:fill="E7E6E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Количество БПЛА</w:t>
            </w:r>
          </w:p>
        </w:tc>
        <w:tc>
          <w:tcPr>
            <w:tcW w:type="dxa" w:w="4986"/>
            <w:shd w:fill="E7E6E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Среднее время шага, мс</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5</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6,03</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10</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6,74</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20</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7,62</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50</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8,97</w:t>
            </w:r>
          </w:p>
        </w:tc>
      </w:tr>
      <w:tr>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100</w:t>
            </w:r>
          </w:p>
        </w:tc>
        <w:tc>
          <w:tcPr>
            <w:tcW w:type="dxa" w:w="4986"/>
            <w:tcMar>
              <w:top w:w="80" w:type="dxa"/>
              <w:start w:w="80" w:type="dxa"/>
              <w:bottom w:w="80" w:type="dxa"/>
              <w:end w:w="80" w:type="dxa"/>
            </w:tcMar>
          </w:tcPr>
          <w:p>
            <w:pPr>
              <w:spacing w:line="240" w:lineRule="auto"/>
              <w:ind w:firstLine="0"/>
            </w:pPr>
            <w:r>
              <w:rPr>
                <w:rFonts w:ascii="Times New Roman" w:hAnsi="Times New Roman" w:eastAsia="Times New Roman"/>
                <w:b w:val="0"/>
                <w:i w:val="0"/>
                <w:sz w:val="20"/>
              </w:rPr>
              <w:t>14,76</w:t>
            </w:r>
          </w:p>
        </w:tc>
      </w:tr>
    </w:tbl>
    <w:p>
      <w:pPr>
        <w:spacing w:after="0"/>
      </w:pPr>
    </w:p>
    <w:p>
      <w:pPr>
        <w:jc w:val="both"/>
      </w:pPr>
      <w:r>
        <w:rPr>
          <w:rFonts w:ascii="Times New Roman" w:hAnsi="Times New Roman" w:eastAsia="Times New Roman"/>
          <w:i w:val="0"/>
          <w:sz w:val="28"/>
        </w:rPr>
        <w:t>Рост времени связан прежде всего с дискретным safety layer, которому необходимо учитывать взаимное положение аппаратов. После векторизации вычислений даже для 100 виртуальных БПЛА среднее время шага в проведённом benchmark осталось менее 15 мс на использованной вычислительной системе. Эти значения характеризуют программный эксперимент и не включают задержки радиоканала, автопилота и реальной телеметрии.</w:t>
      </w:r>
    </w:p>
    <w:p>
      <w:pPr>
        <w:spacing w:before="120" w:after="40"/>
        <w:ind w:firstLine="0"/>
        <w:jc w:val="center"/>
      </w:pPr>
      <w:r>
        <w:drawing>
          <wp:inline xmlns:a="http://schemas.openxmlformats.org/drawingml/2006/main" xmlns:pic="http://schemas.openxmlformats.org/drawingml/2006/picture">
            <wp:extent cx="5580000" cy="3443935"/>
            <wp:docPr id="10" name="Picture 10"/>
            <wp:cNvGraphicFramePr>
              <a:graphicFrameLocks noChangeAspect="1"/>
            </wp:cNvGraphicFramePr>
            <a:graphic>
              <a:graphicData uri="http://schemas.openxmlformats.org/drawingml/2006/picture">
                <pic:pic>
                  <pic:nvPicPr>
                    <pic:cNvPr id="0" name="28_scalability_1_100.png"/>
                    <pic:cNvPicPr/>
                  </pic:nvPicPr>
                  <pic:blipFill>
                    <a:blip r:embed="rId18"/>
                    <a:stretch>
                      <a:fillRect/>
                    </a:stretch>
                  </pic:blipFill>
                  <pic:spPr>
                    <a:xfrm>
                      <a:off x="0" y="0"/>
                      <a:ext cx="5580000" cy="3443935"/>
                    </a:xfrm>
                    <a:prstGeom prst="rect"/>
                  </pic:spPr>
                </pic:pic>
              </a:graphicData>
            </a:graphic>
          </wp:inline>
        </w:drawing>
      </w:r>
    </w:p>
    <w:p>
      <w:pPr>
        <w:spacing w:after="120"/>
        <w:ind w:firstLine="0"/>
        <w:jc w:val="center"/>
      </w:pPr>
      <w:r>
        <w:rPr>
          <w:rFonts w:ascii="Times New Roman" w:hAnsi="Times New Roman" w:eastAsia="Times New Roman"/>
          <w:i/>
          <w:sz w:val="24"/>
        </w:rPr>
        <w:t>Рисунок 10 — Масштабируемость дискретного контроллера для 5–100 БПЛА</w:t>
      </w:r>
    </w:p>
    <w:p>
      <w:pPr>
        <w:pStyle w:val="Heading2"/>
      </w:pPr>
      <w:r>
        <w:rPr>
          <w:rFonts w:ascii="Times New Roman" w:hAnsi="Times New Roman" w:eastAsia="Times New Roman"/>
          <w:i w:val="0"/>
          <w:sz w:val="28"/>
        </w:rPr>
        <w:t>8.3. Возмущения положения</w:t>
      </w:r>
    </w:p>
    <w:p>
      <w:pPr>
        <w:jc w:val="both"/>
      </w:pPr>
      <w:r>
        <w:rPr>
          <w:rFonts w:ascii="Times New Roman" w:hAnsi="Times New Roman" w:eastAsia="Times New Roman"/>
          <w:i w:val="0"/>
          <w:sz w:val="28"/>
        </w:rPr>
        <w:t>Для проверки устойчивости в координаты аппаратов после каждого шага добавлялась случайная ошибка с заданным стандартным отклонением. При σ=0,05 м итоговая ошибка назначения составила 1,78 м, при σ=0,12 м — 1,90 м. Эти значения близки к результату без шума 1,93 м; небольшая немонотонность связана с конкретной фиксированной реализацией случайного процесса. При увеличении σ до 0,25 м ошибка выросла до 9,93 м, а минимальная межбортовая дистанция снизилась до 1,56 м. Следовательно, простой локальный safety layer устойчив к малым отклонениям, но не обеспечивает гарантированную безопасность при крупных возмущениях.</w:t>
      </w:r>
    </w:p>
    <w:p>
      <w:pPr>
        <w:spacing w:before="120" w:after="40"/>
        <w:ind w:firstLine="0"/>
        <w:jc w:val="center"/>
      </w:pPr>
      <w:r>
        <w:drawing>
          <wp:inline xmlns:a="http://schemas.openxmlformats.org/drawingml/2006/main" xmlns:pic="http://schemas.openxmlformats.org/drawingml/2006/picture">
            <wp:extent cx="5580000" cy="3365238"/>
            <wp:docPr id="11" name="Picture 11"/>
            <wp:cNvGraphicFramePr>
              <a:graphicFrameLocks noChangeAspect="1"/>
            </wp:cNvGraphicFramePr>
            <a:graphic>
              <a:graphicData uri="http://schemas.openxmlformats.org/drawingml/2006/picture">
                <pic:pic>
                  <pic:nvPicPr>
                    <pic:cNvPr id="0" name="29_noise_robustness_fleet.png"/>
                    <pic:cNvPicPr/>
                  </pic:nvPicPr>
                  <pic:blipFill>
                    <a:blip r:embed="rId19"/>
                    <a:stretch>
                      <a:fillRect/>
                    </a:stretch>
                  </pic:blipFill>
                  <pic:spPr>
                    <a:xfrm>
                      <a:off x="0" y="0"/>
                      <a:ext cx="5580000" cy="3365238"/>
                    </a:xfrm>
                    <a:prstGeom prst="rect"/>
                  </pic:spPr>
                </pic:pic>
              </a:graphicData>
            </a:graphic>
          </wp:inline>
        </w:drawing>
      </w:r>
    </w:p>
    <w:p>
      <w:pPr>
        <w:spacing w:after="120"/>
        <w:ind w:firstLine="0"/>
        <w:jc w:val="center"/>
      </w:pPr>
      <w:r>
        <w:rPr>
          <w:rFonts w:ascii="Times New Roman" w:hAnsi="Times New Roman" w:eastAsia="Times New Roman"/>
          <w:i/>
          <w:sz w:val="24"/>
        </w:rPr>
        <w:t>Рисунок 11 — Влияние случайной ошибки положения на итоговую точность</w:t>
      </w:r>
    </w:p>
    <w:p>
      <w:pPr>
        <w:pStyle w:val="Heading1"/>
        <w:jc w:val="left"/>
      </w:pPr>
      <w:r>
        <w:rPr>
          <w:rFonts w:ascii="Times New Roman" w:hAnsi="Times New Roman" w:eastAsia="Times New Roman"/>
          <w:i w:val="0"/>
          <w:sz w:val="28"/>
        </w:rPr>
        <w:t>9. Обсуждение и ограничения</w:t>
      </w:r>
    </w:p>
    <w:p>
      <w:pPr>
        <w:jc w:val="both"/>
      </w:pPr>
      <w:r>
        <w:rPr>
          <w:rFonts w:ascii="Times New Roman" w:hAnsi="Times New Roman" w:eastAsia="Times New Roman"/>
          <w:i w:val="0"/>
          <w:sz w:val="28"/>
        </w:rPr>
        <w:t>Проведённая работа позволяет связать континуальную модель с конкретной схемой управления отдельными БПЛА, однако полученный прототип имеет несколько существенных ограничений.</w:t>
      </w:r>
    </w:p>
    <w:p>
      <w:pPr>
        <w:jc w:val="both"/>
      </w:pPr>
      <w:r>
        <w:rPr>
          <w:rFonts w:ascii="Times New Roman" w:hAnsi="Times New Roman" w:eastAsia="Times New Roman"/>
          <w:i w:val="0"/>
          <w:sz w:val="28"/>
        </w:rPr>
        <w:t>Во-первых, исследуется двумерная постановка. Препятствие считается запрещённой областью на всей рабочей высоте, хотя в реальной трёхмерной среде его можно было бы облететь сверху или снизу. Для перехода к 3D необходимо заменить ρ(x,y,t) на ρ(x,y,z,t), а двумерное поле — на трёхкомпонентное.</w:t>
      </w:r>
    </w:p>
    <w:p>
      <w:pPr>
        <w:jc w:val="both"/>
      </w:pPr>
      <w:r>
        <w:rPr>
          <w:rFonts w:ascii="Times New Roman" w:hAnsi="Times New Roman" w:eastAsia="Times New Roman"/>
          <w:i w:val="0"/>
          <w:sz w:val="28"/>
        </w:rPr>
        <w:t>Во-вторых, практический модуль ориентирован на мультироторные аппараты. Квадрокоптер способен зависнуть и непосредственно выполнять команды горизонтальной скорости. Для БПЛА самолётного типа требуется учитывать минимальную скорость, курс, радиус разворота, ограничения угла крена и невозможность остановки в точке. Поэтому непосредственное применение разработанного нижнего слоя к самолётному БПЛА некорректно без отдельной динамической модели.</w:t>
      </w:r>
    </w:p>
    <w:p>
      <w:pPr>
        <w:jc w:val="both"/>
      </w:pPr>
      <w:r>
        <w:rPr>
          <w:rFonts w:ascii="Times New Roman" w:hAnsi="Times New Roman" w:eastAsia="Times New Roman"/>
          <w:i w:val="0"/>
          <w:sz w:val="28"/>
        </w:rPr>
        <w:t>В-третьих, препятствия в текущем симуляторе имеют простую геометрию. Для реального применения необходима работа с геозонами, картой местности и динамическими препятствиями.</w:t>
      </w:r>
    </w:p>
    <w:p>
      <w:pPr>
        <w:jc w:val="both"/>
      </w:pPr>
      <w:r>
        <w:rPr>
          <w:rFonts w:ascii="Times New Roman" w:hAnsi="Times New Roman" w:eastAsia="Times New Roman"/>
          <w:i w:val="0"/>
          <w:sz w:val="28"/>
        </w:rPr>
        <w:t>В-четвёртых, локальное межбортовое разведение является эвристическим защитным слоем, а не формально доказанным collision-avoidance алгоритмом. Эксперимент с сильным шумом показывает, что при больших ошибках заданная дистанция может нарушаться. Для физического роя требуется более строгий метод, например control barrier functions, ORCA-подобное взаимное уклонение или модельно-предиктивный safety layer.</w:t>
      </w:r>
    </w:p>
    <w:p>
      <w:pPr>
        <w:jc w:val="both"/>
      </w:pPr>
      <w:r>
        <w:rPr>
          <w:rFonts w:ascii="Times New Roman" w:hAnsi="Times New Roman" w:eastAsia="Times New Roman"/>
          <w:i w:val="0"/>
          <w:sz w:val="28"/>
        </w:rPr>
        <w:t>В-пятых, реальный MAVLink-модуль разработан и программно связан с контроллером, но результаты статьи получены в симуляции. Полётные испытания на реальной группе в данную работу не включены. Следующим этапом должна быть последовательность: single-UAV SITL → multi-UAV SITL → стенд без винтов → ограниченная группа 2–3 аппаратов → постепенное увеличение N.</w:t>
      </w:r>
    </w:p>
    <w:p>
      <w:pPr>
        <w:pStyle w:val="Heading1"/>
        <w:jc w:val="left"/>
      </w:pPr>
      <w:r>
        <w:rPr>
          <w:rFonts w:ascii="Times New Roman" w:hAnsi="Times New Roman" w:eastAsia="Times New Roman"/>
          <w:i w:val="0"/>
          <w:sz w:val="28"/>
        </w:rPr>
        <w:t>Заключение</w:t>
      </w:r>
    </w:p>
    <w:p>
      <w:pPr>
        <w:jc w:val="both"/>
      </w:pPr>
      <w:r>
        <w:rPr>
          <w:rFonts w:ascii="Times New Roman" w:hAnsi="Times New Roman" w:eastAsia="Times New Roman"/>
          <w:i w:val="0"/>
          <w:sz w:val="28"/>
        </w:rPr>
        <w:t>В работе разработана система, связывающая математическое управление распределением с индивидуальными командами конечной группе мультироторных БПЛА. Оператор задаёт не траекторию каждому аппарату, а требуемое распределение группы: количество аппаратов в целевых областях, их координаты и характерный радиус. На верхнем уровне текущее состояние представляется полем плотности и рассчитывается управляющий поток. На нижнем уровне аппараты назначаются на конкретные позиции, после чего для каждого формируется собственная команда скорости с учётом препятствий и соседей.</w:t>
      </w:r>
    </w:p>
    <w:p>
      <w:pPr>
        <w:jc w:val="both"/>
      </w:pPr>
      <w:r>
        <w:rPr>
          <w:rFonts w:ascii="Times New Roman" w:hAnsi="Times New Roman" w:eastAsia="Times New Roman"/>
          <w:i w:val="0"/>
          <w:sz w:val="28"/>
        </w:rPr>
        <w:t>Важным уточнением постановки является работа именно в горизонтальной плоскости. Набор высоты и посадка отделены от основного этапа управления, поэтому математическая модель не претендует на полноценное трёхмерное управление.</w:t>
      </w:r>
    </w:p>
    <w:p>
      <w:pPr>
        <w:jc w:val="both"/>
      </w:pPr>
      <w:r>
        <w:rPr>
          <w:rFonts w:ascii="Times New Roman" w:hAnsi="Times New Roman" w:eastAsia="Times New Roman"/>
          <w:i w:val="0"/>
          <w:sz w:val="28"/>
        </w:rPr>
        <w:t>Для базового сценария из 10 БПЛА с заданием 1/9 система получила требуемое количественное распределение, среднюю ошибку 1,93 м и минимальную дистанцию 2,50 м. Сравнение показало, что математический эталон в текущей версии точнее чистой нейросети, а гибридный вариант существенно уменьшает ошибку нейросетевого режима. Это показывает необходимость дальнейшего обучения U-Net и одновременно подтверждает полезность математического эталона как контролируемого базового метода.</w:t>
      </w:r>
    </w:p>
    <w:p>
      <w:pPr>
        <w:jc w:val="both"/>
      </w:pPr>
      <w:r>
        <w:rPr>
          <w:rFonts w:ascii="Times New Roman" w:hAnsi="Times New Roman" w:eastAsia="Times New Roman"/>
          <w:i w:val="0"/>
          <w:sz w:val="28"/>
        </w:rPr>
        <w:t>Разработанный Swarm Density Control GCS объединяет симулятор 1–100 БПЛА, генерацию индивидуальных команд и отдельную вкладку подключения PX4/ArduPilot-совместимых аппаратов через MAVLink. Таким образом, результат работы представляет собой не только модель распределения, но и программный каркас для последующего перехода от вычислительного эксперимента к SITL и физической группе мультироторных БПЛА.</w:t>
      </w:r>
    </w:p>
    <w:p>
      <w:pPr>
        <w:pStyle w:val="Heading1"/>
        <w:jc w:val="left"/>
      </w:pPr>
      <w:r>
        <w:rPr>
          <w:rFonts w:ascii="Times New Roman" w:hAnsi="Times New Roman" w:eastAsia="Times New Roman"/>
          <w:i w:val="0"/>
          <w:sz w:val="28"/>
        </w:rPr>
        <w:t>Список литературы</w:t>
      </w:r>
    </w:p>
    <w:p>
      <w:pPr>
        <w:spacing w:line="240" w:lineRule="auto"/>
        <w:ind w:left="425" w:hanging="425"/>
      </w:pPr>
      <w:r>
        <w:rPr>
          <w:rFonts w:ascii="Times New Roman" w:hAnsi="Times New Roman" w:eastAsia="Times New Roman"/>
          <w:i w:val="0"/>
          <w:sz w:val="22"/>
        </w:rPr>
        <w:t>1. Lerman K., Martinoli A., Galstyan A. A Review of Probabilistic Macroscopic Models for Swarm Robotic Systems // Swarm Robotics. Lecture Notes in Computer Science. 2005. Vol. 3342. P. 143–152. DOI: 10.1007/978-3-540-30552-1_12.</w:t>
      </w:r>
    </w:p>
    <w:p>
      <w:pPr>
        <w:spacing w:line="240" w:lineRule="auto"/>
        <w:ind w:left="425" w:hanging="425"/>
      </w:pPr>
      <w:r>
        <w:rPr>
          <w:rFonts w:ascii="Times New Roman" w:hAnsi="Times New Roman" w:eastAsia="Times New Roman"/>
          <w:i w:val="0"/>
          <w:sz w:val="22"/>
        </w:rPr>
        <w:t>2. Elamvazhuthi K., Berman S. Mean-field models in swarm robotics: a survey // Bioinspiration &amp; Biomimetics. 2020. Vol. 15, No. 1. 015001. DOI: 10.1088/1748-3190/ab49a4.</w:t>
      </w:r>
    </w:p>
    <w:p>
      <w:pPr>
        <w:spacing w:line="240" w:lineRule="auto"/>
        <w:ind w:left="425" w:hanging="425"/>
      </w:pPr>
      <w:r>
        <w:rPr>
          <w:rFonts w:ascii="Times New Roman" w:hAnsi="Times New Roman" w:eastAsia="Times New Roman"/>
          <w:i w:val="0"/>
          <w:sz w:val="22"/>
        </w:rPr>
        <w:t>3. Bullo F., Cortés J., Martínez S. Distributed Control of Robotic Networks: A Mathematical Approach to Motion Coordination Algorithms. Princeton University Press, 2009.</w:t>
      </w:r>
    </w:p>
    <w:p>
      <w:pPr>
        <w:spacing w:line="240" w:lineRule="auto"/>
        <w:ind w:left="425" w:hanging="425"/>
      </w:pPr>
      <w:r>
        <w:rPr>
          <w:rFonts w:ascii="Times New Roman" w:hAnsi="Times New Roman" w:eastAsia="Times New Roman"/>
          <w:i w:val="0"/>
          <w:sz w:val="22"/>
        </w:rPr>
        <w:t>4. Mesbahi M., Egerstedt M. Graph Theoretic Methods in Multiagent Networks. Princeton University Press, 2010.</w:t>
      </w:r>
    </w:p>
    <w:p>
      <w:pPr>
        <w:spacing w:line="240" w:lineRule="auto"/>
        <w:ind w:left="425" w:hanging="425"/>
      </w:pPr>
      <w:r>
        <w:rPr>
          <w:rFonts w:ascii="Times New Roman" w:hAnsi="Times New Roman" w:eastAsia="Times New Roman"/>
          <w:i w:val="0"/>
          <w:sz w:val="22"/>
        </w:rPr>
        <w:t>5. Olfati-Saber R., Fax J. A., Murray R. M. Consensus and Cooperation in Networked Multi-Agent Systems // Proceedings of the IEEE. 2007. Vol. 95, No. 1. P. 215–233. DOI: 10.1109/JPROC.2006.887293.</w:t>
      </w:r>
    </w:p>
    <w:p>
      <w:pPr>
        <w:spacing w:line="240" w:lineRule="auto"/>
        <w:ind w:left="425" w:hanging="425"/>
      </w:pPr>
      <w:r>
        <w:rPr>
          <w:rFonts w:ascii="Times New Roman" w:hAnsi="Times New Roman" w:eastAsia="Times New Roman"/>
          <w:i w:val="0"/>
          <w:sz w:val="22"/>
        </w:rPr>
        <w:t>6. LeVeque R. J. Finite Volume Methods for Hyperbolic Problems. Cambridge University Press, 2002.</w:t>
      </w:r>
    </w:p>
    <w:p>
      <w:pPr>
        <w:spacing w:line="240" w:lineRule="auto"/>
        <w:ind w:left="425" w:hanging="425"/>
      </w:pPr>
      <w:r>
        <w:rPr>
          <w:rFonts w:ascii="Times New Roman" w:hAnsi="Times New Roman" w:eastAsia="Times New Roman"/>
          <w:i w:val="0"/>
          <w:sz w:val="22"/>
        </w:rPr>
        <w:t>7. Evans L. C. Partial Differential Equations. 2nd ed. American Mathematical Society, 2010.</w:t>
      </w:r>
    </w:p>
    <w:p>
      <w:pPr>
        <w:spacing w:line="240" w:lineRule="auto"/>
        <w:ind w:left="425" w:hanging="425"/>
      </w:pPr>
      <w:r>
        <w:rPr>
          <w:rFonts w:ascii="Times New Roman" w:hAnsi="Times New Roman" w:eastAsia="Times New Roman"/>
          <w:i w:val="0"/>
          <w:sz w:val="22"/>
        </w:rPr>
        <w:t>8. Raissi M., Perdikaris P., Karniadakis G. E. Physics-informed neural networks: A deep learning framework for solving forward and inverse problems involving nonlinear partial differential equations // Journal of Computational Physics. 2019. Vol. 378. P. 686–707. DOI: 10.1016/j.jcp.2018.10.045.</w:t>
      </w:r>
    </w:p>
    <w:p>
      <w:pPr>
        <w:spacing w:line="240" w:lineRule="auto"/>
        <w:ind w:left="425" w:hanging="425"/>
      </w:pPr>
      <w:r>
        <w:rPr>
          <w:rFonts w:ascii="Times New Roman" w:hAnsi="Times New Roman" w:eastAsia="Times New Roman"/>
          <w:i w:val="0"/>
          <w:sz w:val="22"/>
        </w:rPr>
        <w:t>9. Sinigaglia C., Manzoni A., Braghin F., Berman S. Robust optimal density control of robotic swarms // Automatica. 2025. Vol. 176. Article 112218. DOI: 10.1016/j.automatica.2025.112218.</w:t>
      </w:r>
    </w:p>
    <w:p>
      <w:pPr>
        <w:spacing w:line="240" w:lineRule="auto"/>
        <w:ind w:left="425" w:hanging="425"/>
      </w:pPr>
      <w:r>
        <w:rPr>
          <w:rFonts w:ascii="Times New Roman" w:hAnsi="Times New Roman" w:eastAsia="Times New Roman"/>
          <w:i w:val="0"/>
          <w:sz w:val="22"/>
        </w:rPr>
        <w:t>10. Soria E., Schiano F., Floreano D. Predictive control of aerial swarms in cluttered environments // Nature Machine Intelligence. 2021. Vol. 3. P. 545–554. DOI: 10.1038/s42256-021-00341-y.</w:t>
      </w:r>
    </w:p>
    <w:p>
      <w:pPr>
        <w:spacing w:line="240" w:lineRule="auto"/>
        <w:ind w:left="425" w:hanging="425"/>
      </w:pPr>
      <w:r>
        <w:rPr>
          <w:rFonts w:ascii="Times New Roman" w:hAnsi="Times New Roman" w:eastAsia="Times New Roman"/>
          <w:i w:val="0"/>
          <w:sz w:val="22"/>
        </w:rPr>
        <w:t>11. Rubenstein M., Cornejo A., Nagpal R. Programmable self-assembly in a thousand-robot swarm // Science. 2014. Vol. 345, No. 6198. P. 795–799. DOI: 10.1126/science.1254295.</w:t>
      </w:r>
    </w:p>
    <w:p>
      <w:pPr>
        <w:spacing w:line="240" w:lineRule="auto"/>
        <w:ind w:left="425" w:hanging="425"/>
      </w:pPr>
      <w:r>
        <w:rPr>
          <w:rFonts w:ascii="Times New Roman" w:hAnsi="Times New Roman" w:eastAsia="Times New Roman"/>
          <w:i w:val="0"/>
          <w:sz w:val="22"/>
        </w:rPr>
        <w:t>12. Yang L., Jiang J., Gao X., Wang Q., Dou Q., Zhang L. Autonomous environment-adaptive microrobot swarm navigation enabled by deep learning-based real-time distribution planning // Nature Machine Intelligence. 2022. Vol. 4. P. 480–493. DOI: 10.1038/s42256-022-00482-8.</w:t>
      </w:r>
    </w:p>
    <w:p>
      <w:pPr>
        <w:spacing w:line="240" w:lineRule="auto"/>
        <w:ind w:left="425" w:hanging="425"/>
      </w:pPr>
      <w:r>
        <w:rPr>
          <w:rFonts w:ascii="Times New Roman" w:hAnsi="Times New Roman" w:eastAsia="Times New Roman"/>
          <w:i w:val="0"/>
          <w:sz w:val="22"/>
        </w:rPr>
        <w:t>13. MAVLink. Common Message Set: SET_POSITION_TARGET_LOCAL_NED. URL: https://mavlink.io/en/messages/common.html (дата обращения: 23.09.2026).</w:t>
      </w:r>
    </w:p>
    <w:p>
      <w:pPr>
        <w:spacing w:line="240" w:lineRule="auto"/>
        <w:ind w:left="425" w:hanging="425"/>
      </w:pPr>
      <w:r>
        <w:rPr>
          <w:rFonts w:ascii="Times New Roman" w:hAnsi="Times New Roman" w:eastAsia="Times New Roman"/>
          <w:i w:val="0"/>
          <w:sz w:val="22"/>
        </w:rPr>
        <w:t>14. PX4 Autopilot. Offboard Mode / MAVROS Offboard control. URL: https://docs.px4.io/ (дата обращения: 23.09.2026).</w:t>
      </w:r>
    </w:p>
    <w:p>
      <w:pPr>
        <w:spacing w:line="240" w:lineRule="auto"/>
        <w:ind w:left="425" w:hanging="425"/>
      </w:pPr>
      <w:r>
        <w:rPr>
          <w:rFonts w:ascii="Times New Roman" w:hAnsi="Times New Roman" w:eastAsia="Times New Roman"/>
          <w:i w:val="0"/>
          <w:sz w:val="22"/>
        </w:rPr>
        <w:t>15. ArduPilot Development Team. Companion Computers. URL: https://ardupilot.org/dev/docs/companion-computers.html (дата обращения: 23.09.2026).</w:t>
      </w:r>
    </w:p>
    <w:p>
      <w:pPr>
        <w:spacing w:line="240" w:lineRule="auto"/>
        <w:ind w:left="425" w:hanging="425"/>
      </w:pPr>
      <w:r>
        <w:rPr>
          <w:rFonts w:ascii="Times New Roman" w:hAnsi="Times New Roman" w:eastAsia="Times New Roman"/>
          <w:i w:val="0"/>
          <w:sz w:val="22"/>
        </w:rPr>
        <w:t>16. Kuhn H. W. The Hungarian method for the assignment problem // Naval Research Logistics Quarterly. 1955. Vol. 2, No. 1–2. P. 83–97. DOI: 10.1002/nav.3800020109.</w:t>
      </w:r>
    </w:p>
    <w:sectPr w:rsidR="00FC693F" w:rsidRPr="0006063C" w:rsidSect="00034616">
      <w:footerReference w:type="default" r:id="rId20"/>
      <w:pgSz w:w="12240" w:h="15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80"/>
      <w:ind w:firstLine="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 использовании нейронной сети для управления распределением группы БПЛА в горизонтальной плоскости</dc:title>
  <dc:subject>Математическое моделирование и групповое управление БПЛА</dc:subject>
  <dc:creator>Головкин Пётр Романович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