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REQUIREMENT SHEET (SRS) — Demande de Carte Nationale d'Identité (CNI)</w:t>
      </w:r>
    </w:p>
    <w:p>
      <w:pPr>
        <w:pStyle w:val="Heading2"/>
      </w:pPr>
      <w:r>
        <w:t>Demande de Carte Nationale d'Identité (CNI)</w:t>
      </w:r>
    </w:p>
    <w:p>
      <w:pPr>
        <w:pStyle w:val="Heading3"/>
      </w:pPr>
      <w:r>
        <w:t>Direction Générale de la Documentation Nationale (DGDN) — Ministère de la Sécurité et de la Protection Civile — Togo</w:t>
      </w:r>
    </w:p>
    <w:p>
      <w:pPr>
        <w:pBdr>
          <w:bottom w:val="single" w:sz="6" w:space="1" w:color="D1D5DB"/>
        </w:pBdr>
        <w:spacing w:before="240" w:after="240"/>
      </w:pP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rPr>
          <w:tblHeader/>
        </w:trPr>
        <w:tc>
          <w:tcPr>
            <w:tcW w:type="dxa" w:w="432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Champ</w:t>
            </w:r>
          </w:p>
        </w:tc>
        <w:tc>
          <w:tcPr>
            <w:tcW w:type="dxa" w:w="432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Valeur</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Fournisseur de Services (FDS)</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Ministère de la Sécurité et de la Protection Civile — Direction Générale de la Documentation Nationale (DGDN)</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Service parent</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Ministère de la Sécurité et de la Protection Civile</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Intégrateur en charge</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À renseigner</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Chef de projet ATD</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À renseigner</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Point focal FDS</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À renseigner</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Date de création</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23 mars 2026</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Date de dernière révision</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23 mars 2026 (v1.0 — Version initiale)</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Date de validation</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color w:val="000000"/>
                <w:sz w:val="20"/>
                <w:u w:val="single"/>
              </w:rPr>
              <w:t>_</w:t>
            </w:r>
            <w:r>
              <w:rPr>
                <w:rFonts w:ascii="Calibri" w:hAnsi="Calibri"/>
                <w:color w:val="000000"/>
                <w:sz w:val="20"/>
                <w:u w:val="single"/>
              </w:rPr>
              <w:t>_</w:t>
            </w:r>
            <w:r>
              <w:rPr>
                <w:rFonts w:ascii="Calibri" w:hAnsi="Calibri"/>
                <w:color w:val="000000"/>
                <w:sz w:val="20"/>
                <w:u w:val="single"/>
              </w:rPr>
              <w:t>_</w:t>
            </w:r>
            <w:r>
              <w:rPr>
                <w:rFonts w:ascii="Calibri" w:hAnsi="Calibri"/>
                <w:color w:val="000000"/>
                <w:sz w:val="20"/>
                <w:u w:val="single"/>
              </w:rPr>
              <w:t>_</w:t>
            </w:r>
            <w:r>
              <w:rPr>
                <w:rFonts w:ascii="Calibri" w:hAnsi="Calibri"/>
                <w:color w:val="000000"/>
                <w:sz w:val="20"/>
                <w:u w:val="single"/>
              </w:rPr>
              <w:t>_</w:t>
            </w:r>
            <w:r>
              <w:rPr>
                <w:rFonts w:ascii="Calibri" w:hAnsi="Calibri"/>
                <w:color w:val="000000"/>
                <w:sz w:val="20"/>
                <w:u w:val="single"/>
              </w:rPr>
              <w:t>_</w:t>
            </w:r>
            <w:r>
              <w:rPr>
                <w:rFonts w:ascii="Calibri" w:hAnsi="Calibri"/>
                <w:b w:val="0"/>
                <w:i w:val="0"/>
                <w:color w:val="000000"/>
                <w:sz w:val="20"/>
              </w:rPr>
              <w:t>___</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Back-office utilisé</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Odoo Traitement (ATD — par défaut)</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Déploiement cible</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Xportal + Xflow</w:t>
            </w:r>
          </w:p>
        </w:tc>
      </w:tr>
    </w:tbl>
    <w:p>
      <w:pPr>
        <w:pBdr>
          <w:bottom w:val="single" w:sz="6" w:space="1" w:color="D1D5DB"/>
        </w:pBdr>
        <w:spacing w:before="240" w:after="240"/>
      </w:pPr>
    </w:p>
    <w:p>
      <w:pPr>
        <w:pStyle w:val="Heading2"/>
      </w:pPr>
      <w:r>
        <w:t>Historique des changements</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60"/>
        <w:gridCol w:w="2160"/>
        <w:gridCol w:w="2160"/>
        <w:gridCol w:w="2160"/>
      </w:tblGrid>
      <w:tr>
        <w:trPr>
          <w:tblHeader/>
        </w:trPr>
        <w:tc>
          <w:tcPr>
            <w:tcW w:type="dxa" w:w="216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Version</w:t>
            </w:r>
          </w:p>
        </w:tc>
        <w:tc>
          <w:tcPr>
            <w:tcW w:type="dxa" w:w="216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Date</w:t>
            </w:r>
          </w:p>
        </w:tc>
        <w:tc>
          <w:tcPr>
            <w:tcW w:type="dxa" w:w="216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Auteur</w:t>
            </w:r>
          </w:p>
        </w:tc>
        <w:tc>
          <w:tcPr>
            <w:tcW w:type="dxa" w:w="216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Description des modifications</w:t>
            </w:r>
          </w:p>
        </w:tc>
      </w:tr>
      <w:tr>
        <w:tc>
          <w:tcPr>
            <w:tcW w:type="dxa" w:w="2160"/>
            <w:tcMar>
              <w:top w:w="40" w:type="dxa"/>
              <w:bottom w:w="40" w:type="dxa"/>
              <w:left w:w="80" w:type="dxa"/>
              <w:right w:w="80" w:type="dxa"/>
            </w:tcMar>
            <w:vAlign w:val="center"/>
          </w:tcPr>
          <w:p>
            <w:pPr>
              <w:spacing w:after="0" w:before="0"/>
              <w:jc w:val="left"/>
            </w:pPr>
            <w:r/>
            <w:r>
              <w:rPr>
                <w:rFonts w:ascii="Calibri" w:hAnsi="Calibri"/>
                <w:b w:val="0"/>
                <w:i w:val="0"/>
                <w:color w:val="000000"/>
                <w:sz w:val="20"/>
              </w:rPr>
              <w:t>1.0</w:t>
            </w:r>
          </w:p>
        </w:tc>
        <w:tc>
          <w:tcPr>
            <w:tcW w:type="dxa" w:w="2160"/>
            <w:tcMar>
              <w:top w:w="40" w:type="dxa"/>
              <w:bottom w:w="40" w:type="dxa"/>
              <w:left w:w="80" w:type="dxa"/>
              <w:right w:w="80" w:type="dxa"/>
            </w:tcMar>
            <w:vAlign w:val="center"/>
          </w:tcPr>
          <w:p>
            <w:pPr>
              <w:spacing w:after="0" w:before="0"/>
              <w:jc w:val="left"/>
            </w:pPr>
            <w:r/>
            <w:r>
              <w:rPr>
                <w:rFonts w:ascii="Calibri" w:hAnsi="Calibri"/>
                <w:b w:val="0"/>
                <w:i w:val="0"/>
                <w:color w:val="000000"/>
                <w:sz w:val="20"/>
              </w:rPr>
              <w:t>23/03/2026</w:t>
            </w:r>
          </w:p>
        </w:tc>
        <w:tc>
          <w:tcPr>
            <w:tcW w:type="dxa" w:w="2160"/>
            <w:tcMar>
              <w:top w:w="40" w:type="dxa"/>
              <w:bottom w:w="40" w:type="dxa"/>
              <w:left w:w="80" w:type="dxa"/>
              <w:right w:w="80" w:type="dxa"/>
            </w:tcMar>
            <w:vAlign w:val="center"/>
          </w:tcPr>
          <w:p>
            <w:pPr>
              <w:spacing w:after="0" w:before="0"/>
              <w:jc w:val="left"/>
            </w:pPr>
            <w:r/>
            <w:r>
              <w:rPr>
                <w:rFonts w:ascii="Calibri" w:hAnsi="Calibri"/>
                <w:b w:val="0"/>
                <w:i w:val="0"/>
                <w:color w:val="000000"/>
                <w:sz w:val="20"/>
              </w:rPr>
              <w:t>ATD / IA</w:t>
            </w:r>
          </w:p>
        </w:tc>
        <w:tc>
          <w:tcPr>
            <w:tcW w:type="dxa" w:w="2160"/>
            <w:tcMar>
              <w:top w:w="40" w:type="dxa"/>
              <w:bottom w:w="40" w:type="dxa"/>
              <w:left w:w="80" w:type="dxa"/>
              <w:right w:w="80" w:type="dxa"/>
            </w:tcMar>
            <w:vAlign w:val="center"/>
          </w:tcPr>
          <w:p>
            <w:pPr>
              <w:spacing w:after="0" w:before="0"/>
              <w:jc w:val="left"/>
            </w:pPr>
            <w:r/>
            <w:r>
              <w:rPr>
                <w:rFonts w:ascii="Calibri" w:hAnsi="Calibri"/>
                <w:b w:val="0"/>
                <w:i w:val="0"/>
                <w:color w:val="000000"/>
                <w:sz w:val="20"/>
              </w:rPr>
              <w:t>Version initiale</w:t>
            </w:r>
          </w:p>
        </w:tc>
      </w:tr>
    </w:tbl>
    <w:p>
      <w:pPr>
        <w:pBdr>
          <w:bottom w:val="single" w:sz="6" w:space="1" w:color="D1D5DB"/>
        </w:pBdr>
        <w:spacing w:before="240" w:after="240"/>
      </w:pPr>
    </w:p>
    <w:p>
      <w:pPr>
        <w:pStyle w:val="Heading2"/>
      </w:pPr>
      <w:r>
        <w:t>Table des matières</w:t>
      </w:r>
    </w:p>
    <w:p>
      <w:pPr>
        <w:numPr>
          <w:ilvl w:val="0"/>
          <w:numId w:val="1001"/>
        </w:numPr>
        <w:spacing w:after="40" w:before="20" w:line="276" w:lineRule="auto"/>
      </w:pPr>
      <w:r>
        <w:t>Identification du service</w:t>
      </w:r>
    </w:p>
    <w:p>
      <w:pPr>
        <w:numPr>
          <w:ilvl w:val="0"/>
          <w:numId w:val="1001"/>
        </w:numPr>
        <w:spacing w:after="40" w:before="20" w:line="276" w:lineRule="auto"/>
      </w:pPr>
      <w:r>
        <w:t>Design du formulaire Form.io</w:t>
      </w:r>
    </w:p>
    <w:p>
      <w:pPr>
        <w:numPr>
          <w:ilvl w:val="0"/>
          <w:numId w:val="1001"/>
        </w:numPr>
        <w:spacing w:after="40" w:before="20" w:line="276" w:lineRule="auto"/>
      </w:pPr>
      <w:r>
        <w:t>Le processus BPMN 2.0</w:t>
      </w:r>
    </w:p>
    <w:p>
      <w:pPr>
        <w:numPr>
          <w:ilvl w:val="0"/>
          <w:numId w:val="1001"/>
        </w:numPr>
        <w:spacing w:after="40" w:before="20" w:line="276" w:lineRule="auto"/>
      </w:pPr>
      <w:r>
        <w:t>Règles métiers</w:t>
      </w:r>
    </w:p>
    <w:p>
      <w:pPr>
        <w:numPr>
          <w:ilvl w:val="0"/>
          <w:numId w:val="1001"/>
        </w:numPr>
        <w:spacing w:after="40" w:before="20" w:line="276" w:lineRule="auto"/>
      </w:pPr>
      <w:r>
        <w:t>Intégration avec des systèmes tiers</w:t>
      </w:r>
    </w:p>
    <w:p>
      <w:pPr>
        <w:numPr>
          <w:ilvl w:val="0"/>
          <w:numId w:val="1001"/>
        </w:numPr>
        <w:spacing w:after="40" w:before="20" w:line="276" w:lineRule="auto"/>
      </w:pPr>
      <w:r>
        <w:t>Notifications automatiques</w:t>
      </w:r>
    </w:p>
    <w:p>
      <w:pPr>
        <w:numPr>
          <w:ilvl w:val="0"/>
          <w:numId w:val="1001"/>
        </w:numPr>
        <w:spacing w:after="40" w:before="20" w:line="276" w:lineRule="auto"/>
      </w:pPr>
      <w:r>
        <w:t>KPIs du service &amp; engagements SLA</w:t>
      </w:r>
    </w:p>
    <w:p>
      <w:pPr>
        <w:numPr>
          <w:ilvl w:val="0"/>
          <w:numId w:val="1001"/>
        </w:numPr>
        <w:spacing w:after="40" w:before="20" w:line="276" w:lineRule="auto"/>
      </w:pPr>
      <w:r>
        <w:t>Interface e-service</w:t>
      </w:r>
    </w:p>
    <w:p>
      <w:pPr>
        <w:numPr>
          <w:ilvl w:val="0"/>
          <w:numId w:val="1001"/>
        </w:numPr>
        <w:spacing w:after="40" w:before="20" w:line="276" w:lineRule="auto"/>
      </w:pPr>
      <w:r>
        <w:t>Validations &amp; signatures</w:t>
      </w:r>
    </w:p>
    <w:p>
      <w:pPr>
        <w:pBdr>
          <w:bottom w:val="single" w:sz="6" w:space="1" w:color="D1D5DB"/>
        </w:pBdr>
        <w:spacing w:before="240" w:after="240"/>
      </w:pPr>
    </w:p>
    <w:p>
      <w:pPr>
        <w:pStyle w:val="Heading2"/>
      </w:pPr>
      <w:r>
        <w:t>1. Identification du service</w:t>
      </w:r>
    </w:p>
    <w:p>
      <w:pPr>
        <w:pStyle w:val="Heading3"/>
      </w:pPr>
      <w:r>
        <w:t>1.1. Description fonctionnelle</w:t>
      </w:r>
    </w:p>
    <w:p>
      <w:r>
        <w:t>La Carte Nationale d'Identité biométrique (CNI) est le document officiel permettant à tout citoyen togolais d'attester de son identité sur le territoire national et dans les pays de la CEDEAO. Elle est obligatoire pour l'exercice du droit de vote, l'ouverture d'un compte bancaire et de nombreuses démarches administratives. La DGDN produit et personnalise les CNI sur une chaîne sécurisée centralisée à Lomé. Les dossiers sont collectés dans les 35 Centres de Documentation (CD) répartis sur l'ensemble du territoire.</w:t>
      </w:r>
    </w:p>
    <w:p>
      <w:r>
        <w:t xml:space="preserve">La digitalisation permet au citoyen de soumettre son dossier en ligne, de payer électroniquement, de choisir son créneau de rendez-vous biométrique, et de suivre en temps réel l'avancement de sa demande grâce aux notifications SMS/Email. </w:t>
      </w:r>
      <w:r>
        <w:rPr>
          <w:b/>
        </w:rPr>
        <w:t>La capture biométrique (présence physique obligatoire au CD) et le retrait du titre physique restent des étapes non digitalisables</w:t>
      </w:r>
      <w:r>
        <w:t xml:space="preserve"> en vertu du Décret n°2010-091 du 16 juillet 2010.</w:t>
      </w:r>
    </w:p>
    <w:p>
      <w:pPr>
        <w:pStyle w:val="Heading3"/>
      </w:pPr>
      <w:r>
        <w:t>1.2. Fiche d'identité du service</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rPr>
          <w:tblHeader/>
        </w:trPr>
        <w:tc>
          <w:tcPr>
            <w:tcW w:type="dxa" w:w="432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Champ</w:t>
            </w:r>
          </w:p>
        </w:tc>
        <w:tc>
          <w:tcPr>
            <w:tcW w:type="dxa" w:w="432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Valeur</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Code service</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SRV-DGDN-2026-001</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Nom complet</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Demande de Carte Nationale d'Identité (CNI)</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Catégorie</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Sécurité / Documents d'identité</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Bénéficiaires</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Tout citoyen togolais âgé de 15 ans et plus</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Fréquence estimée</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~250 000 CNI/an</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Délai standard de traitement</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15 à 30 jours ouvrables</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Délai procédure d'urgence</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48 heures</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Coût du service</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Payant — variable selon le type de demande</w:t>
            </w:r>
          </w:p>
        </w:tc>
      </w:tr>
      <w:tr>
        <w:tc>
          <w:tcPr>
            <w:tcW w:type="dxa" w:w="4320"/>
            <w:tcMar>
              <w:top w:w="40" w:type="dxa"/>
              <w:bottom w:w="40" w:type="dxa"/>
              <w:left w:w="80" w:type="dxa"/>
              <w:right w:w="80" w:type="dxa"/>
            </w:tcMar>
            <w:vAlign w:val="center"/>
          </w:tcPr>
          <w:p>
            <w:pPr>
              <w:spacing w:after="0" w:before="0"/>
              <w:jc w:val="left"/>
            </w:pPr>
            <w:r/>
            <w:r>
              <w:rPr>
                <w:rFonts w:ascii="Calibri" w:hAnsi="Calibri"/>
                <w:b/>
                <w:color w:val="000000"/>
                <w:sz w:val="20"/>
              </w:rPr>
              <w:t>Langue(s)</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Français</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color w:val="000000"/>
                <w:sz w:val="20"/>
              </w:rPr>
              <w:t>Canaux de dépôt</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Xportal (web / mobile)</w:t>
            </w:r>
          </w:p>
        </w:tc>
      </w:tr>
    </w:tbl>
    <w:p>
      <w:pPr>
        <w:pStyle w:val="Heading3"/>
      </w:pPr>
      <w:r>
        <w:t>1.3. Tarifs par type de demande</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rPr>
          <w:tblHeader/>
        </w:trPr>
        <w:tc>
          <w:tcPr>
            <w:tcW w:type="dxa" w:w="432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Type de demande</w:t>
            </w:r>
          </w:p>
        </w:tc>
        <w:tc>
          <w:tcPr>
            <w:tcW w:type="dxa" w:w="4320"/>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Montant</w:t>
            </w:r>
          </w:p>
        </w:tc>
      </w:tr>
      <w:tr>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1ère demande (majeur)</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4 000 FCFA</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1ère demande (mineur 15–17 ans)</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4 000 FCFA</w:t>
            </w:r>
          </w:p>
        </w:tc>
      </w:tr>
      <w:tr>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Renouvellement</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4 000 FCFA</w:t>
            </w:r>
          </w:p>
        </w:tc>
      </w:tr>
      <w:tr>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Duplicata (perte ou vol)</w:t>
            </w:r>
          </w:p>
        </w:tc>
        <w:tc>
          <w:tcPr>
            <w:tcW w:type="dxa" w:w="4320"/>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20"/>
              </w:rPr>
              <w:t>8 000 FCFA</w:t>
            </w:r>
          </w:p>
        </w:tc>
      </w:tr>
      <w:tr>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Procédure d'urgence (48h)</w:t>
            </w:r>
          </w:p>
        </w:tc>
        <w:tc>
          <w:tcPr>
            <w:tcW w:type="dxa" w:w="4320"/>
            <w:tcMar>
              <w:top w:w="40" w:type="dxa"/>
              <w:bottom w:w="40" w:type="dxa"/>
              <w:left w:w="80" w:type="dxa"/>
              <w:right w:w="80" w:type="dxa"/>
            </w:tcMar>
            <w:vAlign w:val="center"/>
          </w:tcPr>
          <w:p>
            <w:pPr>
              <w:spacing w:after="0" w:before="0"/>
              <w:jc w:val="left"/>
            </w:pPr>
            <w:r/>
            <w:r>
              <w:rPr>
                <w:rFonts w:ascii="Calibri" w:hAnsi="Calibri"/>
                <w:b w:val="0"/>
                <w:i w:val="0"/>
                <w:color w:val="000000"/>
                <w:sz w:val="20"/>
              </w:rPr>
              <w:t>20 000 FCFA</w:t>
            </w:r>
          </w:p>
        </w:tc>
      </w:tr>
    </w:tbl>
    <w:p>
      <w:pPr>
        <w:pStyle w:val="Heading3"/>
      </w:pPr>
      <w:r>
        <w:t>1.4. Acteurs et intervenants</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28"/>
        <w:gridCol w:w="1728"/>
        <w:gridCol w:w="1728"/>
        <w:gridCol w:w="1728"/>
        <w:gridCol w:w="1728"/>
      </w:tblGrid>
      <w:tr>
        <w:trPr>
          <w:tblHeader/>
        </w:trPr>
        <w:tc>
          <w:tcPr>
            <w:tcW w:type="dxa" w:w="1728"/>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Acteur</w:t>
            </w:r>
          </w:p>
        </w:tc>
        <w:tc>
          <w:tcPr>
            <w:tcW w:type="dxa" w:w="1728"/>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Profil</w:t>
            </w:r>
          </w:p>
        </w:tc>
        <w:tc>
          <w:tcPr>
            <w:tcW w:type="dxa" w:w="1728"/>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Rôle dans le processus</w:t>
            </w:r>
          </w:p>
        </w:tc>
        <w:tc>
          <w:tcPr>
            <w:tcW w:type="dxa" w:w="1728"/>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Accès système</w:t>
            </w:r>
          </w:p>
        </w:tc>
        <w:tc>
          <w:tcPr>
            <w:tcW w:type="dxa" w:w="1728"/>
            <w:tcMar>
              <w:top w:w="40" w:type="dxa"/>
              <w:bottom w:w="40" w:type="dxa"/>
              <w:left w:w="80" w:type="dxa"/>
              <w:right w:w="80" w:type="dxa"/>
            </w:tcMar>
            <w:vAlign w:val="center"/>
            <w:shd w:fill="2B5797" w:val="clear"/>
          </w:tcPr>
          <w:p>
            <w:pPr>
              <w:spacing w:after="0" w:before="0"/>
              <w:jc w:val="center"/>
            </w:pPr>
            <w:r/>
            <w:r>
              <w:rPr>
                <w:rFonts w:ascii="Calibri" w:hAnsi="Calibri"/>
                <w:b/>
                <w:i w:val="0"/>
                <w:color w:val="FFFFFF"/>
                <w:sz w:val="22"/>
              </w:rPr>
              <w:t>Responsabilité SLA</w:t>
            </w:r>
          </w:p>
        </w:tc>
      </w:tr>
      <w:tr>
        <w:tc>
          <w:tcPr>
            <w:tcW w:type="dxa" w:w="1728"/>
            <w:tcMar>
              <w:top w:w="40" w:type="dxa"/>
              <w:bottom w:w="40" w:type="dxa"/>
              <w:left w:w="80" w:type="dxa"/>
              <w:right w:w="80" w:type="dxa"/>
            </w:tcMar>
            <w:vAlign w:val="center"/>
          </w:tcPr>
          <w:p>
            <w:pPr>
              <w:spacing w:after="0" w:before="0"/>
              <w:jc w:val="left"/>
            </w:pPr>
            <w:r/>
            <w:r>
              <w:rPr>
                <w:rFonts w:ascii="Calibri" w:hAnsi="Calibri"/>
                <w:b/>
                <w:color w:val="000000"/>
                <w:sz w:val="18"/>
              </w:rPr>
              <w:t>Citoyen / Demandeur</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Personne physique (majeur ou représentant légal mineur)</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Soumet le dossier en ligne, paie, choisit le RDV, se présente au CD pour la capture biométrique, retire la CNI</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Xportal</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Évaluateur du service</w:t>
            </w:r>
          </w:p>
        </w:tc>
      </w:tr>
      <w:tr>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color w:val="000000"/>
                <w:sz w:val="18"/>
              </w:rPr>
              <w:t>Agent de réception CD</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Agent DGDN (N1 métier)</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Vérifie la conformité du dossier numérique, confirme le RDV biométrique</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Back-office Xflow</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 48h ouvrables</w:t>
            </w:r>
          </w:p>
        </w:tc>
      </w:tr>
      <w:tr>
        <w:tc>
          <w:tcPr>
            <w:tcW w:type="dxa" w:w="1728"/>
            <w:tcMar>
              <w:top w:w="40" w:type="dxa"/>
              <w:bottom w:w="40" w:type="dxa"/>
              <w:left w:w="80" w:type="dxa"/>
              <w:right w:w="80" w:type="dxa"/>
            </w:tcMar>
            <w:vAlign w:val="center"/>
          </w:tcPr>
          <w:p>
            <w:pPr>
              <w:spacing w:after="0" w:before="0"/>
              <w:jc w:val="left"/>
            </w:pPr>
            <w:r/>
            <w:r>
              <w:rPr>
                <w:rFonts w:ascii="Calibri" w:hAnsi="Calibri"/>
                <w:b/>
                <w:color w:val="000000"/>
                <w:sz w:val="18"/>
              </w:rPr>
              <w:t>Opérateur biométrique CD</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Agent DGDN habilité biométrie</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Capte photo, empreintes, signature ; valide données biographiques dans Xflow</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Back-office Xflow</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Immédiat (présence citoyen)</w:t>
            </w:r>
          </w:p>
        </w:tc>
      </w:tr>
      <w:tr>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color w:val="000000"/>
                <w:sz w:val="18"/>
              </w:rPr>
              <w:t>Superviseur CD</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Responsable CD</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Contrôle qualité du dossier complet avant transmission à la DGDN</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Back-office Xflow — accès complet</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 4h ouvrables</w:t>
            </w:r>
          </w:p>
        </w:tc>
      </w:tr>
      <w:tr>
        <w:tc>
          <w:tcPr>
            <w:tcW w:type="dxa" w:w="1728"/>
            <w:tcMar>
              <w:top w:w="40" w:type="dxa"/>
              <w:bottom w:w="40" w:type="dxa"/>
              <w:left w:w="80" w:type="dxa"/>
              <w:right w:w="80" w:type="dxa"/>
            </w:tcMar>
            <w:vAlign w:val="center"/>
          </w:tcPr>
          <w:p>
            <w:pPr>
              <w:spacing w:after="0" w:before="0"/>
              <w:jc w:val="left"/>
            </w:pPr>
            <w:r/>
            <w:r>
              <w:rPr>
                <w:rFonts w:ascii="Calibri" w:hAnsi="Calibri"/>
                <w:b/>
                <w:color w:val="000000"/>
                <w:sz w:val="18"/>
              </w:rPr>
              <w:t>Agent DGDN (personnalisation)</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Agent DGDN central</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Marque la CNI comme produite dans Xflow après impression et contrôle qualité</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Back-office Xflow</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Délai production</w:t>
            </w:r>
          </w:p>
        </w:tc>
      </w:tr>
      <w:tr>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color w:val="000000"/>
                <w:sz w:val="18"/>
              </w:rPr>
              <w:t>Système Xflow</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Orchestrateur BPMN</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Routage automatique, notifications, suivi de statut</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Infrastructure ATD</w:t>
            </w:r>
          </w:p>
        </w:tc>
        <w:tc>
          <w:tcPr>
            <w:tcW w:type="dxa" w:w="1728"/>
            <w:tcMar>
              <w:top w:w="40" w:type="dxa"/>
              <w:bottom w:w="40" w:type="dxa"/>
              <w:left w:w="80" w:type="dxa"/>
              <w:right w:w="80" w:type="dxa"/>
            </w:tcMar>
            <w:vAlign w:val="center"/>
            <w:shd w:fill="E8EDF2" w:val="clear"/>
          </w:tcPr>
          <w:p>
            <w:pPr>
              <w:spacing w:after="0" w:before="0"/>
              <w:jc w:val="left"/>
            </w:pPr>
            <w:r/>
            <w:r>
              <w:rPr>
                <w:rFonts w:ascii="Calibri" w:hAnsi="Calibri"/>
                <w:b w:val="0"/>
                <w:i w:val="0"/>
                <w:color w:val="000000"/>
                <w:sz w:val="18"/>
              </w:rPr>
              <w:t>Disponibilité 99,5 %</w:t>
            </w:r>
          </w:p>
        </w:tc>
      </w:tr>
      <w:tr>
        <w:tc>
          <w:tcPr>
            <w:tcW w:type="dxa" w:w="1728"/>
            <w:tcMar>
              <w:top w:w="40" w:type="dxa"/>
              <w:bottom w:w="40" w:type="dxa"/>
              <w:left w:w="80" w:type="dxa"/>
              <w:right w:w="80" w:type="dxa"/>
            </w:tcMar>
            <w:vAlign w:val="center"/>
          </w:tcPr>
          <w:p>
            <w:pPr>
              <w:spacing w:after="0" w:before="0"/>
              <w:jc w:val="left"/>
            </w:pPr>
            <w:r/>
            <w:r>
              <w:rPr>
                <w:rFonts w:ascii="Calibri" w:hAnsi="Calibri"/>
                <w:b/>
                <w:color w:val="000000"/>
                <w:sz w:val="18"/>
              </w:rPr>
              <w:t>Admin Xportal (ATD)</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Technicien ATD</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Surveillance, publication, KPIs</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Administration Xportal</w:t>
            </w:r>
          </w:p>
        </w:tc>
        <w:tc>
          <w:tcPr>
            <w:tcW w:type="dxa" w:w="1728"/>
            <w:tcMar>
              <w:top w:w="40" w:type="dxa"/>
              <w:bottom w:w="40" w:type="dxa"/>
              <w:left w:w="80" w:type="dxa"/>
              <w:right w:w="80" w:type="dxa"/>
            </w:tcMar>
            <w:vAlign w:val="center"/>
          </w:tcPr>
          <w:p>
            <w:pPr>
              <w:spacing w:after="0" w:before="0"/>
              <w:jc w:val="left"/>
            </w:pPr>
            <w:r/>
            <w:r>
              <w:rPr>
                <w:rFonts w:ascii="Calibri" w:hAnsi="Calibri"/>
                <w:b w:val="0"/>
                <w:i w:val="0"/>
                <w:color w:val="000000"/>
                <w:sz w:val="18"/>
              </w:rPr>
              <w:t>SLA plateforme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CA3AF"/>
        <w:sz w:val="18"/>
      </w:rPr>
      <w:t>DGDN — Ministère de la Sécurité et de la Protection Civile — Togo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CA3AF"/>
        <w:sz w:val="18"/>
      </w:rPr>
      <w:t>SRS — Demande de Carte Nationale d'Identité (CNI)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10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000">
    <w:abstractNumId w:val="100"/>
  </w:num>
  <w:num w:numId="10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before="40"/>
      <w:jc w:val="both"/>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jc w:val="left"/>
      <w:outlineLvl w:val="0"/>
    </w:pPr>
    <w:rPr>
      <w:rFonts w:ascii="Calibri" w:hAnsi="Calibri" w:eastAsia="Calibri" w:cs="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120"/>
      <w:jc w:val="left"/>
      <w:outlineLvl w:val="1"/>
    </w:pPr>
    <w:rPr>
      <w:rFonts w:ascii="Calibri" w:hAnsi="Calibri" w:eastAsia="Calibri" w:cs="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80" w:after="80"/>
      <w:jc w:val="left"/>
      <w:outlineLvl w:val="2"/>
    </w:pPr>
    <w:rPr>
      <w:rFonts w:ascii="Calibri" w:hAnsi="Calibri" w:eastAsia="Calibri" w:cs="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80"/>
      <w:jc w:val="left"/>
      <w:outlineLvl w:val="3"/>
    </w:pPr>
    <w:rPr>
      <w:rFonts w:ascii="Calibri" w:hAnsi="Calibri" w:eastAsia="Calibri" w:cs="Calibri"/>
      <w:b/>
      <w:bCs/>
      <w:i/>
      <w:iCs/>
      <w:color w:val="1B3A5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before="480"/>
      <w:contextualSpacing/>
      <w:jc w:val="left"/>
    </w:pPr>
    <w:rPr>
      <w:rFonts w:asciiTheme="majorHAnsi" w:eastAsiaTheme="majorEastAsia" w:hAnsiTheme="majorHAnsi" w:cstheme="majorBidi" w:ascii="Calibri" w:hAnsi="Calibri"/>
      <w:b/>
      <w:color w:val="1B3A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20" w:line="276"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spacing w:after="40" w:before="20" w:line="276" w:lineRule="auto"/>
      <w:contextualSpacing/>
    </w:pPr>
    <w:rPr>
      <w:rFonts w:ascii="Calibri" w:hAnsi="Calibri"/>
      <w:color w:val="000000"/>
      <w:sz w:val="22"/>
    </w:rPr>
  </w:style>
  <w:style w:type="paragraph" w:styleId="ListBullet3">
    <w:name w:val="List Bullet 3"/>
    <w:basedOn w:val="Normal"/>
    <w:uiPriority w:val="99"/>
    <w:unhideWhenUsed/>
    <w:rsid w:val="00326F90"/>
    <w:pPr>
      <w:numPr>
        <w:numId w:val="3"/>
      </w:numPr>
      <w:spacing w:after="40" w:before="20" w:line="276" w:lineRule="auto"/>
      <w:contextualSpacing/>
    </w:pPr>
    <w:rPr>
      <w:rFonts w:ascii="Calibri" w:hAnsi="Calibri"/>
      <w:color w:val="000000"/>
      <w:sz w:val="22"/>
    </w:rPr>
  </w:style>
  <w:style w:type="paragraph" w:styleId="ListNumber">
    <w:name w:val="List Number"/>
    <w:basedOn w:val="Normal"/>
    <w:uiPriority w:val="99"/>
    <w:unhideWhenUsed/>
    <w:rsid w:val="00326F90"/>
    <w:pPr>
      <w:numPr>
        <w:numId w:val="5"/>
      </w:numPr>
      <w:spacing w:after="40" w:before="20" w:line="276"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spacing w:after="40" w:before="20" w:line="276" w:lineRule="auto"/>
      <w:contextualSpacing/>
    </w:pPr>
    <w:rPr>
      <w:rFonts w:ascii="Calibri" w:hAnsi="Calibri"/>
      <w:color w:val="000000"/>
      <w:sz w:val="22"/>
    </w:rPr>
  </w:style>
  <w:style w:type="paragraph" w:styleId="ListNumber3">
    <w:name w:val="List Number 3"/>
    <w:basedOn w:val="Normal"/>
    <w:uiPriority w:val="99"/>
    <w:unhideWhenUsed/>
    <w:rsid w:val="0029639D"/>
    <w:pPr>
      <w:numPr>
        <w:numId w:val="7"/>
      </w:numPr>
      <w:spacing w:after="40" w:before="20" w:line="276" w:lineRule="auto"/>
      <w:contextualSpacing/>
    </w:pPr>
    <w:rPr>
      <w:rFonts w:ascii="Calibri" w:hAnsi="Calibri"/>
      <w:color w:val="000000"/>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