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C2F85" w:rsidRDefault="00B9534A" w:rsidP="00FC2F85">
      <w:pPr>
        <w:pStyle w:val="a5"/>
        <w:numPr>
          <w:ilvl w:val="0"/>
          <w:numId w:val="2"/>
        </w:numPr>
        <w:ind w:firstLineChars="0"/>
        <w:outlineLvl w:val="0"/>
        <w:rPr>
          <w:rFonts w:hint="eastAsia"/>
          <w:sz w:val="30"/>
        </w:rPr>
      </w:pPr>
      <w:r w:rsidRPr="00FC2F85">
        <w:rPr>
          <w:rFonts w:hint="eastAsia"/>
          <w:sz w:val="30"/>
        </w:rPr>
        <w:t>软件结构</w:t>
      </w:r>
    </w:p>
    <w:p w:rsidR="00B9534A" w:rsidRDefault="00B9534A">
      <w:pPr>
        <w:rPr>
          <w:rFonts w:hint="eastAsia"/>
        </w:rPr>
      </w:pPr>
      <w:r>
        <w:rPr>
          <w:noProof/>
        </w:rPr>
      </w:r>
      <w:r>
        <w:pict>
          <v:group id="_x0000_s2051" editas="canvas" style="width:407.9pt;height:152.55pt;mso-position-horizontal-relative:char;mso-position-vertical-relative:line" coordorigin="2377,2242" coordsize="8158,305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377;top:2242;width:8158;height:3051" o:preferrelative="f">
              <v:fill o:detectmouseclick="t"/>
              <v:path o:extrusionok="t" o:connecttype="none"/>
              <o:lock v:ext="edit" text="t"/>
            </v:shape>
            <v:group id="_x0000_s2068" style="position:absolute;left:2731;top:2396;width:7600;height:2461" coordorigin="2731,2396" coordsize="7600,2461">
              <v:group id="_x0000_s2063" style="position:absolute;left:2731;top:2396;width:6114;height:2461" coordorigin="2731,2396" coordsize="6114,2461">
                <v:rect id="_x0000_s2052" style="position:absolute;left:2731;top:2396;width:6114;height:1141" fillcolor="#92d050">
                  <v:textbox style="mso-next-textbox:#_x0000_s2052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Main</w:t>
                        </w:r>
                      </w:p>
                    </w:txbxContent>
                  </v:textbox>
                </v:rect>
                <v:rect id="_x0000_s2053" style="position:absolute;left:2731;top:4383;width:882;height:459" fillcolor="#00b0f0">
                  <v:textbox style="mso-next-textbox:#_x0000_s2053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Timer</w:t>
                        </w:r>
                      </w:p>
                    </w:txbxContent>
                  </v:textbox>
                </v:rect>
                <v:rect id="_x0000_s2054" style="position:absolute;left:3915;top:3750;width:1762;height:460" fillcolor="yellow">
                  <v:textbox style="mso-next-textbox:#_x0000_s2054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power</w:t>
                        </w:r>
                      </w:p>
                    </w:txbxContent>
                  </v:textbox>
                </v:rect>
                <v:rect id="_x0000_s2055" style="position:absolute;left:5816;top:3736;width:1805;height:460" fillcolor="yellow">
                  <v:stroke dashstyle="dash"/>
                  <v:textbox style="mso-next-textbox:#_x0000_s2055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transfer</w:t>
                        </w:r>
                      </w:p>
                    </w:txbxContent>
                  </v:textbox>
                </v:rect>
                <v:rect id="_x0000_s2056" style="position:absolute;left:7731;top:3736;width:1114;height:460" fillcolor="yellow">
                  <v:textbox style="mso-next-textbox:#_x0000_s2056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storage</w:t>
                        </w:r>
                      </w:p>
                    </w:txbxContent>
                  </v:textbox>
                </v:rect>
                <v:rect id="_x0000_s2057" style="position:absolute;left:7731;top:4366;width:1114;height:491" fillcolor="#00b0f0">
                  <v:textbox style="mso-next-textbox:#_x0000_s2057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memory</w:t>
                        </w:r>
                      </w:p>
                    </w:txbxContent>
                  </v:textbox>
                </v:rect>
                <v:rect id="_x0000_s2058" style="position:absolute;left:5816;top:4383;width:745;height:462" fillcolor="#00b0f0">
                  <v:textbox style="mso-next-textbox:#_x0000_s2058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SPI</w:t>
                        </w:r>
                      </w:p>
                    </w:txbxContent>
                  </v:textbox>
                </v:rect>
                <v:rect id="_x0000_s2060" style="position:absolute;left:6713;top:4383;width:908;height:462" fillcolor="#00b0f0">
                  <v:textbox style="mso-next-textbox:#_x0000_s2060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UART</w:t>
                        </w:r>
                      </w:p>
                    </w:txbxContent>
                  </v:textbox>
                </v:rect>
                <v:rect id="_x0000_s2061" style="position:absolute;left:3915;top:4380;width:745;height:462" fillcolor="#00b0f0">
                  <v:textbox style="mso-next-textbox:#_x0000_s2061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LED</w:t>
                        </w:r>
                      </w:p>
                    </w:txbxContent>
                  </v:textbox>
                </v:rect>
                <v:rect id="_x0000_s2062" style="position:absolute;left:4769;top:4381;width:908;height:462" fillcolor="#00b0f0">
                  <v:textbox style="mso-next-textbox:#_x0000_s2062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ADC</w:t>
                        </w:r>
                      </w:p>
                    </w:txbxContent>
                  </v:textbox>
                </v:rect>
              </v:group>
              <v:group id="_x0000_s2067" style="position:absolute;left:9027;top:3537;width:1304;height:1306" coordorigin="9027,3537" coordsize="1304,130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64" type="#_x0000_t32" style="position:absolute;left:9027;top:4210;width:1222;height:1" o:connectortype="straight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5" type="#_x0000_t202" style="position:absolute;left:9108;top:3537;width:1223;height:462" stroked="f">
                  <v:textbox style="mso-next-textbox:#_x0000_s2065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功能模块</w:t>
                        </w:r>
                      </w:p>
                    </w:txbxContent>
                  </v:textbox>
                </v:shape>
                <v:shape id="_x0000_s2066" type="#_x0000_t202" style="position:absolute;left:9108;top:4367;width:1223;height:476" stroked="f">
                  <v:textbox style="mso-next-textbox:#_x0000_s2066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驱动模块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</w:pict>
      </w:r>
    </w:p>
    <w:p w:rsidR="00B9534A" w:rsidRDefault="00FF6073">
      <w:pPr>
        <w:rPr>
          <w:rFonts w:hint="eastAsia"/>
        </w:rPr>
      </w:pPr>
      <w:r>
        <w:rPr>
          <w:rFonts w:hint="eastAsia"/>
        </w:rPr>
        <w:t>驱动模块：直接操作寄存器，完成简单的单一功能。</w:t>
      </w:r>
    </w:p>
    <w:p w:rsidR="00FF6073" w:rsidRDefault="00FF6073">
      <w:pPr>
        <w:rPr>
          <w:rFonts w:hint="eastAsia"/>
        </w:rPr>
      </w:pPr>
      <w:r>
        <w:rPr>
          <w:rFonts w:hint="eastAsia"/>
        </w:rPr>
        <w:t>功能模块：调用驱动模块提供的接口函数，实现程序的逻辑功能。</w:t>
      </w:r>
    </w:p>
    <w:p w:rsidR="00FF6073" w:rsidRDefault="00FF6073">
      <w:pPr>
        <w:rPr>
          <w:rFonts w:hint="eastAsia"/>
        </w:rPr>
      </w:pPr>
    </w:p>
    <w:p w:rsidR="00FC2F85" w:rsidRPr="00FC2F85" w:rsidRDefault="00FC2F85" w:rsidP="00FC2F85">
      <w:pPr>
        <w:pStyle w:val="a5"/>
        <w:numPr>
          <w:ilvl w:val="0"/>
          <w:numId w:val="2"/>
        </w:numPr>
        <w:ind w:firstLineChars="0"/>
        <w:outlineLvl w:val="0"/>
        <w:rPr>
          <w:rFonts w:hint="eastAsia"/>
          <w:sz w:val="30"/>
        </w:rPr>
      </w:pPr>
      <w:r w:rsidRPr="00FC2F85">
        <w:rPr>
          <w:rFonts w:hint="eastAsia"/>
          <w:sz w:val="30"/>
        </w:rPr>
        <w:t>模块设计</w:t>
      </w:r>
    </w:p>
    <w:p w:rsidR="00FC2F85" w:rsidRDefault="00FC2F85" w:rsidP="00FC2F85">
      <w:pPr>
        <w:pStyle w:val="a5"/>
        <w:numPr>
          <w:ilvl w:val="0"/>
          <w:numId w:val="5"/>
        </w:numPr>
        <w:ind w:firstLineChars="0"/>
        <w:outlineLvl w:val="1"/>
        <w:rPr>
          <w:rFonts w:hint="eastAsia"/>
          <w:sz w:val="24"/>
        </w:rPr>
      </w:pPr>
      <w:r w:rsidRPr="00FC2F85">
        <w:rPr>
          <w:rFonts w:hint="eastAsia"/>
          <w:sz w:val="24"/>
        </w:rPr>
        <w:t>主程序</w:t>
      </w:r>
    </w:p>
    <w:p w:rsidR="0022692F" w:rsidRPr="0022692F" w:rsidRDefault="0022692F" w:rsidP="0022692F">
      <w:pPr>
        <w:ind w:left="424" w:hangingChars="202" w:hanging="42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完成系统初始化和各模块初始化。在每</w:t>
      </w:r>
      <w:r>
        <w:rPr>
          <w:rFonts w:hint="eastAsia"/>
        </w:rPr>
        <w:t>100ms</w:t>
      </w:r>
      <w:r>
        <w:rPr>
          <w:rFonts w:hint="eastAsia"/>
        </w:rPr>
        <w:t>的时钟中断的间隔时间里，完成电源监控、数据传输和存储。</w:t>
      </w:r>
    </w:p>
    <w:p w:rsidR="00093520" w:rsidRDefault="0022692F" w:rsidP="00093520">
      <w:pPr>
        <w:pStyle w:val="a5"/>
        <w:numPr>
          <w:ilvl w:val="0"/>
          <w:numId w:val="6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main</w:t>
      </w:r>
    </w:p>
    <w:p w:rsidR="00FC2F85" w:rsidRDefault="0022692F" w:rsidP="00093520">
      <w:pPr>
        <w:ind w:left="424" w:hangingChars="202" w:hanging="424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main(void)</w:t>
      </w:r>
    </w:p>
    <w:p w:rsidR="0022692F" w:rsidRDefault="0022692F" w:rsidP="00093520">
      <w:pPr>
        <w:ind w:left="424" w:hangingChars="202" w:hanging="424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</w:t>
      </w:r>
      <w:r w:rsidR="00D446BA">
        <w:rPr>
          <w:rFonts w:hint="eastAsia"/>
        </w:rPr>
        <w:t>无</w:t>
      </w:r>
    </w:p>
    <w:p w:rsidR="0022692F" w:rsidRDefault="0022692F" w:rsidP="00093520">
      <w:pPr>
        <w:ind w:left="424" w:hangingChars="202" w:hanging="424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</w:t>
      </w:r>
      <w:r w:rsidR="00D446BA">
        <w:rPr>
          <w:rFonts w:hint="eastAsia"/>
        </w:rPr>
        <w:t>无</w:t>
      </w:r>
    </w:p>
    <w:p w:rsidR="0022692F" w:rsidRDefault="0022692F" w:rsidP="00093520">
      <w:pPr>
        <w:ind w:left="424" w:hangingChars="202" w:hanging="424"/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）描述：</w:t>
      </w:r>
    </w:p>
    <w:p w:rsidR="00093520" w:rsidRDefault="00093520">
      <w:pPr>
        <w:rPr>
          <w:rFonts w:hint="eastAsia"/>
        </w:rPr>
      </w:pPr>
    </w:p>
    <w:p w:rsidR="00093520" w:rsidRDefault="00093520" w:rsidP="004A758A">
      <w:pPr>
        <w:pStyle w:val="a5"/>
        <w:numPr>
          <w:ilvl w:val="0"/>
          <w:numId w:val="5"/>
        </w:numPr>
        <w:ind w:firstLineChars="0"/>
        <w:outlineLvl w:val="1"/>
        <w:rPr>
          <w:rFonts w:hint="eastAsia"/>
          <w:sz w:val="24"/>
        </w:rPr>
      </w:pPr>
      <w:r w:rsidRPr="004A758A">
        <w:rPr>
          <w:rFonts w:hint="eastAsia"/>
          <w:sz w:val="24"/>
        </w:rPr>
        <w:t>power</w:t>
      </w:r>
    </w:p>
    <w:p w:rsidR="0022692F" w:rsidRPr="0022692F" w:rsidRDefault="0022692F" w:rsidP="002269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实现电源模块初始化。实现</w:t>
      </w:r>
      <w:r w:rsidR="00D446BA">
        <w:rPr>
          <w:rFonts w:hint="eastAsia"/>
        </w:rPr>
        <w:t>对电源</w:t>
      </w:r>
      <w:r>
        <w:rPr>
          <w:rFonts w:hint="eastAsia"/>
        </w:rPr>
        <w:t>监测，生成报警信息。实现对输入电源的判断，点亮相应的</w:t>
      </w:r>
      <w:r>
        <w:rPr>
          <w:rFonts w:hint="eastAsia"/>
        </w:rPr>
        <w:t>LED</w:t>
      </w:r>
      <w:r>
        <w:rPr>
          <w:rFonts w:hint="eastAsia"/>
        </w:rPr>
        <w:t>指示灯。实现内部电池充电管理。</w:t>
      </w:r>
    </w:p>
    <w:p w:rsidR="004A758A" w:rsidRDefault="00D446BA" w:rsidP="004A758A">
      <w:pPr>
        <w:pStyle w:val="a5"/>
        <w:numPr>
          <w:ilvl w:val="0"/>
          <w:numId w:val="7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pwr_initialise</w:t>
      </w:r>
    </w:p>
    <w:p w:rsidR="00093520" w:rsidRDefault="0022692F">
      <w:pPr>
        <w:rPr>
          <w:rFonts w:hint="eastAsia"/>
        </w:rPr>
      </w:pPr>
      <w:r>
        <w:rPr>
          <w:rFonts w:hint="eastAsia"/>
        </w:rPr>
        <w:tab/>
      </w:r>
      <w:r w:rsidR="00D446BA">
        <w:rPr>
          <w:rFonts w:hint="eastAsia"/>
        </w:rPr>
        <w:t>1</w:t>
      </w:r>
      <w:r w:rsidR="00D446BA">
        <w:rPr>
          <w:rFonts w:hint="eastAsia"/>
        </w:rPr>
        <w:t>）原型：</w:t>
      </w:r>
      <w:r w:rsidR="00D446BA">
        <w:rPr>
          <w:rFonts w:hint="eastAsia"/>
        </w:rPr>
        <w:t xml:space="preserve">void </w:t>
      </w:r>
      <w:r w:rsidR="00D446BA">
        <w:t>initialize</w:t>
      </w:r>
      <w:r w:rsidR="00D446BA">
        <w:rPr>
          <w:rFonts w:hint="eastAsia"/>
        </w:rPr>
        <w:t>(void)</w:t>
      </w:r>
    </w:p>
    <w:p w:rsidR="00D446BA" w:rsidRDefault="00D446BA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D446BA" w:rsidRDefault="00D446BA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D446BA" w:rsidRDefault="00D446BA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）描述：电源模块初始化。</w:t>
      </w:r>
    </w:p>
    <w:p w:rsidR="00D446BA" w:rsidRDefault="00D446BA">
      <w:pPr>
        <w:rPr>
          <w:rFonts w:hint="eastAsia"/>
        </w:rPr>
      </w:pPr>
    </w:p>
    <w:p w:rsidR="00D446BA" w:rsidRDefault="00D446BA">
      <w:pPr>
        <w:rPr>
          <w:rFonts w:hint="eastAsia"/>
        </w:rPr>
      </w:pPr>
      <w:r>
        <w:rPr>
          <w:rFonts w:hint="eastAsia"/>
        </w:rPr>
        <w:t>pwr_monitor</w:t>
      </w:r>
    </w:p>
    <w:p w:rsidR="00D446BA" w:rsidRDefault="00D446BA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pwr_monitor(void)</w:t>
      </w:r>
    </w:p>
    <w:p w:rsidR="00D446BA" w:rsidRDefault="00D446BA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D446BA" w:rsidRDefault="00D446BA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D446BA" w:rsidRDefault="00D446BA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）描述：通过对各个电源监测点的电压</w:t>
      </w:r>
      <w:r>
        <w:rPr>
          <w:rFonts w:hint="eastAsia"/>
        </w:rPr>
        <w:t>AD</w:t>
      </w:r>
      <w:r>
        <w:rPr>
          <w:rFonts w:hint="eastAsia"/>
        </w:rPr>
        <w:t>值的分析，判断是否存在报警。同时也进行当前供电电源的判断和内部电池的充电管理。</w:t>
      </w:r>
    </w:p>
    <w:p w:rsidR="00D446BA" w:rsidRDefault="00D446BA">
      <w:pPr>
        <w:rPr>
          <w:rFonts w:hint="eastAsia"/>
        </w:rPr>
      </w:pPr>
    </w:p>
    <w:p w:rsidR="00D446BA" w:rsidRPr="00D446BA" w:rsidRDefault="00D446BA">
      <w:pPr>
        <w:rPr>
          <w:rFonts w:hint="eastAsia"/>
        </w:rPr>
      </w:pPr>
    </w:p>
    <w:p w:rsidR="00FC2F85" w:rsidRPr="00FF6073" w:rsidRDefault="00FC2F85"/>
    <w:sectPr w:rsidR="00FC2F85" w:rsidRPr="00FF6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383" w:rsidRDefault="00040383" w:rsidP="00B9534A">
      <w:r>
        <w:separator/>
      </w:r>
    </w:p>
  </w:endnote>
  <w:endnote w:type="continuationSeparator" w:id="1">
    <w:p w:rsidR="00040383" w:rsidRDefault="00040383" w:rsidP="00B95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383" w:rsidRDefault="00040383" w:rsidP="00B9534A">
      <w:r>
        <w:separator/>
      </w:r>
    </w:p>
  </w:footnote>
  <w:footnote w:type="continuationSeparator" w:id="1">
    <w:p w:rsidR="00040383" w:rsidRDefault="00040383" w:rsidP="00B953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00044"/>
    <w:multiLevelType w:val="hybridMultilevel"/>
    <w:tmpl w:val="76E6E4B4"/>
    <w:lvl w:ilvl="0" w:tplc="1026EBB8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959C2"/>
    <w:multiLevelType w:val="hybridMultilevel"/>
    <w:tmpl w:val="48A426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031326"/>
    <w:multiLevelType w:val="hybridMultilevel"/>
    <w:tmpl w:val="AF748ADA"/>
    <w:lvl w:ilvl="0" w:tplc="2DF0CC9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740164"/>
    <w:multiLevelType w:val="hybridMultilevel"/>
    <w:tmpl w:val="288CDD82"/>
    <w:lvl w:ilvl="0" w:tplc="6204BA18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3A2E8A"/>
    <w:multiLevelType w:val="hybridMultilevel"/>
    <w:tmpl w:val="3FE812D6"/>
    <w:lvl w:ilvl="0" w:tplc="0694A5B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CC470D"/>
    <w:multiLevelType w:val="hybridMultilevel"/>
    <w:tmpl w:val="1E4CB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E035FA"/>
    <w:multiLevelType w:val="hybridMultilevel"/>
    <w:tmpl w:val="F76A2750"/>
    <w:lvl w:ilvl="0" w:tplc="C50870E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34A"/>
    <w:rsid w:val="00040383"/>
    <w:rsid w:val="00093520"/>
    <w:rsid w:val="0022692F"/>
    <w:rsid w:val="004A758A"/>
    <w:rsid w:val="00B9534A"/>
    <w:rsid w:val="00D446BA"/>
    <w:rsid w:val="00FC2F85"/>
    <w:rsid w:val="00FF6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5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53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5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534A"/>
    <w:rPr>
      <w:sz w:val="18"/>
      <w:szCs w:val="18"/>
    </w:rPr>
  </w:style>
  <w:style w:type="paragraph" w:styleId="a5">
    <w:name w:val="List Paragraph"/>
    <w:basedOn w:val="a"/>
    <w:uiPriority w:val="34"/>
    <w:qFormat/>
    <w:rsid w:val="00FC2F85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FC2F8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C2F8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E64C2-D83C-4EBF-8E1B-613461457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69</Words>
  <Characters>394</Characters>
  <Application>Microsoft Office Word</Application>
  <DocSecurity>0</DocSecurity>
  <Lines>3</Lines>
  <Paragraphs>1</Paragraphs>
  <ScaleCrop>false</ScaleCrop>
  <Company>微软中国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MaWanyu</dc:creator>
  <cp:keywords/>
  <dc:description/>
  <cp:lastModifiedBy>MaWanyu</cp:lastModifiedBy>
  <cp:revision>8</cp:revision>
  <dcterms:created xsi:type="dcterms:W3CDTF">2014-06-19T06:49:00Z</dcterms:created>
  <dcterms:modified xsi:type="dcterms:W3CDTF">2014-06-19T09:08:00Z</dcterms:modified>
</cp:coreProperties>
</file>