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 Credit 信贷违约风险建模（简历要点）</w:t>
      </w:r>
    </w:p>
    <w:p>
      <w:pPr>
        <w:pStyle w:val="Heading1"/>
      </w:pPr>
      <w:r>
        <w:t>一句话概括</w:t>
      </w:r>
    </w:p>
    <w:p>
      <w:r>
        <w:t>基于 30 万申请客户 × 7 张异构表的信贷数据，完成从多层级特征工程到 LightGBM/逻辑回归建模、</w:t>
      </w:r>
    </w:p>
    <w:p>
      <w:r>
        <w:t>交叉验证特征筛选与模块消融的完整风控项目，最终模型验证集 AUC 0.7770、KS 0.4174。</w:t>
      </w:r>
    </w:p>
    <w:p>
      <w:pPr>
        <w:pStyle w:val="Heading1"/>
      </w:pPr>
      <w:r>
        <w:t>三个核心能力点</w:t>
      </w:r>
    </w:p>
    <w:p>
      <w:pPr>
        <w:pStyle w:val="ListBullet"/>
      </w:pPr>
      <w:r>
        <w:t>1. **多层级数据重构**：把 1360 万条付款事件恢复为 1295 万条"分期"粒度，再把月度征信聚合成信用记录、</w:t>
      </w:r>
    </w:p>
    <w:p>
      <w:r>
        <w:t>信用记录聚合成客户，而非简单 groupby().mean()。</w:t>
      </w:r>
    </w:p>
    <w:p>
      <w:r>
        <w:t>2. **业务驱动的特征设计**：通过分析小额尾款发现原始延期天数的缺陷；用零额度/超限记录重定义信用卡使用率；</w:t>
      </w:r>
    </w:p>
    <w:p>
      <w:r>
        <w:t>区分"无历史记录 / 无有效分母 / 真实为 0"三种缺失口径。</w:t>
      </w:r>
    </w:p>
    <w:p>
      <w:r>
        <w:t>3. **用真实违约标签验证特征**：构造历史拒绝率、额度使用率、近期信贷活动与逾期趋势等特征，</w:t>
      </w:r>
    </w:p>
    <w:p>
      <w:r>
        <w:t>并做模块消融量化每张表的增量贡献（边际贡献最大的模块：previous）。</w:t>
      </w:r>
    </w:p>
    <w:p>
      <w:pPr>
        <w:pStyle w:val="Heading1"/>
      </w:pPr>
      <w:r>
        <w:t>关键数字</w:t>
      </w:r>
    </w:p>
    <w:p>
      <w:pPr>
        <w:pStyle w:val="ListBullet"/>
      </w:pPr>
      <w:r>
        <w:t>- 数据规模：307511 客户 × 7 表；坏样本率 8.07%</w:t>
      </w:r>
    </w:p>
    <w:p>
      <w:pPr>
        <w:pStyle w:val="ListBullet"/>
      </w:pPr>
      <w:r>
        <w:t>- 特征工程：229 个候选特征，交叉验证剔除零贡献/高相关冗余后保留 174 个</w:t>
      </w:r>
    </w:p>
    <w:p>
      <w:pPr>
        <w:pStyle w:val="ListBullet"/>
      </w:pPr>
      <w:r>
        <w:t>- 最终模型：AUC 0.7770 / KS 0.4174 / PR-AUC 0.2718</w:t>
      </w:r>
    </w:p>
    <w:p>
      <w:pPr>
        <w:pStyle w:val="ListBullet"/>
      </w:pPr>
      <w:r>
        <w:t>- 消融：历史模块合计把 AUC 从 0.7588 提升到 0.7770</w:t>
      </w:r>
    </w:p>
    <w:p>
      <w:pPr>
        <w:pStyle w:val="Heading1"/>
      </w:pPr>
      <w:r>
        <w:t>面试高频问题准备</w:t>
      </w:r>
    </w:p>
    <w:p>
      <w:pPr>
        <w:pStyle w:val="ListBullet"/>
      </w:pPr>
      <w:r>
        <w:t>- 为什么不平衡分类不能只看准确率？（用 AUC / KS / PR-AUC）</w:t>
      </w:r>
    </w:p>
    <w:p>
      <w:pPr>
        <w:pStyle w:val="ListBullet"/>
      </w:pPr>
      <w:r>
        <w:t>- 为什么预处理只在训练集拟合？（防止预处理阶段的数据泄漏）</w:t>
      </w:r>
    </w:p>
    <w:p>
      <w:pPr>
        <w:pStyle w:val="ListBullet"/>
      </w:pPr>
      <w:r>
        <w:t>- 什么是 T0 泄漏？你项目里怎么处理的？（分期付款"付款结果"依赖未来信息 → 排除）</w:t>
      </w:r>
    </w:p>
    <w:p>
      <w:pPr>
        <w:pStyle w:val="ListBullet"/>
      </w:pPr>
      <w:r>
        <w:t>- 交叉验证和单次划分的区别？（OOF 更稳定）</w:t>
      </w:r>
    </w:p>
    <w:p>
      <w:pPr>
        <w:pStyle w:val="ListBullet"/>
      </w:pPr>
      <w:r>
        <w:t>- 怎么证明每张历史表有用？（消融实验，而非单变量违约率）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