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5A6B7F"/>
          <w:sz w:val="24"/>
        </w:rPr>
        <w:t>ALBUKHARY INTERNATIONAL UNIVERSITY</w:t>
      </w:r>
    </w:p>
    <w:p>
      <w:pPr>
        <w:spacing w:after="680"/>
        <w:jc w:val="center"/>
      </w:pPr>
      <w:r>
        <w:rPr>
          <w:b/>
          <w:color w:val="5A6B7F"/>
          <w:sz w:val="22"/>
        </w:rPr>
        <w:t>CDE2313 MOBILE APPLICATION DEVELOPMENT — GROUP PROJECT REPORT</w:t>
      </w:r>
    </w:p>
    <w:p>
      <w:pPr>
        <w:spacing w:after="80"/>
        <w:jc w:val="center"/>
      </w:pPr>
      <w:r>
        <w:rPr>
          <w:b/>
          <w:color w:val="073A6B"/>
          <w:sz w:val="68"/>
        </w:rPr>
        <w:t>TDM Insight</w:t>
      </w:r>
    </w:p>
    <w:p>
      <w:pPr>
        <w:spacing w:after="40"/>
        <w:jc w:val="center"/>
      </w:pPr>
      <w:r>
        <w:rPr>
          <w:i/>
          <w:sz w:val="28"/>
        </w:rPr>
        <w:t>A Native Android Vancomycin Therapeutic Drug Monitoring Calculator</w:t>
      </w:r>
    </w:p>
    <w:p>
      <w:pPr>
        <w:spacing w:after="520"/>
        <w:jc w:val="center"/>
      </w:pPr>
      <w:r>
        <w:rPr>
          <w:color w:val="5A6B7F"/>
          <w:sz w:val="23"/>
        </w:rPr>
        <w:t>Design, Implementation and Testing Report</w:t>
      </w:r>
    </w:p>
    <w:tbl>
      <w:tblPr>
        <w:tblStyle w:val="TableGrid"/>
        <w:tblW w:type="auto" w:w="0"/>
        <w:tblLook w:firstColumn="1" w:firstRow="1" w:lastColumn="0" w:lastRow="0" w:noHBand="0" w:noVBand="1" w:val="04A0"/>
      </w:tblPr>
      <w:tblGrid>
        <w:gridCol w:w="4513"/>
        <w:gridCol w:w="4513"/>
      </w:tblGrid>
      <w:tr>
        <w:tc>
          <w:tcPr>
            <w:tcW w:type="dxa" w:w="2608"/>
            <w:shd w:val="clear" w:color="auto" w:fill="F4F8FD"/>
            <w:tcBorders>
              <w:top w:val="nil" w:sz="6" w:color="C7D6E5"/>
              <w:bottom w:val="single" w:sz="6" w:color="C7D6E5"/>
              <w:left w:val="nil" w:sz="6" w:color="C7D6E5"/>
              <w:right w:val="nil" w:sz="6" w:color="C7D6E5"/>
            </w:tcBorders>
          </w:tcPr>
          <w:p>
            <w:pPr>
              <w:spacing w:after="40" w:before="40"/>
            </w:pPr>
            <w:r>
              <w:rPr>
                <w:b/>
                <w:color w:val="073A6B"/>
                <w:sz w:val="19"/>
              </w:rPr>
              <w:t>Course code</w:t>
            </w:r>
          </w:p>
        </w:tc>
        <w:tc>
          <w:tcPr>
            <w:tcW w:type="dxa" w:w="6406"/>
            <w:tcBorders>
              <w:top w:val="nil" w:sz="6" w:color="C7D6E5"/>
              <w:bottom w:val="single" w:sz="6" w:color="C7D6E5"/>
              <w:left w:val="nil" w:sz="6" w:color="C7D6E5"/>
              <w:right w:val="nil" w:sz="6" w:color="C7D6E5"/>
            </w:tcBorders>
          </w:tcPr>
          <w:p>
            <w:pPr>
              <w:spacing w:after="40" w:before="40"/>
            </w:pPr>
            <w:r>
              <w:rPr>
                <w:sz w:val="19"/>
              </w:rPr>
              <w:t>CDE2313</w:t>
            </w:r>
          </w:p>
        </w:tc>
      </w:tr>
      <w:tr>
        <w:tc>
          <w:tcPr>
            <w:tcW w:type="dxa" w:w="2608"/>
            <w:shd w:val="clear" w:color="auto" w:fill="F4F8FD"/>
            <w:tcBorders>
              <w:top w:val="nil" w:sz="6" w:color="C7D6E5"/>
              <w:bottom w:val="single" w:sz="6" w:color="C7D6E5"/>
              <w:left w:val="nil" w:sz="6" w:color="C7D6E5"/>
              <w:right w:val="nil" w:sz="6" w:color="C7D6E5"/>
            </w:tcBorders>
          </w:tcPr>
          <w:p>
            <w:pPr>
              <w:spacing w:after="40" w:before="40"/>
            </w:pPr>
            <w:r>
              <w:rPr>
                <w:b/>
                <w:color w:val="073A6B"/>
                <w:sz w:val="19"/>
              </w:rPr>
              <w:t>Course title</w:t>
            </w:r>
          </w:p>
        </w:tc>
        <w:tc>
          <w:tcPr>
            <w:tcW w:type="dxa" w:w="6406"/>
            <w:tcBorders>
              <w:top w:val="nil" w:sz="6" w:color="C7D6E5"/>
              <w:bottom w:val="single" w:sz="6" w:color="C7D6E5"/>
              <w:left w:val="nil" w:sz="6" w:color="C7D6E5"/>
              <w:right w:val="nil" w:sz="6" w:color="C7D6E5"/>
            </w:tcBorders>
          </w:tcPr>
          <w:p>
            <w:pPr>
              <w:spacing w:after="40" w:before="40"/>
            </w:pPr>
            <w:r>
              <w:rPr>
                <w:sz w:val="19"/>
              </w:rPr>
              <w:t>Mobile Application Development</w:t>
            </w:r>
          </w:p>
        </w:tc>
      </w:tr>
      <w:tr>
        <w:tc>
          <w:tcPr>
            <w:tcW w:type="dxa" w:w="2608"/>
            <w:shd w:val="clear" w:color="auto" w:fill="F4F8FD"/>
            <w:tcBorders>
              <w:top w:val="nil" w:sz="6" w:color="C7D6E5"/>
              <w:bottom w:val="single" w:sz="6" w:color="C7D6E5"/>
              <w:left w:val="nil" w:sz="6" w:color="C7D6E5"/>
              <w:right w:val="nil" w:sz="6" w:color="C7D6E5"/>
            </w:tcBorders>
          </w:tcPr>
          <w:p>
            <w:pPr>
              <w:spacing w:after="40" w:before="40"/>
            </w:pPr>
            <w:r>
              <w:rPr>
                <w:b/>
                <w:color w:val="073A6B"/>
                <w:sz w:val="19"/>
              </w:rPr>
              <w:t>Programme</w:t>
            </w:r>
          </w:p>
        </w:tc>
        <w:tc>
          <w:tcPr>
            <w:tcW w:type="dxa" w:w="6406"/>
            <w:tcBorders>
              <w:top w:val="nil" w:sz="6" w:color="C7D6E5"/>
              <w:bottom w:val="single" w:sz="6" w:color="C7D6E5"/>
              <w:left w:val="nil" w:sz="6" w:color="C7D6E5"/>
              <w:right w:val="nil" w:sz="6" w:color="C7D6E5"/>
            </w:tcBorders>
          </w:tcPr>
          <w:p>
            <w:pPr>
              <w:spacing w:after="40" w:before="40"/>
            </w:pPr>
            <w:r>
              <w:rPr>
                <w:sz w:val="19"/>
              </w:rPr>
              <w:t>Bachelor in Data Science</w:t>
            </w:r>
          </w:p>
        </w:tc>
      </w:tr>
      <w:tr>
        <w:tc>
          <w:tcPr>
            <w:tcW w:type="dxa" w:w="2608"/>
            <w:shd w:val="clear" w:color="auto" w:fill="F4F8FD"/>
            <w:tcBorders>
              <w:top w:val="nil" w:sz="6" w:color="C7D6E5"/>
              <w:bottom w:val="single" w:sz="6" w:color="C7D6E5"/>
              <w:left w:val="nil" w:sz="6" w:color="C7D6E5"/>
              <w:right w:val="nil" w:sz="6" w:color="C7D6E5"/>
            </w:tcBorders>
          </w:tcPr>
          <w:p>
            <w:pPr>
              <w:spacing w:after="40" w:before="40"/>
            </w:pPr>
            <w:r>
              <w:rPr>
                <w:b/>
                <w:color w:val="073A6B"/>
                <w:sz w:val="19"/>
              </w:rPr>
              <w:t>Academic session</w:t>
            </w:r>
          </w:p>
        </w:tc>
        <w:tc>
          <w:tcPr>
            <w:tcW w:type="dxa" w:w="6406"/>
            <w:tcBorders>
              <w:top w:val="nil" w:sz="6" w:color="C7D6E5"/>
              <w:bottom w:val="single" w:sz="6" w:color="C7D6E5"/>
              <w:left w:val="nil" w:sz="6" w:color="C7D6E5"/>
              <w:right w:val="nil" w:sz="6" w:color="C7D6E5"/>
            </w:tcBorders>
          </w:tcPr>
          <w:p>
            <w:pPr>
              <w:spacing w:after="40" w:before="40"/>
            </w:pPr>
            <w:r>
              <w:rPr>
                <w:sz w:val="19"/>
              </w:rPr>
              <w:t>2025/2026</w:t>
            </w:r>
          </w:p>
        </w:tc>
      </w:tr>
      <w:tr>
        <w:tc>
          <w:tcPr>
            <w:tcW w:type="dxa" w:w="2608"/>
            <w:shd w:val="clear" w:color="auto" w:fill="F4F8FD"/>
            <w:tcBorders>
              <w:top w:val="nil" w:sz="6" w:color="C7D6E5"/>
              <w:bottom w:val="single" w:sz="6" w:color="C7D6E5"/>
              <w:left w:val="nil" w:sz="6" w:color="C7D6E5"/>
              <w:right w:val="nil" w:sz="6" w:color="C7D6E5"/>
            </w:tcBorders>
          </w:tcPr>
          <w:p>
            <w:pPr>
              <w:spacing w:after="40" w:before="40"/>
            </w:pPr>
            <w:r>
              <w:rPr>
                <w:b/>
                <w:color w:val="073A6B"/>
                <w:sz w:val="19"/>
              </w:rPr>
              <w:t>Semester</w:t>
            </w:r>
          </w:p>
        </w:tc>
        <w:tc>
          <w:tcPr>
            <w:tcW w:type="dxa" w:w="6406"/>
            <w:tcBorders>
              <w:top w:val="nil" w:sz="6" w:color="C7D6E5"/>
              <w:bottom w:val="single" w:sz="6" w:color="C7D6E5"/>
              <w:left w:val="nil" w:sz="6" w:color="C7D6E5"/>
              <w:right w:val="nil" w:sz="6" w:color="C7D6E5"/>
            </w:tcBorders>
          </w:tcPr>
          <w:p>
            <w:pPr>
              <w:spacing w:after="40" w:before="40"/>
            </w:pPr>
            <w:r>
              <w:rPr>
                <w:sz w:val="19"/>
              </w:rPr>
              <w:t>3</w:t>
            </w:r>
          </w:p>
        </w:tc>
      </w:tr>
      <w:tr>
        <w:tc>
          <w:tcPr>
            <w:tcW w:type="dxa" w:w="2608"/>
            <w:shd w:val="clear" w:color="auto" w:fill="F4F8FD"/>
            <w:tcBorders>
              <w:top w:val="nil" w:sz="6" w:color="C7D6E5"/>
              <w:bottom w:val="single" w:sz="6" w:color="C7D6E5"/>
              <w:left w:val="nil" w:sz="6" w:color="C7D6E5"/>
              <w:right w:val="nil" w:sz="6" w:color="C7D6E5"/>
            </w:tcBorders>
          </w:tcPr>
          <w:p>
            <w:pPr>
              <w:spacing w:after="40" w:before="40"/>
            </w:pPr>
            <w:r>
              <w:rPr>
                <w:b/>
                <w:color w:val="073A6B"/>
                <w:sz w:val="19"/>
              </w:rPr>
              <w:t>Lecturer</w:t>
            </w:r>
          </w:p>
        </w:tc>
        <w:tc>
          <w:tcPr>
            <w:tcW w:type="dxa" w:w="6406"/>
            <w:tcBorders>
              <w:top w:val="nil" w:sz="6" w:color="C7D6E5"/>
              <w:bottom w:val="single" w:sz="6" w:color="C7D6E5"/>
              <w:left w:val="nil" w:sz="6" w:color="C7D6E5"/>
              <w:right w:val="nil" w:sz="6" w:color="C7D6E5"/>
            </w:tcBorders>
          </w:tcPr>
          <w:p>
            <w:pPr>
              <w:spacing w:after="40" w:before="40"/>
            </w:pPr>
            <w:r>
              <w:rPr>
                <w:sz w:val="19"/>
              </w:rPr>
              <w:t>Ts. Mohd Zulkifli Mohd Zaki (Lead); Madam Siti Shafrah Shahawai (Co-Lead)</w:t>
            </w:r>
          </w:p>
        </w:tc>
      </w:tr>
      <w:tr>
        <w:tc>
          <w:tcPr>
            <w:tcW w:type="dxa" w:w="2608"/>
            <w:shd w:val="clear" w:color="auto" w:fill="F4F8FD"/>
            <w:tcBorders>
              <w:top w:val="nil" w:sz="6" w:color="C7D6E5"/>
              <w:bottom w:val="single" w:sz="6" w:color="C7D6E5"/>
              <w:left w:val="nil" w:sz="6" w:color="C7D6E5"/>
              <w:right w:val="nil" w:sz="6" w:color="C7D6E5"/>
            </w:tcBorders>
          </w:tcPr>
          <w:p>
            <w:pPr>
              <w:spacing w:after="40" w:before="40"/>
            </w:pPr>
            <w:r>
              <w:rPr>
                <w:b/>
                <w:color w:val="073A6B"/>
                <w:sz w:val="19"/>
              </w:rPr>
              <w:t>Assessment</w:t>
            </w:r>
          </w:p>
        </w:tc>
        <w:tc>
          <w:tcPr>
            <w:tcW w:type="dxa" w:w="6406"/>
            <w:tcBorders>
              <w:top w:val="nil" w:sz="6" w:color="C7D6E5"/>
              <w:bottom w:val="single" w:sz="6" w:color="C7D6E5"/>
              <w:left w:val="nil" w:sz="6" w:color="C7D6E5"/>
              <w:right w:val="nil" w:sz="6" w:color="C7D6E5"/>
            </w:tcBorders>
          </w:tcPr>
          <w:p>
            <w:pPr>
              <w:spacing w:after="40" w:before="40"/>
            </w:pPr>
            <w:r>
              <w:rPr>
                <w:sz w:val="19"/>
              </w:rPr>
              <w:t>Assessment 2 — Group Project (25%)</w:t>
            </w:r>
          </w:p>
        </w:tc>
      </w:tr>
      <w:tr>
        <w:tc>
          <w:tcPr>
            <w:tcW w:type="dxa" w:w="2608"/>
            <w:shd w:val="clear" w:color="auto" w:fill="F4F8FD"/>
            <w:tcBorders>
              <w:top w:val="nil" w:sz="6" w:color="C7D6E5"/>
              <w:bottom w:val="single" w:sz="6" w:color="C7D6E5"/>
              <w:left w:val="nil" w:sz="6" w:color="C7D6E5"/>
              <w:right w:val="nil" w:sz="6" w:color="C7D6E5"/>
            </w:tcBorders>
          </w:tcPr>
          <w:p>
            <w:pPr>
              <w:spacing w:after="40" w:before="40"/>
            </w:pPr>
            <w:r>
              <w:rPr>
                <w:b/>
                <w:color w:val="073A6B"/>
                <w:sz w:val="19"/>
              </w:rPr>
              <w:t>Case study</w:t>
            </w:r>
          </w:p>
        </w:tc>
        <w:tc>
          <w:tcPr>
            <w:tcW w:type="dxa" w:w="6406"/>
            <w:tcBorders>
              <w:top w:val="nil" w:sz="6" w:color="C7D6E5"/>
              <w:bottom w:val="single" w:sz="6" w:color="C7D6E5"/>
              <w:left w:val="nil" w:sz="6" w:color="C7D6E5"/>
              <w:right w:val="nil" w:sz="6" w:color="C7D6E5"/>
            </w:tcBorders>
          </w:tcPr>
          <w:p>
            <w:pPr>
              <w:spacing w:after="40" w:before="40"/>
            </w:pPr>
            <w:r>
              <w:rPr>
                <w:sz w:val="19"/>
              </w:rPr>
              <w:t>TDM Insight — Native Android Therapeutic Drug Monitoring Calculator</w:t>
            </w:r>
          </w:p>
        </w:tc>
      </w:tr>
      <w:tr>
        <w:tc>
          <w:tcPr>
            <w:tcW w:type="dxa" w:w="2608"/>
            <w:shd w:val="clear" w:color="auto" w:fill="F4F8FD"/>
            <w:tcBorders>
              <w:top w:val="nil" w:sz="6" w:color="C7D6E5"/>
              <w:bottom w:val="single" w:sz="6" w:color="C7D6E5"/>
              <w:left w:val="nil" w:sz="6" w:color="C7D6E5"/>
              <w:right w:val="nil" w:sz="6" w:color="C7D6E5"/>
            </w:tcBorders>
          </w:tcPr>
          <w:p>
            <w:pPr>
              <w:spacing w:after="40" w:before="40"/>
            </w:pPr>
            <w:r>
              <w:rPr>
                <w:b/>
                <w:color w:val="073A6B"/>
                <w:sz w:val="19"/>
              </w:rPr>
              <w:t>Citation style</w:t>
            </w:r>
          </w:p>
        </w:tc>
        <w:tc>
          <w:tcPr>
            <w:tcW w:type="dxa" w:w="6406"/>
            <w:tcBorders>
              <w:top w:val="nil" w:sz="6" w:color="C7D6E5"/>
              <w:bottom w:val="single" w:sz="6" w:color="C7D6E5"/>
              <w:left w:val="nil" w:sz="6" w:color="C7D6E5"/>
              <w:right w:val="nil" w:sz="6" w:color="C7D6E5"/>
            </w:tcBorders>
          </w:tcPr>
          <w:p>
            <w:pPr>
              <w:spacing w:after="40" w:before="40"/>
            </w:pPr>
            <w:r>
              <w:rPr>
                <w:sz w:val="19"/>
              </w:rPr>
              <w:t>APA 7th edition</w:t>
            </w:r>
          </w:p>
        </w:tc>
      </w:tr>
      <w:tr>
        <w:tc>
          <w:tcPr>
            <w:tcW w:type="dxa" w:w="2608"/>
            <w:shd w:val="clear" w:color="auto" w:fill="F4F8FD"/>
            <w:tcBorders>
              <w:top w:val="nil" w:sz="6" w:color="C7D6E5"/>
              <w:bottom w:val="single" w:sz="6" w:color="C7D6E5"/>
              <w:left w:val="nil" w:sz="6" w:color="C7D6E5"/>
              <w:right w:val="nil" w:sz="6" w:color="C7D6E5"/>
            </w:tcBorders>
          </w:tcPr>
          <w:p>
            <w:pPr>
              <w:spacing w:after="40" w:before="40"/>
            </w:pPr>
            <w:r>
              <w:rPr>
                <w:b/>
                <w:color w:val="073A6B"/>
                <w:sz w:val="19"/>
              </w:rPr>
              <w:t>Date prepared</w:t>
            </w:r>
          </w:p>
        </w:tc>
        <w:tc>
          <w:tcPr>
            <w:tcW w:type="dxa" w:w="6406"/>
            <w:tcBorders>
              <w:top w:val="nil" w:sz="6" w:color="C7D6E5"/>
              <w:bottom w:val="single" w:sz="6" w:color="C7D6E5"/>
              <w:left w:val="nil" w:sz="6" w:color="C7D6E5"/>
              <w:right w:val="nil" w:sz="6" w:color="C7D6E5"/>
            </w:tcBorders>
          </w:tcPr>
          <w:p>
            <w:pPr>
              <w:spacing w:after="40" w:before="40"/>
            </w:pPr>
            <w:r>
              <w:rPr>
                <w:sz w:val="19"/>
              </w:rPr>
              <w:t>3 September 2026</w:t>
            </w:r>
          </w:p>
        </w:tc>
      </w:tr>
    </w:tbl>
    <w:p>
      <w:pPr>
        <w:spacing w:before="440"/>
      </w:pPr>
      <w:r>
        <w:rPr>
          <w:b/>
          <w:color w:val="073A6B"/>
          <w:sz w:val="22"/>
        </w:rPr>
        <w:t>Prepared by</w:t>
      </w:r>
    </w:p>
    <w:tbl>
      <w:tblPr>
        <w:tblStyle w:val="TableGrid"/>
        <w:tblW w:type="auto" w:w="0"/>
        <w:tblLook w:firstColumn="1" w:firstRow="1" w:lastColumn="0" w:lastRow="0" w:noHBand="0" w:noVBand="1" w:val="04A0"/>
      </w:tblPr>
      <w:tblGrid>
        <w:gridCol w:w="3009"/>
        <w:gridCol w:w="3009"/>
        <w:gridCol w:w="3009"/>
      </w:tblGrid>
      <w:tr>
        <w:tc>
          <w:tcPr>
            <w:tcW w:type="dxa" w:w="3009"/>
            <w:shd w:val="clear" w:color="auto" w:fill="E3F0FF"/>
            <w:tcBorders>
              <w:top w:val="single" w:sz="6" w:color="C7D6E5"/>
              <w:bottom w:val="single" w:sz="6" w:color="C7D6E5"/>
              <w:left w:val="nil" w:sz="6" w:color="C7D6E5"/>
              <w:right w:val="nil" w:sz="6" w:color="C7D6E5"/>
            </w:tcBorders>
          </w:tcPr>
          <w:p>
            <w:r>
              <w:rPr>
                <w:b/>
                <w:color w:val="073A6B"/>
                <w:sz w:val="19"/>
              </w:rPr>
              <w:t>No.</w:t>
            </w:r>
          </w:p>
        </w:tc>
        <w:tc>
          <w:tcPr>
            <w:tcW w:type="dxa" w:w="3009"/>
            <w:shd w:val="clear" w:color="auto" w:fill="E3F0FF"/>
            <w:tcBorders>
              <w:top w:val="single" w:sz="6" w:color="C7D6E5"/>
              <w:bottom w:val="single" w:sz="6" w:color="C7D6E5"/>
              <w:left w:val="nil" w:sz="6" w:color="C7D6E5"/>
              <w:right w:val="nil" w:sz="6" w:color="C7D6E5"/>
            </w:tcBorders>
          </w:tcPr>
          <w:p>
            <w:r>
              <w:rPr>
                <w:b/>
                <w:color w:val="073A6B"/>
                <w:sz w:val="19"/>
              </w:rPr>
              <w:t>Student name</w:t>
            </w:r>
          </w:p>
        </w:tc>
        <w:tc>
          <w:tcPr>
            <w:tcW w:type="dxa" w:w="3009"/>
            <w:shd w:val="clear" w:color="auto" w:fill="E3F0FF"/>
            <w:tcBorders>
              <w:top w:val="single" w:sz="6" w:color="C7D6E5"/>
              <w:bottom w:val="single" w:sz="6" w:color="C7D6E5"/>
              <w:left w:val="nil" w:sz="6" w:color="C7D6E5"/>
              <w:right w:val="nil" w:sz="6" w:color="C7D6E5"/>
            </w:tcBorders>
          </w:tcPr>
          <w:p>
            <w:r>
              <w:rPr>
                <w:b/>
                <w:color w:val="073A6B"/>
                <w:sz w:val="19"/>
              </w:rPr>
              <w:t>Student ID</w:t>
            </w:r>
          </w:p>
        </w:tc>
      </w:tr>
      <w:tr>
        <w:tc>
          <w:tcPr>
            <w:tcW w:type="dxa" w:w="794"/>
            <w:tcBorders>
              <w:top w:val="nil" w:sz="6" w:color="C7D6E5"/>
              <w:bottom w:val="single" w:sz="6" w:color="C7D6E5"/>
              <w:left w:val="nil" w:sz="6" w:color="C7D6E5"/>
              <w:right w:val="nil" w:sz="6" w:color="C7D6E5"/>
            </w:tcBorders>
          </w:tcPr>
          <w:p>
            <w:pPr>
              <w:spacing w:after="60" w:before="60"/>
            </w:pPr>
            <w:r>
              <w:rPr>
                <w:sz w:val="19"/>
              </w:rPr>
              <w:t>1</w:t>
            </w:r>
          </w:p>
        </w:tc>
        <w:tc>
          <w:tcPr>
            <w:tcW w:type="dxa" w:w="4535"/>
            <w:tcBorders>
              <w:top w:val="nil" w:sz="6" w:color="C7D6E5"/>
              <w:bottom w:val="single" w:sz="6" w:color="C7D6E5"/>
              <w:left w:val="nil" w:sz="6" w:color="C7D6E5"/>
              <w:right w:val="nil" w:sz="6" w:color="C7D6E5"/>
            </w:tcBorders>
          </w:tcPr>
          <w:p>
            <w:pPr>
              <w:spacing w:after="60" w:before="60"/>
            </w:pPr>
            <w:r>
              <w:rPr>
                <w:sz w:val="19"/>
              </w:rPr>
              <w:t>Mowlid Haibe</w:t>
            </w:r>
          </w:p>
        </w:tc>
        <w:tc>
          <w:tcPr>
            <w:tcW w:type="dxa" w:w="3685"/>
            <w:tcBorders>
              <w:top w:val="nil" w:sz="6" w:color="C7D6E5"/>
              <w:bottom w:val="single" w:sz="6" w:color="C7D6E5"/>
              <w:left w:val="nil" w:sz="6" w:color="C7D6E5"/>
              <w:right w:val="nil" w:sz="6" w:color="C7D6E5"/>
            </w:tcBorders>
          </w:tcPr>
          <w:p>
            <w:pPr>
              <w:spacing w:after="60" w:before="60"/>
            </w:pPr>
            <w:r>
              <w:rPr>
                <w:sz w:val="19"/>
              </w:rPr>
            </w:r>
          </w:p>
        </w:tc>
      </w:tr>
      <w:tr>
        <w:tc>
          <w:tcPr>
            <w:tcW w:type="dxa" w:w="794"/>
            <w:tcBorders>
              <w:top w:val="nil" w:sz="6" w:color="C7D6E5"/>
              <w:bottom w:val="single" w:sz="6" w:color="C7D6E5"/>
              <w:left w:val="nil" w:sz="6" w:color="C7D6E5"/>
              <w:right w:val="nil" w:sz="6" w:color="C7D6E5"/>
            </w:tcBorders>
          </w:tcPr>
          <w:p>
            <w:pPr>
              <w:spacing w:after="60" w:before="60"/>
            </w:pPr>
            <w:r>
              <w:rPr>
                <w:sz w:val="19"/>
              </w:rPr>
              <w:t>2</w:t>
            </w:r>
          </w:p>
        </w:tc>
        <w:tc>
          <w:tcPr>
            <w:tcW w:type="dxa" w:w="4535"/>
            <w:tcBorders>
              <w:top w:val="nil" w:sz="6" w:color="C7D6E5"/>
              <w:bottom w:val="single" w:sz="6" w:color="C7D6E5"/>
              <w:left w:val="nil" w:sz="6" w:color="C7D6E5"/>
              <w:right w:val="nil" w:sz="6" w:color="C7D6E5"/>
            </w:tcBorders>
          </w:tcPr>
          <w:p>
            <w:pPr>
              <w:spacing w:after="60" w:before="60"/>
            </w:pPr>
            <w:r>
              <w:rPr>
                <w:sz w:val="19"/>
              </w:rPr>
              <w:t>Abdinaazir Mustafe</w:t>
            </w:r>
          </w:p>
        </w:tc>
        <w:tc>
          <w:tcPr>
            <w:tcW w:type="dxa" w:w="3685"/>
            <w:tcBorders>
              <w:top w:val="nil" w:sz="6" w:color="C7D6E5"/>
              <w:bottom w:val="single" w:sz="6" w:color="C7D6E5"/>
              <w:left w:val="nil" w:sz="6" w:color="C7D6E5"/>
              <w:right w:val="nil" w:sz="6" w:color="C7D6E5"/>
            </w:tcBorders>
          </w:tcPr>
          <w:p>
            <w:pPr>
              <w:spacing w:after="60" w:before="60"/>
            </w:pPr>
            <w:r>
              <w:rPr>
                <w:sz w:val="19"/>
              </w:rPr>
            </w:r>
          </w:p>
        </w:tc>
      </w:tr>
      <w:tr>
        <w:tc>
          <w:tcPr>
            <w:tcW w:type="dxa" w:w="794"/>
            <w:tcBorders>
              <w:top w:val="nil" w:sz="6" w:color="C7D6E5"/>
              <w:bottom w:val="single" w:sz="6" w:color="C7D6E5"/>
              <w:left w:val="nil" w:sz="6" w:color="C7D6E5"/>
              <w:right w:val="nil" w:sz="6" w:color="C7D6E5"/>
            </w:tcBorders>
          </w:tcPr>
          <w:p>
            <w:pPr>
              <w:spacing w:after="60" w:before="60"/>
            </w:pPr>
            <w:r>
              <w:rPr>
                <w:sz w:val="19"/>
              </w:rPr>
              <w:t>3</w:t>
            </w:r>
          </w:p>
        </w:tc>
        <w:tc>
          <w:tcPr>
            <w:tcW w:type="dxa" w:w="4535"/>
            <w:tcBorders>
              <w:top w:val="nil" w:sz="6" w:color="C7D6E5"/>
              <w:bottom w:val="single" w:sz="6" w:color="C7D6E5"/>
              <w:left w:val="nil" w:sz="6" w:color="C7D6E5"/>
              <w:right w:val="nil" w:sz="6" w:color="C7D6E5"/>
            </w:tcBorders>
          </w:tcPr>
          <w:p>
            <w:pPr>
              <w:spacing w:after="60" w:before="60"/>
            </w:pPr>
            <w:r>
              <w:rPr>
                <w:sz w:val="19"/>
              </w:rPr>
              <w:t>Elham Ahmedngus</w:t>
            </w:r>
          </w:p>
        </w:tc>
        <w:tc>
          <w:tcPr>
            <w:tcW w:type="dxa" w:w="3685"/>
            <w:tcBorders>
              <w:top w:val="nil" w:sz="6" w:color="C7D6E5"/>
              <w:bottom w:val="single" w:sz="6" w:color="C7D6E5"/>
              <w:left w:val="nil" w:sz="6" w:color="C7D6E5"/>
              <w:right w:val="nil" w:sz="6" w:color="C7D6E5"/>
            </w:tcBorders>
          </w:tcPr>
          <w:p>
            <w:pPr>
              <w:spacing w:after="60" w:before="60"/>
            </w:pPr>
            <w:r>
              <w:rPr>
                <w:sz w:val="19"/>
              </w:rPr>
            </w:r>
          </w:p>
        </w:tc>
      </w:tr>
    </w:tbl>
    <w:p>
      <w:pPr>
        <w:spacing w:before="200"/>
      </w:pPr>
      <w:r>
        <w:rPr>
          <w:i/>
          <w:color w:val="5A6B7F"/>
          <w:sz w:val="17"/>
        </w:rPr>
        <w:t>Student ID numbers are to be completed by each member before submission.</w:t>
      </w:r>
    </w:p>
    <w:p>
      <w:pPr>
        <w:spacing w:before="360"/>
        <w:jc w:val="center"/>
      </w:pPr>
      <w:r>
        <w:rPr>
          <w:i/>
          <w:color w:val="5A6B7F"/>
          <w:sz w:val="18"/>
        </w:rPr>
        <w:t>Academic prototype. Not a clinically validated prescribing, diagnostic or treatment-decision system. All demonstration cases are fictional.</w:t>
      </w:r>
    </w:p>
    <w:p>
      <w:r>
        <w:br w:type="page"/>
      </w:r>
    </w:p>
    <w:p>
      <w:pPr>
        <w:spacing w:after="240"/>
      </w:pPr>
      <w:r>
        <w:rPr>
          <w:b/>
          <w:color w:val="073A6B"/>
          <w:sz w:val="32"/>
        </w:rPr>
        <w:t>Table of Contents</w:t>
      </w:r>
    </w:p>
    <w:p>
      <w:pPr>
        <w:tabs>
          <w:tab w:pos="8844" w:val="right" w:leader="dot"/>
        </w:tabs>
        <w:spacing w:after="120" w:before="120" w:line="264" w:lineRule="auto"/>
        <w:ind w:left="0"/>
      </w:pPr>
      <w:r>
        <w:rPr>
          <w:b/>
          <w:color w:val="073A6B"/>
          <w:sz w:val="22"/>
        </w:rPr>
        <w:t>1. Introduction</w:t>
      </w:r>
      <w:r>
        <w:tab/>
      </w:r>
      <w:r>
        <w:rPr>
          <w:b/>
          <w:color w:val="073A6B"/>
          <w:sz w:val="20"/>
        </w:rPr>
        <w:t>6</w:t>
      </w:r>
    </w:p>
    <w:p>
      <w:pPr>
        <w:tabs>
          <w:tab w:pos="8844" w:val="right" w:leader="dot"/>
        </w:tabs>
        <w:spacing w:after="60" w:before="0" w:line="264" w:lineRule="auto"/>
        <w:ind w:left="454"/>
      </w:pPr>
      <w:r>
        <w:rPr>
          <w:b w:val="0"/>
          <w:color w:val="0F1A2A"/>
          <w:sz w:val="20"/>
        </w:rPr>
        <w:t>1.1 Background</w:t>
      </w:r>
      <w:r>
        <w:tab/>
      </w:r>
      <w:r>
        <w:rPr>
          <w:b w:val="0"/>
          <w:color w:val="5A6B7F"/>
          <w:sz w:val="20"/>
        </w:rPr>
        <w:t>6</w:t>
      </w:r>
    </w:p>
    <w:p>
      <w:pPr>
        <w:tabs>
          <w:tab w:pos="8844" w:val="right" w:leader="dot"/>
        </w:tabs>
        <w:spacing w:after="60" w:before="0" w:line="264" w:lineRule="auto"/>
        <w:ind w:left="454"/>
      </w:pPr>
      <w:r>
        <w:rPr>
          <w:b w:val="0"/>
          <w:color w:val="0F1A2A"/>
          <w:sz w:val="20"/>
        </w:rPr>
        <w:t>1.2 Purpose</w:t>
      </w:r>
      <w:r>
        <w:tab/>
      </w:r>
      <w:r>
        <w:rPr>
          <w:b w:val="0"/>
          <w:color w:val="5A6B7F"/>
          <w:sz w:val="20"/>
        </w:rPr>
        <w:t>6</w:t>
      </w:r>
    </w:p>
    <w:p>
      <w:pPr>
        <w:tabs>
          <w:tab w:pos="8844" w:val="right" w:leader="dot"/>
        </w:tabs>
        <w:spacing w:after="60" w:before="0" w:line="264" w:lineRule="auto"/>
        <w:ind w:left="454"/>
      </w:pPr>
      <w:r>
        <w:rPr>
          <w:b w:val="0"/>
          <w:color w:val="0F1A2A"/>
          <w:sz w:val="20"/>
        </w:rPr>
        <w:t>1.3 Objectives</w:t>
      </w:r>
      <w:r>
        <w:tab/>
      </w:r>
      <w:r>
        <w:rPr>
          <w:b w:val="0"/>
          <w:color w:val="5A6B7F"/>
          <w:sz w:val="20"/>
        </w:rPr>
        <w:t>6</w:t>
      </w:r>
    </w:p>
    <w:p>
      <w:pPr>
        <w:tabs>
          <w:tab w:pos="8844" w:val="right" w:leader="dot"/>
        </w:tabs>
        <w:spacing w:after="60" w:before="0" w:line="264" w:lineRule="auto"/>
        <w:ind w:left="454"/>
      </w:pPr>
      <w:r>
        <w:rPr>
          <w:b w:val="0"/>
          <w:color w:val="0F1A2A"/>
          <w:sz w:val="20"/>
        </w:rPr>
        <w:t>1.4 Target Users</w:t>
      </w:r>
      <w:r>
        <w:tab/>
      </w:r>
      <w:r>
        <w:rPr>
          <w:b w:val="0"/>
          <w:color w:val="5A6B7F"/>
          <w:sz w:val="20"/>
        </w:rPr>
        <w:t>7</w:t>
      </w:r>
    </w:p>
    <w:p>
      <w:pPr>
        <w:tabs>
          <w:tab w:pos="8844" w:val="right" w:leader="dot"/>
        </w:tabs>
        <w:spacing w:after="60" w:before="0" w:line="264" w:lineRule="auto"/>
        <w:ind w:left="454"/>
      </w:pPr>
      <w:r>
        <w:rPr>
          <w:b w:val="0"/>
          <w:color w:val="0F1A2A"/>
          <w:sz w:val="20"/>
        </w:rPr>
        <w:t>1.5 Scope</w:t>
      </w:r>
      <w:r>
        <w:tab/>
      </w:r>
      <w:r>
        <w:rPr>
          <w:b w:val="0"/>
          <w:color w:val="5A6B7F"/>
          <w:sz w:val="20"/>
        </w:rPr>
        <w:t>7</w:t>
      </w:r>
    </w:p>
    <w:p>
      <w:pPr>
        <w:tabs>
          <w:tab w:pos="8844" w:val="right" w:leader="dot"/>
        </w:tabs>
        <w:spacing w:after="60" w:before="0" w:line="264" w:lineRule="auto"/>
        <w:ind w:left="454"/>
      </w:pPr>
      <w:r>
        <w:rPr>
          <w:b w:val="0"/>
          <w:color w:val="0F1A2A"/>
          <w:sz w:val="20"/>
        </w:rPr>
        <w:t>1.6 Structure of This Report</w:t>
      </w:r>
      <w:r>
        <w:tab/>
      </w:r>
      <w:r>
        <w:rPr>
          <w:b w:val="0"/>
          <w:color w:val="5A6B7F"/>
          <w:sz w:val="20"/>
        </w:rPr>
        <w:t>7</w:t>
      </w:r>
    </w:p>
    <w:p>
      <w:pPr>
        <w:tabs>
          <w:tab w:pos="8844" w:val="right" w:leader="dot"/>
        </w:tabs>
        <w:spacing w:after="120" w:before="120" w:line="264" w:lineRule="auto"/>
        <w:ind w:left="0"/>
      </w:pPr>
      <w:r>
        <w:rPr>
          <w:b/>
          <w:color w:val="073A6B"/>
          <w:sz w:val="22"/>
        </w:rPr>
        <w:t>2. Problem Statement</w:t>
      </w:r>
      <w:r>
        <w:tab/>
      </w:r>
      <w:r>
        <w:rPr>
          <w:b/>
          <w:color w:val="073A6B"/>
          <w:sz w:val="20"/>
        </w:rPr>
        <w:t>8</w:t>
      </w:r>
    </w:p>
    <w:p>
      <w:pPr>
        <w:tabs>
          <w:tab w:pos="8844" w:val="right" w:leader="dot"/>
        </w:tabs>
        <w:spacing w:after="60" w:before="0" w:line="264" w:lineRule="auto"/>
        <w:ind w:left="454"/>
      </w:pPr>
      <w:r>
        <w:rPr>
          <w:b w:val="0"/>
          <w:color w:val="0F1A2A"/>
          <w:sz w:val="20"/>
        </w:rPr>
        <w:t>2.1 The Clinical Problem</w:t>
      </w:r>
      <w:r>
        <w:tab/>
      </w:r>
      <w:r>
        <w:rPr>
          <w:b w:val="0"/>
          <w:color w:val="5A6B7F"/>
          <w:sz w:val="20"/>
        </w:rPr>
        <w:t>8</w:t>
      </w:r>
    </w:p>
    <w:p>
      <w:pPr>
        <w:tabs>
          <w:tab w:pos="8844" w:val="right" w:leader="dot"/>
        </w:tabs>
        <w:spacing w:after="60" w:before="0" w:line="264" w:lineRule="auto"/>
        <w:ind w:left="454"/>
      </w:pPr>
      <w:r>
        <w:rPr>
          <w:b w:val="0"/>
          <w:color w:val="0F1A2A"/>
          <w:sz w:val="20"/>
        </w:rPr>
        <w:t>2.2 Limitations of Current Practice</w:t>
      </w:r>
      <w:r>
        <w:tab/>
      </w:r>
      <w:r>
        <w:rPr>
          <w:b w:val="0"/>
          <w:color w:val="5A6B7F"/>
          <w:sz w:val="20"/>
        </w:rPr>
        <w:t>8</w:t>
      </w:r>
    </w:p>
    <w:p>
      <w:pPr>
        <w:tabs>
          <w:tab w:pos="8844" w:val="right" w:leader="dot"/>
        </w:tabs>
        <w:spacing w:after="60" w:before="0" w:line="264" w:lineRule="auto"/>
        <w:ind w:left="454"/>
      </w:pPr>
      <w:r>
        <w:rPr>
          <w:b w:val="0"/>
          <w:color w:val="0F1A2A"/>
          <w:sz w:val="20"/>
        </w:rPr>
        <w:t>2.3 Who Is Affected</w:t>
      </w:r>
      <w:r>
        <w:tab/>
      </w:r>
      <w:r>
        <w:rPr>
          <w:b w:val="0"/>
          <w:color w:val="5A6B7F"/>
          <w:sz w:val="20"/>
        </w:rPr>
        <w:t>8</w:t>
      </w:r>
    </w:p>
    <w:p>
      <w:pPr>
        <w:tabs>
          <w:tab w:pos="8844" w:val="right" w:leader="dot"/>
        </w:tabs>
        <w:spacing w:after="60" w:before="0" w:line="264" w:lineRule="auto"/>
        <w:ind w:left="454"/>
      </w:pPr>
      <w:r>
        <w:rPr>
          <w:b w:val="0"/>
          <w:color w:val="0F1A2A"/>
          <w:sz w:val="20"/>
        </w:rPr>
        <w:t>2.4 How TDM Insight Addresses the Problem</w:t>
      </w:r>
      <w:r>
        <w:tab/>
      </w:r>
      <w:r>
        <w:rPr>
          <w:b w:val="0"/>
          <w:color w:val="5A6B7F"/>
          <w:sz w:val="20"/>
        </w:rPr>
        <w:t>9</w:t>
      </w:r>
    </w:p>
    <w:p>
      <w:pPr>
        <w:tabs>
          <w:tab w:pos="8844" w:val="right" w:leader="dot"/>
        </w:tabs>
        <w:spacing w:after="120" w:before="120" w:line="264" w:lineRule="auto"/>
        <w:ind w:left="0"/>
      </w:pPr>
      <w:r>
        <w:rPr>
          <w:b/>
          <w:color w:val="073A6B"/>
          <w:sz w:val="22"/>
        </w:rPr>
        <w:t>3. Proposed Solution</w:t>
      </w:r>
      <w:r>
        <w:tab/>
      </w:r>
      <w:r>
        <w:rPr>
          <w:b/>
          <w:color w:val="073A6B"/>
          <w:sz w:val="20"/>
        </w:rPr>
        <w:t>9</w:t>
      </w:r>
    </w:p>
    <w:p>
      <w:pPr>
        <w:tabs>
          <w:tab w:pos="8844" w:val="right" w:leader="dot"/>
        </w:tabs>
        <w:spacing w:after="60" w:before="0" w:line="264" w:lineRule="auto"/>
        <w:ind w:left="454"/>
      </w:pPr>
      <w:r>
        <w:rPr>
          <w:b w:val="0"/>
          <w:color w:val="0F1A2A"/>
          <w:sz w:val="20"/>
        </w:rPr>
        <w:t>3.1 Solution Overview</w:t>
      </w:r>
      <w:r>
        <w:tab/>
      </w:r>
      <w:r>
        <w:rPr>
          <w:b w:val="0"/>
          <w:color w:val="5A6B7F"/>
          <w:sz w:val="20"/>
        </w:rPr>
        <w:t>9</w:t>
      </w:r>
    </w:p>
    <w:p>
      <w:pPr>
        <w:tabs>
          <w:tab w:pos="8844" w:val="right" w:leader="dot"/>
        </w:tabs>
        <w:spacing w:after="60" w:before="0" w:line="264" w:lineRule="auto"/>
        <w:ind w:left="454"/>
      </w:pPr>
      <w:r>
        <w:rPr>
          <w:b w:val="0"/>
          <w:color w:val="0F1A2A"/>
          <w:sz w:val="20"/>
        </w:rPr>
        <w:t>3.2 Key Features</w:t>
      </w:r>
      <w:r>
        <w:tab/>
      </w:r>
      <w:r>
        <w:rPr>
          <w:b w:val="0"/>
          <w:color w:val="5A6B7F"/>
          <w:sz w:val="20"/>
        </w:rPr>
        <w:t>9</w:t>
      </w:r>
    </w:p>
    <w:p>
      <w:pPr>
        <w:tabs>
          <w:tab w:pos="8844" w:val="right" w:leader="dot"/>
        </w:tabs>
        <w:spacing w:after="60" w:before="0" w:line="264" w:lineRule="auto"/>
        <w:ind w:left="454"/>
      </w:pPr>
      <w:r>
        <w:rPr>
          <w:b w:val="0"/>
          <w:color w:val="0F1A2A"/>
          <w:sz w:val="20"/>
        </w:rPr>
        <w:t>3.3 Scope Boundaries and Deliberate Extensions</w:t>
      </w:r>
      <w:r>
        <w:tab/>
      </w:r>
      <w:r>
        <w:rPr>
          <w:b w:val="0"/>
          <w:color w:val="5A6B7F"/>
          <w:sz w:val="20"/>
        </w:rPr>
        <w:t>10</w:t>
      </w:r>
    </w:p>
    <w:p>
      <w:pPr>
        <w:tabs>
          <w:tab w:pos="8844" w:val="right" w:leader="dot"/>
        </w:tabs>
        <w:spacing w:after="120" w:before="120" w:line="264" w:lineRule="auto"/>
        <w:ind w:left="0"/>
      </w:pPr>
      <w:r>
        <w:rPr>
          <w:b/>
          <w:color w:val="073A6B"/>
          <w:sz w:val="22"/>
        </w:rPr>
        <w:t>4. System Overview and Requirements</w:t>
      </w:r>
      <w:r>
        <w:tab/>
      </w:r>
      <w:r>
        <w:rPr>
          <w:b/>
          <w:color w:val="073A6B"/>
          <w:sz w:val="20"/>
        </w:rPr>
        <w:t>10</w:t>
      </w:r>
    </w:p>
    <w:p>
      <w:pPr>
        <w:tabs>
          <w:tab w:pos="8844" w:val="right" w:leader="dot"/>
        </w:tabs>
        <w:spacing w:after="60" w:before="0" w:line="264" w:lineRule="auto"/>
        <w:ind w:left="454"/>
      </w:pPr>
      <w:r>
        <w:rPr>
          <w:b w:val="0"/>
          <w:color w:val="0F1A2A"/>
          <w:sz w:val="20"/>
        </w:rPr>
        <w:t>4.1 Requirements Traceability</w:t>
      </w:r>
      <w:r>
        <w:tab/>
      </w:r>
      <w:r>
        <w:rPr>
          <w:b w:val="0"/>
          <w:color w:val="5A6B7F"/>
          <w:sz w:val="20"/>
        </w:rPr>
        <w:t>10</w:t>
      </w:r>
    </w:p>
    <w:p>
      <w:pPr>
        <w:tabs>
          <w:tab w:pos="8844" w:val="right" w:leader="dot"/>
        </w:tabs>
        <w:spacing w:after="60" w:before="0" w:line="264" w:lineRule="auto"/>
        <w:ind w:left="454"/>
      </w:pPr>
      <w:r>
        <w:rPr>
          <w:b w:val="0"/>
          <w:color w:val="0F1A2A"/>
          <w:sz w:val="20"/>
        </w:rPr>
        <w:t>4.2 Functional Requirements</w:t>
      </w:r>
      <w:r>
        <w:tab/>
      </w:r>
      <w:r>
        <w:rPr>
          <w:b w:val="0"/>
          <w:color w:val="5A6B7F"/>
          <w:sz w:val="20"/>
        </w:rPr>
        <w:t>11</w:t>
      </w:r>
    </w:p>
    <w:p>
      <w:pPr>
        <w:tabs>
          <w:tab w:pos="8844" w:val="right" w:leader="dot"/>
        </w:tabs>
        <w:spacing w:after="60" w:before="0" w:line="264" w:lineRule="auto"/>
        <w:ind w:left="454"/>
      </w:pPr>
      <w:r>
        <w:rPr>
          <w:b w:val="0"/>
          <w:color w:val="0F1A2A"/>
          <w:sz w:val="20"/>
        </w:rPr>
        <w:t>4.3 Non-Functional Requirements</w:t>
      </w:r>
      <w:r>
        <w:tab/>
      </w:r>
      <w:r>
        <w:rPr>
          <w:b w:val="0"/>
          <w:color w:val="5A6B7F"/>
          <w:sz w:val="20"/>
        </w:rPr>
        <w:t>13</w:t>
      </w:r>
    </w:p>
    <w:p>
      <w:pPr>
        <w:tabs>
          <w:tab w:pos="8844" w:val="right" w:leader="dot"/>
        </w:tabs>
        <w:spacing w:after="120" w:before="120" w:line="264" w:lineRule="auto"/>
        <w:ind w:left="0"/>
      </w:pPr>
      <w:r>
        <w:rPr>
          <w:b/>
          <w:color w:val="073A6B"/>
          <w:sz w:val="22"/>
        </w:rPr>
        <w:t>5. Technology Stack</w:t>
      </w:r>
      <w:r>
        <w:tab/>
      </w:r>
      <w:r>
        <w:rPr>
          <w:b/>
          <w:color w:val="073A6B"/>
          <w:sz w:val="20"/>
        </w:rPr>
        <w:t>13</w:t>
      </w:r>
    </w:p>
    <w:p>
      <w:pPr>
        <w:tabs>
          <w:tab w:pos="8844" w:val="right" w:leader="dot"/>
        </w:tabs>
        <w:spacing w:after="120" w:before="120" w:line="264" w:lineRule="auto"/>
        <w:ind w:left="0"/>
      </w:pPr>
      <w:r>
        <w:rPr>
          <w:b/>
          <w:color w:val="073A6B"/>
          <w:sz w:val="22"/>
        </w:rPr>
        <w:t>6. System Architecture</w:t>
      </w:r>
      <w:r>
        <w:tab/>
      </w:r>
      <w:r>
        <w:rPr>
          <w:b/>
          <w:color w:val="073A6B"/>
          <w:sz w:val="20"/>
        </w:rPr>
        <w:t>16</w:t>
      </w:r>
    </w:p>
    <w:p>
      <w:pPr>
        <w:tabs>
          <w:tab w:pos="8844" w:val="right" w:leader="dot"/>
        </w:tabs>
        <w:spacing w:after="60" w:before="0" w:line="264" w:lineRule="auto"/>
        <w:ind w:left="454"/>
      </w:pPr>
      <w:r>
        <w:rPr>
          <w:b w:val="0"/>
          <w:color w:val="0F1A2A"/>
          <w:sz w:val="20"/>
        </w:rPr>
        <w:t>6.1 Architectural Pattern and Justification</w:t>
      </w:r>
      <w:r>
        <w:tab/>
      </w:r>
      <w:r>
        <w:rPr>
          <w:b w:val="0"/>
          <w:color w:val="5A6B7F"/>
          <w:sz w:val="20"/>
        </w:rPr>
        <w:t>16</w:t>
      </w:r>
    </w:p>
    <w:p>
      <w:pPr>
        <w:tabs>
          <w:tab w:pos="8844" w:val="right" w:leader="dot"/>
        </w:tabs>
        <w:spacing w:after="60" w:before="0" w:line="264" w:lineRule="auto"/>
        <w:ind w:left="454"/>
      </w:pPr>
      <w:r>
        <w:rPr>
          <w:b w:val="0"/>
          <w:color w:val="0F1A2A"/>
          <w:sz w:val="20"/>
        </w:rPr>
        <w:t>6.2 The Architecture in Detail</w:t>
      </w:r>
      <w:r>
        <w:tab/>
      </w:r>
      <w:r>
        <w:rPr>
          <w:b w:val="0"/>
          <w:color w:val="5A6B7F"/>
          <w:sz w:val="20"/>
        </w:rPr>
        <w:t>17</w:t>
      </w:r>
    </w:p>
    <w:p>
      <w:pPr>
        <w:tabs>
          <w:tab w:pos="8844" w:val="right" w:leader="dot"/>
        </w:tabs>
        <w:spacing w:after="60" w:before="0" w:line="264" w:lineRule="auto"/>
        <w:ind w:left="454"/>
      </w:pPr>
      <w:r>
        <w:rPr>
          <w:b w:val="0"/>
          <w:color w:val="0F1A2A"/>
          <w:sz w:val="20"/>
        </w:rPr>
        <w:t>6.3 Layer Interaction</w:t>
      </w:r>
      <w:r>
        <w:tab/>
      </w:r>
      <w:r>
        <w:rPr>
          <w:b w:val="0"/>
          <w:color w:val="5A6B7F"/>
          <w:sz w:val="20"/>
        </w:rPr>
        <w:t>18</w:t>
      </w:r>
    </w:p>
    <w:p>
      <w:pPr>
        <w:tabs>
          <w:tab w:pos="8844" w:val="right" w:leader="dot"/>
        </w:tabs>
        <w:spacing w:after="120" w:before="120" w:line="264" w:lineRule="auto"/>
        <w:ind w:left="0"/>
      </w:pPr>
      <w:r>
        <w:rPr>
          <w:b/>
          <w:color w:val="073A6B"/>
          <w:sz w:val="22"/>
        </w:rPr>
        <w:t>7. Use Case Model</w:t>
      </w:r>
      <w:r>
        <w:tab/>
      </w:r>
      <w:r>
        <w:rPr>
          <w:b/>
          <w:color w:val="073A6B"/>
          <w:sz w:val="20"/>
        </w:rPr>
        <w:t>18</w:t>
      </w:r>
    </w:p>
    <w:p>
      <w:pPr>
        <w:tabs>
          <w:tab w:pos="8844" w:val="right" w:leader="dot"/>
        </w:tabs>
        <w:spacing w:after="60" w:before="0" w:line="264" w:lineRule="auto"/>
        <w:ind w:left="454"/>
      </w:pPr>
      <w:r>
        <w:rPr>
          <w:b w:val="0"/>
          <w:color w:val="0F1A2A"/>
          <w:sz w:val="20"/>
        </w:rPr>
        <w:t>7.1 Actors</w:t>
      </w:r>
      <w:r>
        <w:tab/>
      </w:r>
      <w:r>
        <w:rPr>
          <w:b w:val="0"/>
          <w:color w:val="5A6B7F"/>
          <w:sz w:val="20"/>
        </w:rPr>
        <w:t>18</w:t>
      </w:r>
    </w:p>
    <w:p>
      <w:pPr>
        <w:tabs>
          <w:tab w:pos="8844" w:val="right" w:leader="dot"/>
        </w:tabs>
        <w:spacing w:after="60" w:before="0" w:line="264" w:lineRule="auto"/>
        <w:ind w:left="454"/>
      </w:pPr>
      <w:r>
        <w:rPr>
          <w:b w:val="0"/>
          <w:color w:val="0F1A2A"/>
          <w:sz w:val="20"/>
        </w:rPr>
        <w:t>7.2 Use Case Summary</w:t>
      </w:r>
      <w:r>
        <w:tab/>
      </w:r>
      <w:r>
        <w:rPr>
          <w:b w:val="0"/>
          <w:color w:val="5A6B7F"/>
          <w:sz w:val="20"/>
        </w:rPr>
        <w:t>18</w:t>
      </w:r>
    </w:p>
    <w:p>
      <w:pPr>
        <w:tabs>
          <w:tab w:pos="8844" w:val="right" w:leader="dot"/>
        </w:tabs>
        <w:spacing w:after="60" w:before="0" w:line="264" w:lineRule="auto"/>
        <w:ind w:left="454"/>
      </w:pPr>
      <w:r>
        <w:rPr>
          <w:b w:val="0"/>
          <w:color w:val="0F1A2A"/>
          <w:sz w:val="20"/>
        </w:rPr>
        <w:t>7.3 Detailed Use Case Specification</w:t>
      </w:r>
      <w:r>
        <w:tab/>
      </w:r>
      <w:r>
        <w:rPr>
          <w:b w:val="0"/>
          <w:color w:val="5A6B7F"/>
          <w:sz w:val="20"/>
        </w:rPr>
        <w:t>20</w:t>
      </w:r>
    </w:p>
    <w:p>
      <w:pPr>
        <w:tabs>
          <w:tab w:pos="8844" w:val="right" w:leader="dot"/>
        </w:tabs>
        <w:spacing w:after="120" w:before="120" w:line="264" w:lineRule="auto"/>
        <w:ind w:left="0"/>
      </w:pPr>
      <w:r>
        <w:rPr>
          <w:b/>
          <w:color w:val="073A6B"/>
          <w:sz w:val="22"/>
        </w:rPr>
        <w:t>8. Component and Package Structure</w:t>
      </w:r>
      <w:r>
        <w:tab/>
      </w:r>
      <w:r>
        <w:rPr>
          <w:b/>
          <w:color w:val="073A6B"/>
          <w:sz w:val="20"/>
        </w:rPr>
        <w:t>21</w:t>
      </w:r>
    </w:p>
    <w:p>
      <w:pPr>
        <w:tabs>
          <w:tab w:pos="8844" w:val="right" w:leader="dot"/>
        </w:tabs>
        <w:spacing w:after="120" w:before="120" w:line="264" w:lineRule="auto"/>
        <w:ind w:left="0"/>
      </w:pPr>
      <w:r>
        <w:rPr>
          <w:b/>
          <w:color w:val="073A6B"/>
          <w:sz w:val="22"/>
        </w:rPr>
        <w:t>9. Behavioural Models</w:t>
      </w:r>
      <w:r>
        <w:tab/>
      </w:r>
      <w:r>
        <w:rPr>
          <w:b/>
          <w:color w:val="073A6B"/>
          <w:sz w:val="20"/>
        </w:rPr>
        <w:t>21</w:t>
      </w:r>
    </w:p>
    <w:p>
      <w:pPr>
        <w:tabs>
          <w:tab w:pos="8844" w:val="right" w:leader="dot"/>
        </w:tabs>
        <w:spacing w:after="60" w:before="0" w:line="264" w:lineRule="auto"/>
        <w:ind w:left="454"/>
      </w:pPr>
      <w:r>
        <w:rPr>
          <w:b w:val="0"/>
          <w:color w:val="0F1A2A"/>
          <w:sz w:val="20"/>
        </w:rPr>
        <w:t>9.1 Activity Diagram — Application Entry and Authentication</w:t>
      </w:r>
      <w:r>
        <w:tab/>
      </w:r>
      <w:r>
        <w:rPr>
          <w:b w:val="0"/>
          <w:color w:val="5A6B7F"/>
          <w:sz w:val="20"/>
        </w:rPr>
        <w:t>21</w:t>
      </w:r>
    </w:p>
    <w:p>
      <w:pPr>
        <w:tabs>
          <w:tab w:pos="8844" w:val="right" w:leader="dot"/>
        </w:tabs>
        <w:spacing w:after="60" w:before="0" w:line="264" w:lineRule="auto"/>
        <w:ind w:left="454"/>
      </w:pPr>
      <w:r>
        <w:rPr>
          <w:b w:val="0"/>
          <w:color w:val="0F1A2A"/>
          <w:sz w:val="20"/>
        </w:rPr>
        <w:t>9.2 Activity Diagram — The Five-Step Calculation Workflow</w:t>
      </w:r>
      <w:r>
        <w:tab/>
      </w:r>
      <w:r>
        <w:rPr>
          <w:b w:val="0"/>
          <w:color w:val="5A6B7F"/>
          <w:sz w:val="20"/>
        </w:rPr>
        <w:t>22</w:t>
      </w:r>
    </w:p>
    <w:p>
      <w:pPr>
        <w:tabs>
          <w:tab w:pos="8844" w:val="right" w:leader="dot"/>
        </w:tabs>
        <w:spacing w:after="60" w:before="0" w:line="264" w:lineRule="auto"/>
        <w:ind w:left="454"/>
      </w:pPr>
      <w:r>
        <w:rPr>
          <w:b w:val="0"/>
          <w:color w:val="0F1A2A"/>
          <w:sz w:val="20"/>
        </w:rPr>
        <w:t>9.3 Sequence Diagram — Running and Persisting a Calculation</w:t>
      </w:r>
      <w:r>
        <w:tab/>
      </w:r>
      <w:r>
        <w:rPr>
          <w:b w:val="0"/>
          <w:color w:val="5A6B7F"/>
          <w:sz w:val="20"/>
        </w:rPr>
        <w:t>23</w:t>
      </w:r>
    </w:p>
    <w:p>
      <w:pPr>
        <w:tabs>
          <w:tab w:pos="8844" w:val="right" w:leader="dot"/>
        </w:tabs>
        <w:spacing w:after="120" w:before="120" w:line="264" w:lineRule="auto"/>
        <w:ind w:left="0"/>
      </w:pPr>
      <w:r>
        <w:rPr>
          <w:b/>
          <w:color w:val="073A6B"/>
          <w:sz w:val="22"/>
        </w:rPr>
        <w:t>10. Data and Database Architecture</w:t>
      </w:r>
      <w:r>
        <w:tab/>
      </w:r>
      <w:r>
        <w:rPr>
          <w:b/>
          <w:color w:val="073A6B"/>
          <w:sz w:val="20"/>
        </w:rPr>
        <w:t>24</w:t>
      </w:r>
    </w:p>
    <w:p>
      <w:pPr>
        <w:tabs>
          <w:tab w:pos="8844" w:val="right" w:leader="dot"/>
        </w:tabs>
        <w:spacing w:after="60" w:before="0" w:line="264" w:lineRule="auto"/>
        <w:ind w:left="454"/>
      </w:pPr>
      <w:r>
        <w:rPr>
          <w:b w:val="0"/>
          <w:color w:val="0F1A2A"/>
          <w:sz w:val="20"/>
        </w:rPr>
        <w:t>10.1 Entity Relationship Model</w:t>
      </w:r>
      <w:r>
        <w:tab/>
      </w:r>
      <w:r>
        <w:rPr>
          <w:b w:val="0"/>
          <w:color w:val="5A6B7F"/>
          <w:sz w:val="20"/>
        </w:rPr>
        <w:t>24</w:t>
      </w:r>
    </w:p>
    <w:p>
      <w:pPr>
        <w:tabs>
          <w:tab w:pos="8844" w:val="right" w:leader="dot"/>
        </w:tabs>
        <w:spacing w:after="60" w:before="0" w:line="264" w:lineRule="auto"/>
        <w:ind w:left="454"/>
      </w:pPr>
      <w:r>
        <w:rPr>
          <w:b w:val="0"/>
          <w:color w:val="0F1A2A"/>
          <w:sz w:val="20"/>
        </w:rPr>
        <w:t>10.2 Table Specifications</w:t>
      </w:r>
      <w:r>
        <w:tab/>
      </w:r>
      <w:r>
        <w:rPr>
          <w:b w:val="0"/>
          <w:color w:val="5A6B7F"/>
          <w:sz w:val="20"/>
        </w:rPr>
        <w:t>25</w:t>
      </w:r>
    </w:p>
    <w:p>
      <w:pPr>
        <w:tabs>
          <w:tab w:pos="8844" w:val="right" w:leader="dot"/>
        </w:tabs>
        <w:spacing w:after="60" w:before="0" w:line="264" w:lineRule="auto"/>
        <w:ind w:left="454"/>
      </w:pPr>
      <w:r>
        <w:rPr>
          <w:b w:val="0"/>
          <w:color w:val="0F1A2A"/>
          <w:sz w:val="20"/>
        </w:rPr>
        <w:t>10.3 Access Control</w:t>
      </w:r>
      <w:r>
        <w:tab/>
      </w:r>
      <w:r>
        <w:rPr>
          <w:b w:val="0"/>
          <w:color w:val="5A6B7F"/>
          <w:sz w:val="20"/>
        </w:rPr>
        <w:t>26</w:t>
      </w:r>
    </w:p>
    <w:p>
      <w:pPr>
        <w:tabs>
          <w:tab w:pos="8844" w:val="right" w:leader="dot"/>
        </w:tabs>
        <w:spacing w:after="120" w:before="120" w:line="264" w:lineRule="auto"/>
        <w:ind w:left="0"/>
      </w:pPr>
      <w:r>
        <w:rPr>
          <w:b/>
          <w:color w:val="073A6B"/>
          <w:sz w:val="22"/>
        </w:rPr>
        <w:t>11. Frontend, Backend and Data Flow</w:t>
      </w:r>
      <w:r>
        <w:tab/>
      </w:r>
      <w:r>
        <w:rPr>
          <w:b/>
          <w:color w:val="073A6B"/>
          <w:sz w:val="20"/>
        </w:rPr>
        <w:t>27</w:t>
      </w:r>
    </w:p>
    <w:p>
      <w:pPr>
        <w:tabs>
          <w:tab w:pos="8844" w:val="right" w:leader="dot"/>
        </w:tabs>
        <w:spacing w:after="120" w:before="120" w:line="264" w:lineRule="auto"/>
        <w:ind w:left="0"/>
      </w:pPr>
      <w:r>
        <w:rPr>
          <w:b/>
          <w:color w:val="073A6B"/>
          <w:sz w:val="22"/>
        </w:rPr>
        <w:t>12. Navigation and Screen Map</w:t>
      </w:r>
      <w:r>
        <w:tab/>
      </w:r>
      <w:r>
        <w:rPr>
          <w:b/>
          <w:color w:val="073A6B"/>
          <w:sz w:val="20"/>
        </w:rPr>
        <w:t>28</w:t>
      </w:r>
    </w:p>
    <w:p>
      <w:pPr>
        <w:tabs>
          <w:tab w:pos="8844" w:val="right" w:leader="dot"/>
        </w:tabs>
        <w:spacing w:after="120" w:before="120" w:line="264" w:lineRule="auto"/>
        <w:ind w:left="0"/>
      </w:pPr>
      <w:r>
        <w:rPr>
          <w:b/>
          <w:color w:val="073A6B"/>
          <w:sz w:val="22"/>
        </w:rPr>
        <w:t>13. Domain Class Model</w:t>
      </w:r>
      <w:r>
        <w:tab/>
      </w:r>
      <w:r>
        <w:rPr>
          <w:b/>
          <w:color w:val="073A6B"/>
          <w:sz w:val="20"/>
        </w:rPr>
        <w:t>29</w:t>
      </w:r>
    </w:p>
    <w:p>
      <w:pPr>
        <w:tabs>
          <w:tab w:pos="8844" w:val="right" w:leader="dot"/>
        </w:tabs>
        <w:spacing w:after="120" w:before="120" w:line="264" w:lineRule="auto"/>
        <w:ind w:left="0"/>
      </w:pPr>
      <w:r>
        <w:rPr>
          <w:b/>
          <w:color w:val="073A6B"/>
          <w:sz w:val="22"/>
        </w:rPr>
        <w:t>14. Input Validation</w:t>
      </w:r>
      <w:r>
        <w:tab/>
      </w:r>
      <w:r>
        <w:rPr>
          <w:b/>
          <w:color w:val="073A6B"/>
          <w:sz w:val="20"/>
        </w:rPr>
        <w:t>29</w:t>
      </w:r>
    </w:p>
    <w:p>
      <w:pPr>
        <w:tabs>
          <w:tab w:pos="8844" w:val="right" w:leader="dot"/>
        </w:tabs>
        <w:spacing w:after="120" w:before="120" w:line="264" w:lineRule="auto"/>
        <w:ind w:left="0"/>
      </w:pPr>
      <w:r>
        <w:rPr>
          <w:b/>
          <w:color w:val="073A6B"/>
          <w:sz w:val="22"/>
        </w:rPr>
        <w:t>15. Authentication, Session Management and Security</w:t>
      </w:r>
      <w:r>
        <w:tab/>
      </w:r>
      <w:r>
        <w:rPr>
          <w:b/>
          <w:color w:val="073A6B"/>
          <w:sz w:val="20"/>
        </w:rPr>
        <w:t>31</w:t>
      </w:r>
    </w:p>
    <w:p>
      <w:pPr>
        <w:tabs>
          <w:tab w:pos="8844" w:val="right" w:leader="dot"/>
        </w:tabs>
        <w:spacing w:after="60" w:before="0" w:line="264" w:lineRule="auto"/>
        <w:ind w:left="454"/>
      </w:pPr>
      <w:r>
        <w:rPr>
          <w:b w:val="0"/>
          <w:color w:val="0F1A2A"/>
          <w:sz w:val="20"/>
        </w:rPr>
        <w:t>15.1 Registration and Sign-In</w:t>
      </w:r>
      <w:r>
        <w:tab/>
      </w:r>
      <w:r>
        <w:rPr>
          <w:b w:val="0"/>
          <w:color w:val="5A6B7F"/>
          <w:sz w:val="20"/>
        </w:rPr>
        <w:t>31</w:t>
      </w:r>
    </w:p>
    <w:p>
      <w:pPr>
        <w:tabs>
          <w:tab w:pos="8844" w:val="right" w:leader="dot"/>
        </w:tabs>
        <w:spacing w:after="60" w:before="0" w:line="264" w:lineRule="auto"/>
        <w:ind w:left="454"/>
      </w:pPr>
      <w:r>
        <w:rPr>
          <w:b w:val="0"/>
          <w:color w:val="0F1A2A"/>
          <w:sz w:val="20"/>
        </w:rPr>
        <w:t>15.2 Session Persistence</w:t>
      </w:r>
      <w:r>
        <w:tab/>
      </w:r>
      <w:r>
        <w:rPr>
          <w:b w:val="0"/>
          <w:color w:val="5A6B7F"/>
          <w:sz w:val="20"/>
        </w:rPr>
        <w:t>32</w:t>
      </w:r>
    </w:p>
    <w:p>
      <w:pPr>
        <w:tabs>
          <w:tab w:pos="8844" w:val="right" w:leader="dot"/>
        </w:tabs>
        <w:spacing w:after="60" w:before="0" w:line="264" w:lineRule="auto"/>
        <w:ind w:left="454"/>
      </w:pPr>
      <w:r>
        <w:rPr>
          <w:b w:val="0"/>
          <w:color w:val="0F1A2A"/>
          <w:sz w:val="20"/>
        </w:rPr>
        <w:t>15.3 Credential Management</w:t>
      </w:r>
      <w:r>
        <w:tab/>
      </w:r>
      <w:r>
        <w:rPr>
          <w:b w:val="0"/>
          <w:color w:val="5A6B7F"/>
          <w:sz w:val="20"/>
        </w:rPr>
        <w:t>32</w:t>
      </w:r>
    </w:p>
    <w:p>
      <w:pPr>
        <w:tabs>
          <w:tab w:pos="8844" w:val="right" w:leader="dot"/>
        </w:tabs>
        <w:spacing w:after="120" w:before="120" w:line="264" w:lineRule="auto"/>
        <w:ind w:left="0"/>
      </w:pPr>
      <w:r>
        <w:rPr>
          <w:b/>
          <w:color w:val="073A6B"/>
          <w:sz w:val="22"/>
        </w:rPr>
        <w:t>16. The Calculation Engine</w:t>
      </w:r>
      <w:r>
        <w:tab/>
      </w:r>
      <w:r>
        <w:rPr>
          <w:b/>
          <w:color w:val="073A6B"/>
          <w:sz w:val="20"/>
        </w:rPr>
        <w:t>33</w:t>
      </w:r>
    </w:p>
    <w:p>
      <w:pPr>
        <w:tabs>
          <w:tab w:pos="8844" w:val="right" w:leader="dot"/>
        </w:tabs>
        <w:spacing w:after="60" w:before="0" w:line="264" w:lineRule="auto"/>
        <w:ind w:left="454"/>
      </w:pPr>
      <w:r>
        <w:rPr>
          <w:b w:val="0"/>
          <w:color w:val="0F1A2A"/>
          <w:sz w:val="20"/>
        </w:rPr>
        <w:t>16.1 Named Constants</w:t>
      </w:r>
      <w:r>
        <w:tab/>
      </w:r>
      <w:r>
        <w:rPr>
          <w:b w:val="0"/>
          <w:color w:val="5A6B7F"/>
          <w:sz w:val="20"/>
        </w:rPr>
        <w:t>33</w:t>
      </w:r>
    </w:p>
    <w:p>
      <w:pPr>
        <w:tabs>
          <w:tab w:pos="8844" w:val="right" w:leader="dot"/>
        </w:tabs>
        <w:spacing w:after="60" w:before="0" w:line="264" w:lineRule="auto"/>
        <w:ind w:left="454"/>
      </w:pPr>
      <w:r>
        <w:rPr>
          <w:b w:val="0"/>
          <w:color w:val="0F1A2A"/>
          <w:sz w:val="20"/>
        </w:rPr>
        <w:t>16.2 Shared Relationships</w:t>
      </w:r>
      <w:r>
        <w:tab/>
      </w:r>
      <w:r>
        <w:rPr>
          <w:b w:val="0"/>
          <w:color w:val="5A6B7F"/>
          <w:sz w:val="20"/>
        </w:rPr>
        <w:t>33</w:t>
      </w:r>
    </w:p>
    <w:p>
      <w:pPr>
        <w:tabs>
          <w:tab w:pos="8844" w:val="right" w:leader="dot"/>
        </w:tabs>
        <w:spacing w:after="60" w:before="0" w:line="264" w:lineRule="auto"/>
        <w:ind w:left="454"/>
      </w:pPr>
      <w:r>
        <w:rPr>
          <w:b w:val="0"/>
          <w:color w:val="0F1A2A"/>
          <w:sz w:val="20"/>
        </w:rPr>
        <w:t>16.3 The Pre-Dose Workflow</w:t>
      </w:r>
      <w:r>
        <w:tab/>
      </w:r>
      <w:r>
        <w:rPr>
          <w:b w:val="0"/>
          <w:color w:val="5A6B7F"/>
          <w:sz w:val="20"/>
        </w:rPr>
        <w:t>33</w:t>
      </w:r>
    </w:p>
    <w:p>
      <w:pPr>
        <w:tabs>
          <w:tab w:pos="8844" w:val="right" w:leader="dot"/>
        </w:tabs>
        <w:spacing w:after="60" w:before="0" w:line="264" w:lineRule="auto"/>
        <w:ind w:left="454"/>
      </w:pPr>
      <w:r>
        <w:rPr>
          <w:b w:val="0"/>
          <w:color w:val="0F1A2A"/>
          <w:sz w:val="20"/>
        </w:rPr>
        <w:t>16.4 The Post-Dose Workflow</w:t>
      </w:r>
      <w:r>
        <w:tab/>
      </w:r>
      <w:r>
        <w:rPr>
          <w:b w:val="0"/>
          <w:color w:val="5A6B7F"/>
          <w:sz w:val="20"/>
        </w:rPr>
        <w:t>34</w:t>
      </w:r>
    </w:p>
    <w:p>
      <w:pPr>
        <w:tabs>
          <w:tab w:pos="8844" w:val="right" w:leader="dot"/>
        </w:tabs>
        <w:spacing w:after="60" w:before="0" w:line="264" w:lineRule="auto"/>
        <w:ind w:left="454"/>
      </w:pPr>
      <w:r>
        <w:rPr>
          <w:b w:val="0"/>
          <w:color w:val="0F1A2A"/>
          <w:sz w:val="20"/>
        </w:rPr>
        <w:t>16.5 The Pre + Post Workflow</w:t>
      </w:r>
      <w:r>
        <w:tab/>
      </w:r>
      <w:r>
        <w:rPr>
          <w:b w:val="0"/>
          <w:color w:val="5A6B7F"/>
          <w:sz w:val="20"/>
        </w:rPr>
        <w:t>34</w:t>
      </w:r>
    </w:p>
    <w:p>
      <w:pPr>
        <w:tabs>
          <w:tab w:pos="8844" w:val="right" w:leader="dot"/>
        </w:tabs>
        <w:spacing w:after="60" w:before="0" w:line="264" w:lineRule="auto"/>
        <w:ind w:left="454"/>
      </w:pPr>
      <w:r>
        <w:rPr>
          <w:b w:val="0"/>
          <w:color w:val="0F1A2A"/>
          <w:sz w:val="20"/>
        </w:rPr>
        <w:t>16.6 Worked Examples</w:t>
      </w:r>
      <w:r>
        <w:tab/>
      </w:r>
      <w:r>
        <w:rPr>
          <w:b w:val="0"/>
          <w:color w:val="5A6B7F"/>
          <w:sz w:val="20"/>
        </w:rPr>
        <w:t>34</w:t>
      </w:r>
    </w:p>
    <w:p>
      <w:pPr>
        <w:tabs>
          <w:tab w:pos="8844" w:val="right" w:leader="dot"/>
        </w:tabs>
        <w:spacing w:after="60" w:before="0" w:line="264" w:lineRule="auto"/>
        <w:ind w:left="454"/>
      </w:pPr>
      <w:r>
        <w:rPr>
          <w:b w:val="0"/>
          <w:color w:val="0F1A2A"/>
          <w:sz w:val="20"/>
        </w:rPr>
        <w:t>16.7 Explainability</w:t>
      </w:r>
      <w:r>
        <w:tab/>
      </w:r>
      <w:r>
        <w:rPr>
          <w:b w:val="0"/>
          <w:color w:val="5A6B7F"/>
          <w:sz w:val="20"/>
        </w:rPr>
        <w:t>35</w:t>
      </w:r>
    </w:p>
    <w:p>
      <w:pPr>
        <w:tabs>
          <w:tab w:pos="8844" w:val="right" w:leader="dot"/>
        </w:tabs>
        <w:spacing w:after="120" w:before="120" w:line="264" w:lineRule="auto"/>
        <w:ind w:left="0"/>
      </w:pPr>
      <w:r>
        <w:rPr>
          <w:b/>
          <w:color w:val="073A6B"/>
          <w:sz w:val="22"/>
        </w:rPr>
        <w:t>17. User Interface</w:t>
      </w:r>
      <w:r>
        <w:tab/>
      </w:r>
      <w:r>
        <w:rPr>
          <w:b/>
          <w:color w:val="073A6B"/>
          <w:sz w:val="20"/>
        </w:rPr>
        <w:t>35</w:t>
      </w:r>
    </w:p>
    <w:p>
      <w:pPr>
        <w:tabs>
          <w:tab w:pos="8844" w:val="right" w:leader="dot"/>
        </w:tabs>
        <w:spacing w:after="60" w:before="0" w:line="264" w:lineRule="auto"/>
        <w:ind w:left="454"/>
      </w:pPr>
      <w:r>
        <w:rPr>
          <w:b w:val="0"/>
          <w:color w:val="0F1A2A"/>
          <w:sz w:val="20"/>
        </w:rPr>
        <w:t>17.1 Design System</w:t>
      </w:r>
      <w:r>
        <w:tab/>
      </w:r>
      <w:r>
        <w:rPr>
          <w:b w:val="0"/>
          <w:color w:val="5A6B7F"/>
          <w:sz w:val="20"/>
        </w:rPr>
        <w:t>35</w:t>
      </w:r>
    </w:p>
    <w:p>
      <w:pPr>
        <w:tabs>
          <w:tab w:pos="8844" w:val="right" w:leader="dot"/>
        </w:tabs>
        <w:spacing w:after="60" w:before="0" w:line="264" w:lineRule="auto"/>
        <w:ind w:left="454"/>
      </w:pPr>
      <w:r>
        <w:rPr>
          <w:b w:val="0"/>
          <w:color w:val="0F1A2A"/>
          <w:sz w:val="20"/>
        </w:rPr>
        <w:t>17.2 The Landing Page</w:t>
      </w:r>
      <w:r>
        <w:tab/>
      </w:r>
      <w:r>
        <w:rPr>
          <w:b w:val="0"/>
          <w:color w:val="5A6B7F"/>
          <w:sz w:val="20"/>
        </w:rPr>
        <w:t>36</w:t>
      </w:r>
    </w:p>
    <w:p>
      <w:pPr>
        <w:tabs>
          <w:tab w:pos="8844" w:val="right" w:leader="dot"/>
        </w:tabs>
        <w:spacing w:after="60" w:before="0" w:line="264" w:lineRule="auto"/>
        <w:ind w:left="454"/>
      </w:pPr>
      <w:r>
        <w:rPr>
          <w:b w:val="0"/>
          <w:color w:val="0F1A2A"/>
          <w:sz w:val="20"/>
        </w:rPr>
        <w:t>17.3 Application Screens</w:t>
      </w:r>
      <w:r>
        <w:tab/>
      </w:r>
      <w:r>
        <w:rPr>
          <w:b w:val="0"/>
          <w:color w:val="5A6B7F"/>
          <w:sz w:val="20"/>
        </w:rPr>
        <w:t>40</w:t>
      </w:r>
    </w:p>
    <w:p>
      <w:pPr>
        <w:tabs>
          <w:tab w:pos="8844" w:val="right" w:leader="dot"/>
        </w:tabs>
        <w:spacing w:after="60" w:before="0" w:line="264" w:lineRule="auto"/>
        <w:ind w:left="454"/>
      </w:pPr>
      <w:r>
        <w:rPr>
          <w:b w:val="0"/>
          <w:color w:val="0F1A2A"/>
          <w:sz w:val="20"/>
        </w:rPr>
        <w:t>17.4 Interaction Details</w:t>
      </w:r>
      <w:r>
        <w:tab/>
      </w:r>
      <w:r>
        <w:rPr>
          <w:b w:val="0"/>
          <w:color w:val="5A6B7F"/>
          <w:sz w:val="20"/>
        </w:rPr>
        <w:t>42</w:t>
      </w:r>
    </w:p>
    <w:p>
      <w:pPr>
        <w:tabs>
          <w:tab w:pos="8844" w:val="right" w:leader="dot"/>
        </w:tabs>
        <w:spacing w:after="60" w:before="0" w:line="264" w:lineRule="auto"/>
        <w:ind w:left="454"/>
      </w:pPr>
      <w:r>
        <w:rPr>
          <w:b w:val="0"/>
          <w:color w:val="0F1A2A"/>
          <w:sz w:val="20"/>
        </w:rPr>
        <w:t>17.5 Non-Functional Interface Elements</w:t>
      </w:r>
      <w:r>
        <w:tab/>
      </w:r>
      <w:r>
        <w:rPr>
          <w:b w:val="0"/>
          <w:color w:val="5A6B7F"/>
          <w:sz w:val="20"/>
        </w:rPr>
        <w:t>42</w:t>
      </w:r>
    </w:p>
    <w:p>
      <w:pPr>
        <w:tabs>
          <w:tab w:pos="8844" w:val="right" w:leader="dot"/>
        </w:tabs>
        <w:spacing w:after="120" w:before="120" w:line="264" w:lineRule="auto"/>
        <w:ind w:left="0"/>
      </w:pPr>
      <w:r>
        <w:rPr>
          <w:b/>
          <w:color w:val="073A6B"/>
          <w:sz w:val="22"/>
        </w:rPr>
        <w:t>18. Testing and Debugging</w:t>
      </w:r>
      <w:r>
        <w:tab/>
      </w:r>
      <w:r>
        <w:rPr>
          <w:b/>
          <w:color w:val="073A6B"/>
          <w:sz w:val="20"/>
        </w:rPr>
        <w:t>43</w:t>
      </w:r>
    </w:p>
    <w:p>
      <w:pPr>
        <w:tabs>
          <w:tab w:pos="8844" w:val="right" w:leader="dot"/>
        </w:tabs>
        <w:spacing w:after="60" w:before="0" w:line="264" w:lineRule="auto"/>
        <w:ind w:left="454"/>
      </w:pPr>
      <w:r>
        <w:rPr>
          <w:b w:val="0"/>
          <w:color w:val="0F1A2A"/>
          <w:sz w:val="20"/>
        </w:rPr>
        <w:t>18.1 Strategy</w:t>
      </w:r>
      <w:r>
        <w:tab/>
      </w:r>
      <w:r>
        <w:rPr>
          <w:b w:val="0"/>
          <w:color w:val="5A6B7F"/>
          <w:sz w:val="20"/>
        </w:rPr>
        <w:t>43</w:t>
      </w:r>
    </w:p>
    <w:p>
      <w:pPr>
        <w:tabs>
          <w:tab w:pos="8844" w:val="right" w:leader="dot"/>
        </w:tabs>
        <w:spacing w:after="60" w:before="0" w:line="264" w:lineRule="auto"/>
        <w:ind w:left="454"/>
      </w:pPr>
      <w:r>
        <w:rPr>
          <w:b w:val="0"/>
          <w:color w:val="0F1A2A"/>
          <w:sz w:val="20"/>
        </w:rPr>
        <w:t>18.2 Test Design Rationale</w:t>
      </w:r>
      <w:r>
        <w:tab/>
      </w:r>
      <w:r>
        <w:rPr>
          <w:b w:val="0"/>
          <w:color w:val="5A6B7F"/>
          <w:sz w:val="20"/>
        </w:rPr>
        <w:t>44</w:t>
      </w:r>
    </w:p>
    <w:p>
      <w:pPr>
        <w:tabs>
          <w:tab w:pos="8844" w:val="right" w:leader="dot"/>
        </w:tabs>
        <w:spacing w:after="60" w:before="0" w:line="264" w:lineRule="auto"/>
        <w:ind w:left="454"/>
      </w:pPr>
      <w:r>
        <w:rPr>
          <w:b w:val="0"/>
          <w:color w:val="0F1A2A"/>
          <w:sz w:val="20"/>
        </w:rPr>
        <w:t>18.3 Manual Testing</w:t>
      </w:r>
      <w:r>
        <w:tab/>
      </w:r>
      <w:r>
        <w:rPr>
          <w:b w:val="0"/>
          <w:color w:val="5A6B7F"/>
          <w:sz w:val="20"/>
        </w:rPr>
        <w:t>44</w:t>
      </w:r>
    </w:p>
    <w:p>
      <w:pPr>
        <w:tabs>
          <w:tab w:pos="8844" w:val="right" w:leader="dot"/>
        </w:tabs>
        <w:spacing w:after="60" w:before="0" w:line="264" w:lineRule="auto"/>
        <w:ind w:left="454"/>
      </w:pPr>
      <w:r>
        <w:rPr>
          <w:b w:val="0"/>
          <w:color w:val="0F1A2A"/>
          <w:sz w:val="20"/>
        </w:rPr>
        <w:t>18.4 A Known Defect in the Post-Dose Workflow</w:t>
      </w:r>
      <w:r>
        <w:tab/>
      </w:r>
      <w:r>
        <w:rPr>
          <w:b w:val="0"/>
          <w:color w:val="5A6B7F"/>
          <w:sz w:val="20"/>
        </w:rPr>
        <w:t>45</w:t>
      </w:r>
    </w:p>
    <w:p>
      <w:pPr>
        <w:tabs>
          <w:tab w:pos="8844" w:val="right" w:leader="dot"/>
        </w:tabs>
        <w:spacing w:after="60" w:before="0" w:line="264" w:lineRule="auto"/>
        <w:ind w:left="454"/>
      </w:pPr>
      <w:r>
        <w:rPr>
          <w:b w:val="0"/>
          <w:color w:val="0F1A2A"/>
          <w:sz w:val="20"/>
        </w:rPr>
        <w:t>18.5 Debugging Practice</w:t>
      </w:r>
      <w:r>
        <w:tab/>
      </w:r>
      <w:r>
        <w:rPr>
          <w:b w:val="0"/>
          <w:color w:val="5A6B7F"/>
          <w:sz w:val="20"/>
        </w:rPr>
        <w:t>46</w:t>
      </w:r>
    </w:p>
    <w:p>
      <w:pPr>
        <w:tabs>
          <w:tab w:pos="8844" w:val="right" w:leader="dot"/>
        </w:tabs>
        <w:spacing w:after="120" w:before="120" w:line="264" w:lineRule="auto"/>
        <w:ind w:left="0"/>
      </w:pPr>
      <w:r>
        <w:rPr>
          <w:b/>
          <w:color w:val="073A6B"/>
          <w:sz w:val="22"/>
        </w:rPr>
        <w:t>19. Repository Management and Version Control</w:t>
      </w:r>
      <w:r>
        <w:tab/>
      </w:r>
      <w:r>
        <w:rPr>
          <w:b/>
          <w:color w:val="073A6B"/>
          <w:sz w:val="20"/>
        </w:rPr>
        <w:t>46</w:t>
      </w:r>
    </w:p>
    <w:p>
      <w:pPr>
        <w:tabs>
          <w:tab w:pos="8844" w:val="right" w:leader="dot"/>
        </w:tabs>
        <w:spacing w:after="120" w:before="120" w:line="264" w:lineRule="auto"/>
        <w:ind w:left="0"/>
      </w:pPr>
      <w:r>
        <w:rPr>
          <w:b/>
          <w:color w:val="073A6B"/>
          <w:sz w:val="22"/>
        </w:rPr>
        <w:t>20. Responsible Use of Artificial Intelligence</w:t>
      </w:r>
      <w:r>
        <w:tab/>
      </w:r>
      <w:r>
        <w:rPr>
          <w:b/>
          <w:color w:val="073A6B"/>
          <w:sz w:val="20"/>
        </w:rPr>
        <w:t>47</w:t>
      </w:r>
    </w:p>
    <w:p>
      <w:pPr>
        <w:tabs>
          <w:tab w:pos="8844" w:val="right" w:leader="dot"/>
        </w:tabs>
        <w:spacing w:after="120" w:before="120" w:line="264" w:lineRule="auto"/>
        <w:ind w:left="0"/>
      </w:pPr>
      <w:r>
        <w:rPr>
          <w:b/>
          <w:color w:val="073A6B"/>
          <w:sz w:val="22"/>
        </w:rPr>
        <w:t>21. Limitations and Future Work</w:t>
      </w:r>
      <w:r>
        <w:tab/>
      </w:r>
      <w:r>
        <w:rPr>
          <w:b/>
          <w:color w:val="073A6B"/>
          <w:sz w:val="20"/>
        </w:rPr>
        <w:t>48</w:t>
      </w:r>
    </w:p>
    <w:p>
      <w:pPr>
        <w:tabs>
          <w:tab w:pos="8844" w:val="right" w:leader="dot"/>
        </w:tabs>
        <w:spacing w:after="60" w:before="0" w:line="264" w:lineRule="auto"/>
        <w:ind w:left="454"/>
      </w:pPr>
      <w:r>
        <w:rPr>
          <w:b w:val="0"/>
          <w:color w:val="0F1A2A"/>
          <w:sz w:val="20"/>
        </w:rPr>
        <w:t>21.1 Limitations</w:t>
      </w:r>
      <w:r>
        <w:tab/>
      </w:r>
      <w:r>
        <w:rPr>
          <w:b w:val="0"/>
          <w:color w:val="5A6B7F"/>
          <w:sz w:val="20"/>
        </w:rPr>
        <w:t>48</w:t>
      </w:r>
    </w:p>
    <w:p>
      <w:pPr>
        <w:tabs>
          <w:tab w:pos="8844" w:val="right" w:leader="dot"/>
        </w:tabs>
        <w:spacing w:after="60" w:before="0" w:line="264" w:lineRule="auto"/>
        <w:ind w:left="454"/>
      </w:pPr>
      <w:r>
        <w:rPr>
          <w:b w:val="0"/>
          <w:color w:val="0F1A2A"/>
          <w:sz w:val="20"/>
        </w:rPr>
        <w:t>21.2 Future Work</w:t>
      </w:r>
      <w:r>
        <w:tab/>
      </w:r>
      <w:r>
        <w:rPr>
          <w:b w:val="0"/>
          <w:color w:val="5A6B7F"/>
          <w:sz w:val="20"/>
        </w:rPr>
        <w:t>48</w:t>
      </w:r>
    </w:p>
    <w:p>
      <w:pPr>
        <w:tabs>
          <w:tab w:pos="8844" w:val="right" w:leader="dot"/>
        </w:tabs>
        <w:spacing w:after="120" w:before="120" w:line="264" w:lineRule="auto"/>
        <w:ind w:left="0"/>
      </w:pPr>
      <w:r>
        <w:rPr>
          <w:b/>
          <w:color w:val="073A6B"/>
          <w:sz w:val="22"/>
        </w:rPr>
        <w:t>22. Conclusion</w:t>
      </w:r>
      <w:r>
        <w:tab/>
      </w:r>
      <w:r>
        <w:rPr>
          <w:b/>
          <w:color w:val="073A6B"/>
          <w:sz w:val="20"/>
        </w:rPr>
        <w:t>49</w:t>
      </w:r>
    </w:p>
    <w:p>
      <w:pPr>
        <w:tabs>
          <w:tab w:pos="8844" w:val="right" w:leader="dot"/>
        </w:tabs>
        <w:spacing w:after="120" w:before="120" w:line="264" w:lineRule="auto"/>
        <w:ind w:left="0"/>
      </w:pPr>
      <w:r>
        <w:rPr>
          <w:b/>
          <w:color w:val="073A6B"/>
          <w:sz w:val="22"/>
        </w:rPr>
        <w:t>References</w:t>
      </w:r>
      <w:r>
        <w:tab/>
      </w:r>
      <w:r>
        <w:rPr>
          <w:b/>
          <w:color w:val="073A6B"/>
          <w:sz w:val="20"/>
        </w:rPr>
        <w:t>50</w:t>
      </w:r>
    </w:p>
    <w:p>
      <w:r>
        <w:br w:type="page"/>
      </w:r>
    </w:p>
    <w:p>
      <w:pPr>
        <w:pStyle w:val="Heading1"/>
      </w:pPr>
      <w:r>
        <w:t>1. Introduction</w:t>
      </w:r>
    </w:p>
    <w:p>
      <w:pPr>
        <w:pStyle w:val="Heading2"/>
      </w:pPr>
      <w:r>
        <w:t>1.1 Background</w:t>
      </w:r>
    </w:p>
    <w:p>
      <w:pPr>
        <w:spacing w:after="160"/>
      </w:pPr>
      <w:r>
        <w:t xml:space="preserve">Therapeutic drug monitoring (TDM) is the clinical practice of measuring drug concentrations in a patient's blood and adjusting the dosing regimen so that exposure stays inside a therapeutic window. It is reserved for medicines whose effective dose sits uncomfortably close to their toxic dose. Vancomycin, a glycopeptide antibiotic used as first-line therapy against methicillin-resistant </w:t>
      </w:r>
      <w:r>
        <w:rPr>
          <w:i/>
        </w:rPr>
        <w:t>Staphylococcus aureus</w:t>
      </w:r>
      <w:r>
        <w:t xml:space="preserve"> (MRSA), is the archetypal example: too little and the infection is not cleared, too much and the patient risks nephrotoxicity.</w:t>
      </w:r>
    </w:p>
    <w:p>
      <w:pPr>
        <w:spacing w:after="160"/>
      </w:pPr>
      <w:r>
        <w:t>The 2020 revised consensus guideline published by ASHP, IDSA, PIDS and SIDP moved vancomycin monitoring away from trough concentration alone and towards the area under the concentration–time curve over 24 hours (AUC₂₄), recommending a target of 400–600 mg·h/L for serious MRSA infection (Rybak et al., 2020). That change is clinically better founded, but it is computationally heavier: AUC₂₄ cannot be read off a single laboratory value. It must be derived from a pharmacokinetic model fitted to the patient's demographics, the prescribed regimen and one or two measured concentrations.</w:t>
      </w:r>
    </w:p>
    <w:p>
      <w:pPr>
        <w:spacing w:after="160"/>
      </w:pPr>
      <w:r>
        <w:t>TDM Insight is a native Android application that performs this derivation at the bedside. It was developed for Assessment 2 of CDE2313 Mobile Application Development at Albukhary International University, working from the case study issued by the course lecturer (Mohd Zaki, 2026). The application is deliberately narrow in scope: one drug, three sampling workflows, and a calculation engine that is separated from the user interface, thoroughly validated and fully explainable.</w:t>
      </w:r>
    </w:p>
    <w:p>
      <w:pPr>
        <w:pStyle w:val="Heading2"/>
      </w:pPr>
      <w:r>
        <w:t>1.2 Purpose</w:t>
      </w:r>
    </w:p>
    <w:p>
      <w:pPr>
        <w:spacing w:after="160"/>
      </w:pPr>
      <w:r>
        <w:t>The purpose of this report is to document the analysis, design, implementation and testing of TDM Insight as it actually exists in the project repository. Every architectural claim, diagram, formula, database column and screenshot presented here was derived from the source code rather than from a design intention. Where the implementation departs from the original specification, or where a defect is known, the report says so explicitly.</w:t>
      </w:r>
    </w:p>
    <w:p>
      <w:pPr>
        <w:pStyle w:val="Heading2"/>
      </w:pPr>
      <w:r>
        <w:t>1.3 Objectives</w:t>
      </w:r>
    </w:p>
    <w:p>
      <w:pPr>
        <w:spacing w:after="160"/>
      </w:pPr>
      <w:r>
        <w:t>The project set out to meet the following objectives.</w:t>
      </w:r>
    </w:p>
    <w:p>
      <w:pPr>
        <w:tabs>
          <w:tab w:pos="567" w:val="left"/>
        </w:tabs>
        <w:spacing w:after="80" w:line="288" w:lineRule="auto"/>
        <w:ind w:left="567" w:hanging="567"/>
      </w:pPr>
      <w:r>
        <w:rPr>
          <w:b/>
        </w:rPr>
        <w:t>1.</w:t>
      </w:r>
      <w:r>
        <w:tab/>
      </w:r>
      <w:r>
        <w:rPr>
          <w:b/>
        </w:rPr>
        <w:t>Deliver a working native Android application</w:t>
      </w:r>
      <w:r>
        <w:t xml:space="preserve"> built in Kotlin with Android Studio, using Jetpack Compose and Material 3, that a pharmacist can operate end to end without instruction.</w:t>
      </w:r>
    </w:p>
    <w:p>
      <w:pPr>
        <w:tabs>
          <w:tab w:pos="567" w:val="left"/>
        </w:tabs>
        <w:spacing w:after="80" w:line="288" w:lineRule="auto"/>
        <w:ind w:left="567" w:hanging="567"/>
      </w:pPr>
      <w:r>
        <w:rPr>
          <w:b/>
        </w:rPr>
        <w:t>2.</w:t>
      </w:r>
      <w:r>
        <w:tab/>
      </w:r>
      <w:r>
        <w:rPr>
          <w:b/>
        </w:rPr>
        <w:t>Implement all three vancomycin sampling workflows</w:t>
      </w:r>
      <w:r>
        <w:t xml:space="preserve"> — Pre-dose, Post-dose and Pre + Post — each driven by a distinct pharmacokinetic pathway.</w:t>
      </w:r>
    </w:p>
    <w:p>
      <w:pPr>
        <w:tabs>
          <w:tab w:pos="567" w:val="left"/>
        </w:tabs>
        <w:spacing w:after="80" w:line="288" w:lineRule="auto"/>
        <w:ind w:left="567" w:hanging="567"/>
      </w:pPr>
      <w:r>
        <w:rPr>
          <w:b/>
        </w:rPr>
        <w:t>3.</w:t>
      </w:r>
      <w:r>
        <w:tab/>
      </w:r>
      <w:r>
        <w:rPr>
          <w:b/>
        </w:rPr>
        <w:t>Render dynamic input forms</w:t>
      </w:r>
      <w:r>
        <w:t xml:space="preserve"> that expose only the fields the selected workflow requires, rather than presenting every possible field on one screen.</w:t>
      </w:r>
    </w:p>
    <w:p>
      <w:pPr>
        <w:tabs>
          <w:tab w:pos="567" w:val="left"/>
        </w:tabs>
        <w:spacing w:after="80" w:line="288" w:lineRule="auto"/>
        <w:ind w:left="567" w:hanging="567"/>
      </w:pPr>
      <w:r>
        <w:rPr>
          <w:b/>
        </w:rPr>
        <w:t>4.</w:t>
      </w:r>
      <w:r>
        <w:tab/>
      </w:r>
      <w:r>
        <w:rPr>
          <w:b/>
        </w:rPr>
        <w:t>Validate input beyond emptiness checks</w:t>
      </w:r>
      <w:r>
        <w:t>, distinguishing blocking errors from advisory warnings and enforcing cross-field timing relationships and mathematical safety guards.</w:t>
      </w:r>
    </w:p>
    <w:p>
      <w:pPr>
        <w:tabs>
          <w:tab w:pos="567" w:val="left"/>
        </w:tabs>
        <w:spacing w:after="80" w:line="288" w:lineRule="auto"/>
        <w:ind w:left="567" w:hanging="567"/>
      </w:pPr>
      <w:r>
        <w:rPr>
          <w:b/>
        </w:rPr>
        <w:t>5.</w:t>
      </w:r>
      <w:r>
        <w:tab/>
      </w:r>
      <w:r>
        <w:rPr>
          <w:b/>
        </w:rPr>
        <w:t>Separate the calculation engine from the user interface</w:t>
      </w:r>
      <w:r>
        <w:t xml:space="preserve"> so that the pharmacokinetic logic is pure Kotlin, contains no Android framework dependency and can be unit tested in isolation.</w:t>
      </w:r>
    </w:p>
    <w:p>
      <w:pPr>
        <w:tabs>
          <w:tab w:pos="567" w:val="left"/>
        </w:tabs>
        <w:spacing w:after="80" w:line="288" w:lineRule="auto"/>
        <w:ind w:left="567" w:hanging="567"/>
      </w:pPr>
      <w:r>
        <w:rPr>
          <w:b/>
        </w:rPr>
        <w:t>6.</w:t>
      </w:r>
      <w:r>
        <w:tab/>
      </w:r>
      <w:r>
        <w:rPr>
          <w:b/>
        </w:rPr>
        <w:t>Return intermediate as well as final results</w:t>
      </w:r>
      <w:r>
        <w:t>, so the user sees Ke, half-life, volume of distribution and clearance rather than a single opaque number.</w:t>
      </w:r>
    </w:p>
    <w:p>
      <w:pPr>
        <w:tabs>
          <w:tab w:pos="567" w:val="left"/>
        </w:tabs>
        <w:spacing w:after="80" w:line="288" w:lineRule="auto"/>
        <w:ind w:left="567" w:hanging="567"/>
      </w:pPr>
      <w:r>
        <w:rPr>
          <w:b/>
        </w:rPr>
        <w:t>7.</w:t>
      </w:r>
      <w:r>
        <w:tab/>
      </w:r>
      <w:r>
        <w:rPr>
          <w:b/>
        </w:rPr>
        <w:t>Make every result explainable</w:t>
      </w:r>
      <w:r>
        <w:t xml:space="preserve"> through a dedicated view that walks from input values through intermediate values and pharmacokinetic parameters to the final AUC₂₄ and dose recommendation.</w:t>
      </w:r>
    </w:p>
    <w:p>
      <w:pPr>
        <w:tabs>
          <w:tab w:pos="567" w:val="left"/>
        </w:tabs>
        <w:spacing w:after="80" w:line="288" w:lineRule="auto"/>
        <w:ind w:left="567" w:hanging="567"/>
      </w:pPr>
      <w:r>
        <w:rPr>
          <w:b/>
        </w:rPr>
        <w:t>8.</w:t>
      </w:r>
      <w:r>
        <w:tab/>
      </w:r>
      <w:r>
        <w:rPr>
          <w:b/>
        </w:rPr>
        <w:t>Apply a consistent Material 3 interface</w:t>
      </w:r>
      <w:r>
        <w:t xml:space="preserve"> with genuine light and dark colour schemes and a semantic colour convention shared by every validation message.</w:t>
      </w:r>
    </w:p>
    <w:p>
      <w:pPr>
        <w:pStyle w:val="Heading2"/>
      </w:pPr>
      <w:r>
        <w:t>1.4 Target Users</w:t>
      </w:r>
    </w:p>
    <w:p>
      <w:pPr>
        <w:spacing w:after="160"/>
      </w:pPr>
      <w:r>
        <w:t xml:space="preserve">TDM Insight is written for two overlapping groups. The primary users are </w:t>
      </w:r>
      <w:r>
        <w:rPr>
          <w:b/>
        </w:rPr>
        <w:t>clinical pharmacists and pharmacy students</w:t>
      </w:r>
      <w:r>
        <w:t xml:space="preserve"> who need to convert a laboratory report into an AUC₂₄ estimate and a dose recommendation quickly, and who need to be able to show their working. The secondary user is the </w:t>
      </w:r>
      <w:r>
        <w:rPr>
          <w:b/>
        </w:rPr>
        <w:t>prospective user or evaluator</w:t>
      </w:r>
      <w:r>
        <w:t xml:space="preserve"> who reaches the project through its public landing page and wants to understand what the application does before installing it. Because the application is an academic prototype, no user of any kind may enter real patient data; this restriction is surfaced on first launch, on every input screen and in the About screen.</w:t>
      </w:r>
    </w:p>
    <w:p>
      <w:pPr>
        <w:pStyle w:val="Heading2"/>
      </w:pPr>
      <w:r>
        <w:t>1.5 Scope</w:t>
      </w:r>
    </w:p>
    <w:p>
      <w:pPr>
        <w:spacing w:after="160"/>
      </w:pPr>
      <w:r>
        <w:t>The application models vancomycin only. Gentamicin and amikacin appear on the medication selection screen as disabled cards marked “Coming soon”, which communicates the intended extension point without implying functionality that does not exist. Within vancomycin, the three sampling workflows named in the case study are implemented in full. Optional enhancements described in the case study — camera capture with OCR, what-if simulation, additional medication modules and export or sharing — were not implemented; the corresponding user-interface affordances that do appear are identified in Section 17.5 as non-functional placeholders.</w:t>
      </w:r>
    </w:p>
    <w:p>
      <w:pPr>
        <w:pStyle w:val="Heading2"/>
      </w:pPr>
      <w:r>
        <w:t>1.6 Structure of This Report</w:t>
      </w:r>
    </w:p>
    <w:p>
      <w:pPr>
        <w:spacing w:after="160"/>
      </w:pPr>
      <w:r>
        <w:t>Section 2 states the problem and Section 3 the proposed solution. Section 4 gives a system overview together with a traceability matrix against the case study's mandatory requirements, and Section 5 documents the technology stack. Sections 6 to 8 present the static design — architecture, use case model and component structure. Sections 9 to 11 present the dynamic design through activity, sequence and data-flow models. Sections 12 to 15 cover navigation, the domain class model, validation and security. Section 16 documents the calculation engine and three worked examples. Section 17 documents the user interface with screenshots. Sections 18 to 20 cover testing, version control and responsible use of artificial intelligence. Sections 21 and 22 state the limitations and conclusion.</w:t>
      </w:r>
    </w:p>
    <w:p>
      <w:pPr>
        <w:pStyle w:val="Heading1"/>
      </w:pPr>
      <w:r>
        <w:t>2. Problem Statement</w:t>
      </w:r>
    </w:p>
    <w:p>
      <w:pPr>
        <w:pStyle w:val="Heading2"/>
      </w:pPr>
      <w:r>
        <w:t>2.1 The Clinical Problem</w:t>
      </w:r>
    </w:p>
    <w:p>
      <w:pPr>
        <w:spacing w:after="160"/>
      </w:pPr>
      <w:r>
        <w:t>Vancomycin has a narrow therapeutic index. Sub-therapeutic exposure permits the MRSA infection to progress and encourages resistance; supra-therapeutic exposure is associated with acute kidney injury. Because clearance of the drug depends principally on renal function, and because renal function varies enormously between an eighteen-year-old trauma patient and a seventy-eight-year-old with stage 4 chronic kidney disease, a fixed milligram-per-kilogram dose is not adequate. Each patient needs an individualised regimen derived from their own measured concentrations.</w:t>
      </w:r>
    </w:p>
    <w:p>
      <w:pPr>
        <w:pStyle w:val="Heading2"/>
      </w:pPr>
      <w:r>
        <w:t>2.2 Limitations of Current Practice</w:t>
      </w:r>
    </w:p>
    <w:p>
      <w:pPr>
        <w:spacing w:after="160"/>
      </w:pPr>
      <w:r>
        <w:t>In the hospital pharmacy setting described in the case study, these calculations are still performed by hand, on paper worksheets or with a general-purpose calculator. That practice has four specific weaknesses.</w:t>
      </w:r>
    </w:p>
    <w:p>
      <w:pPr>
        <w:pStyle w:val="ListBullet"/>
        <w:spacing w:after="60" w:line="288" w:lineRule="auto"/>
        <w:ind w:left="397"/>
      </w:pPr>
      <w:r>
        <w:rPr>
          <w:b/>
        </w:rPr>
        <w:t>Method selection is left to memory.</w:t>
      </w:r>
      <w:r>
        <w:t xml:space="preserve"> Which set of equations applies depends on which samples the laboratory returned. Selecting the trough-only pathway when a peak is also available discards information; selecting a two-point pathway when only one sample exists is not possible at all. Nothing in a paper worksheet enforces the correct choice.</w:t>
      </w:r>
    </w:p>
    <w:p>
      <w:pPr>
        <w:pStyle w:val="ListBullet"/>
        <w:spacing w:after="60" w:line="288" w:lineRule="auto"/>
        <w:ind w:left="397"/>
      </w:pPr>
      <w:r>
        <w:rPr>
          <w:b/>
        </w:rPr>
        <w:t>There is no input validation.</w:t>
      </w:r>
      <w:r>
        <w:t xml:space="preserve"> A worksheet accepts a serum creatinine of 9.8 µmol/L as readily as 98 µmol/L. A transposed decimal point propagates silently into the dose recommendation.</w:t>
      </w:r>
    </w:p>
    <w:p>
      <w:pPr>
        <w:pStyle w:val="ListBullet"/>
        <w:spacing w:after="60" w:line="288" w:lineRule="auto"/>
        <w:ind w:left="397"/>
      </w:pPr>
      <w:r>
        <w:rPr>
          <w:b/>
        </w:rPr>
        <w:t>Cross-field inconsistencies go undetected.</w:t>
      </w:r>
      <w:r>
        <w:t xml:space="preserve"> If the trough is recorded as having been drawn before the peak, the two-point elimination-rate calculation produces a negative rate constant — a physically meaningless result that a calculator will nonetheless display.</w:t>
      </w:r>
    </w:p>
    <w:p>
      <w:pPr>
        <w:pStyle w:val="ListBullet"/>
        <w:spacing w:after="60" w:line="288" w:lineRule="auto"/>
        <w:ind w:left="397"/>
      </w:pPr>
      <w:r>
        <w:rPr>
          <w:b/>
        </w:rPr>
        <w:t>There is no audit trail.</w:t>
      </w:r>
      <w:r>
        <w:t xml:space="preserve"> Paper worksheets are discarded, so neither the pharmacist nor the department can review how a past recommendation was reached.</w:t>
      </w:r>
    </w:p>
    <w:p>
      <w:pPr>
        <w:pStyle w:val="Heading2"/>
      </w:pPr>
      <w:r>
        <w:t>2.3 Who Is Affected</w:t>
      </w:r>
    </w:p>
    <w:p>
      <w:pPr>
        <w:spacing w:after="160"/>
      </w:pPr>
      <w:r>
        <w:t>The pharmacist carries the immediate burden: the calculation is slow, easy to get wrong and difficult to justify afterwards. The patient carries the consequence of an error. The pharmacy student carries a third problem — a worked answer on a whiteboard does not show which equation produced which intermediate value, so the method is hard to learn and harder to check.</w:t>
      </w:r>
    </w:p>
    <w:p>
      <w:pPr>
        <w:pStyle w:val="Heading2"/>
      </w:pPr>
      <w:r>
        <w:t>2.4 How TDM Insight Addresses the Problem</w:t>
      </w:r>
    </w:p>
    <w:p>
      <w:pPr>
        <w:spacing w:after="160"/>
      </w:pPr>
      <w:r>
        <w:t>TDM Insight turns the paper worksheet into a guided five-step wizard. The workflow is chosen explicitly and then determines which fields appear, so the wrong equations cannot be applied to the wrong data. Every field is range-checked against physiological limits as it is typed, and cross-field timing relationships are checked before the engine is ever called. The engine itself refuses to divide by zero or take the logarithm of a non-positive number, returning a specific message instead of a misleading value. Each completed calculation is written to a PostgreSQL table, giving the department the audit trail the paper process lacked. Finally, the Explanation screen reproduces every formula with the patient's own numbers substituted, which converts the tool from a black box into a teaching aid.</w:t>
      </w:r>
    </w:p>
    <w:p>
      <w:pPr>
        <w:pStyle w:val="Heading1"/>
      </w:pPr>
      <w:r>
        <w:t>3. Proposed Solution</w:t>
      </w:r>
    </w:p>
    <w:p>
      <w:pPr>
        <w:pStyle w:val="Heading2"/>
      </w:pPr>
      <w:r>
        <w:t>3.1 Solution Overview</w:t>
      </w:r>
    </w:p>
    <w:p>
      <w:pPr>
        <w:spacing w:after="160"/>
      </w:pPr>
      <w:r>
        <w:t>TDM Insight is a single-activity Android application built on Jetpack Compose. A user signs in, creates a fictional case, chooses vancomycin, selects one of three sampling workflows, enters the fields that workflow requires, reviews them, and runs the calculation. A pure-Kotlin engine fits a one-compartment pharmacokinetic model to the input and returns a structured result containing the elimination rate constant, half-life, volume of distribution, clearance, projected peak and trough, AUC₂₄ and a recommended dose. The result screen presents AUC₂₄ on a ring gauge against the 400–600 mg·h/L target band, and the completed case is written asynchronously to a Supabase PostgreSQL database so it appears in the user's history.</w:t>
      </w:r>
    </w:p>
    <w:p>
      <w:pPr>
        <w:pStyle w:val="Heading2"/>
      </w:pPr>
      <w:r>
        <w:t>3.2 Key Features</w:t>
      </w:r>
    </w:p>
    <w:p>
      <w:pPr>
        <w:pStyle w:val="ListBullet"/>
        <w:spacing w:after="60" w:line="288" w:lineRule="auto"/>
        <w:ind w:left="397"/>
      </w:pPr>
      <w:r>
        <w:rPr>
          <w:b/>
        </w:rPr>
        <w:t>Three pharmacokinetic pathways.</w:t>
      </w:r>
      <w:r>
        <w:t xml:space="preserve"> Pre-dose uses the Cockcroft–Gault creatinine clearance estimate with a population volume of distribution; Post-dose fits the elimination rate constant to a single measured concentration by Newton–Raphson iteration; Pre + Post uses Sawchuk–Zaske two-point log-linear regression to derive both the rate constant and an individualised volume of distribution.</w:t>
      </w:r>
    </w:p>
    <w:p>
      <w:pPr>
        <w:pStyle w:val="ListBullet"/>
        <w:spacing w:after="60" w:line="288" w:lineRule="auto"/>
        <w:ind w:left="397"/>
      </w:pPr>
      <w:r>
        <w:rPr>
          <w:b/>
        </w:rPr>
        <w:t>Dynamic forms.</w:t>
      </w:r>
      <w:r>
        <w:t xml:space="preserve"> </w:t>
      </w:r>
      <w:r>
        <w:rPr>
          <w:rFonts w:ascii="Consolas" w:hAnsi="Consolas"/>
          <w:sz w:val="19"/>
        </w:rPr>
        <w:t>InputFormScreen</w:t>
      </w:r>
      <w:r>
        <w:t xml:space="preserve"> renders the pre-dose sample group only for the Pre and Pre + Post workflows and the post-dose group only for Post and Pre + Post, so the user never sees a field that does not apply.</w:t>
      </w:r>
    </w:p>
    <w:p>
      <w:pPr>
        <w:pStyle w:val="ListBullet"/>
        <w:spacing w:after="60" w:line="288" w:lineRule="auto"/>
        <w:ind w:left="397"/>
      </w:pPr>
      <w:r>
        <w:rPr>
          <w:b/>
        </w:rPr>
        <w:t>Two-tier validation.</w:t>
      </w:r>
      <w:r>
        <w:t xml:space="preserve"> Blocking errors are shown in red and disable the Continue button; advisory warnings are shown in amber and do not. The distinction is carried in the type system by </w:t>
      </w:r>
      <w:r>
        <w:rPr>
          <w:rFonts w:ascii="Consolas" w:hAnsi="Consolas"/>
          <w:sz w:val="19"/>
        </w:rPr>
        <w:t>ValidationReport</w:t>
      </w:r>
      <w:r>
        <w:t>, which holds separate error and warning lists.</w:t>
      </w:r>
    </w:p>
    <w:p>
      <w:pPr>
        <w:pStyle w:val="ListBullet"/>
        <w:spacing w:after="60" w:line="288" w:lineRule="auto"/>
        <w:ind w:left="397"/>
      </w:pPr>
      <w:r>
        <w:rPr>
          <w:b/>
        </w:rPr>
        <w:t>Live derived feedback.</w:t>
      </w:r>
      <w:r>
        <w:t xml:space="preserve"> The patient-details screen recomputes Cockcroft–Gault creatinine clearance on every keystroke and shows it in a stat chip, so an implausible creatinine value is visible before the user leaves the screen.</w:t>
      </w:r>
    </w:p>
    <w:p>
      <w:pPr>
        <w:pStyle w:val="ListBullet"/>
        <w:spacing w:after="60" w:line="288" w:lineRule="auto"/>
        <w:ind w:left="397"/>
      </w:pPr>
      <w:r>
        <w:rPr>
          <w:b/>
        </w:rPr>
        <w:t>Explainable output.</w:t>
      </w:r>
      <w:r>
        <w:t xml:space="preserve"> A four-phase Explanation screen prints input values, the elimination-rate derivation with the patient's numbers substituted into the formula, the full pharmacokinetic parameter set, and the final AUC₂₄ and dose recommendation.</w:t>
      </w:r>
    </w:p>
    <w:p>
      <w:pPr>
        <w:pStyle w:val="ListBullet"/>
        <w:spacing w:after="60" w:line="288" w:lineRule="auto"/>
        <w:ind w:left="397"/>
      </w:pPr>
      <w:r>
        <w:rPr>
          <w:b/>
        </w:rPr>
        <w:t>Persistent, per-user case history.</w:t>
      </w:r>
      <w:r>
        <w:t xml:space="preserve"> Completed cases are stored in PostgreSQL and the twenty most recent rows for the signed-in user are shown on the Home and History screens.</w:t>
      </w:r>
    </w:p>
    <w:p>
      <w:pPr>
        <w:pStyle w:val="ListBullet"/>
        <w:spacing w:after="60" w:line="288" w:lineRule="auto"/>
        <w:ind w:left="397"/>
      </w:pPr>
      <w:r>
        <w:rPr>
          <w:b/>
        </w:rPr>
        <w:t>Full light and dark themes.</w:t>
      </w:r>
      <w:r>
        <w:t xml:space="preserve"> Two hand-authored Material 3 colour schemes are selectable as Light, Dark or System from Settings.</w:t>
      </w:r>
    </w:p>
    <w:p>
      <w:pPr>
        <w:pStyle w:val="Heading2"/>
      </w:pPr>
      <w:r>
        <w:t>3.3 Scope Boundaries and Deliberate Extensions</w:t>
      </w:r>
    </w:p>
    <w:p>
      <w:pPr>
        <w:spacing w:after="160"/>
      </w:pPr>
      <w:r>
        <w:t xml:space="preserve">The case study lists user authentication and a cloud backend among the items that are </w:t>
      </w:r>
      <w:r>
        <w:rPr>
          <w:b/>
        </w:rPr>
        <w:t>not required</w:t>
      </w:r>
      <w:r>
        <w:t xml:space="preserve"> for the core project (Mohd Zaki, 2026). TDM Insight nevertheless implements both, as optional enhancements layered on top of a complete core.</w:t>
      </w:r>
    </w:p>
    <w:p>
      <w:pPr>
        <w:spacing w:after="160"/>
      </w:pPr>
      <w:r>
        <w:t>The justification is the audit-trail requirement identified in Section 2.2. A calculation history is of little value if it is not attributable to a specific user, and the case study does list local calculation history among the permitted optional enhancements. The team chose to satisfy that enhancement with a hosted PostgreSQL table rather than on-device storage, which necessarily brought identity with it.</w:t>
      </w:r>
    </w:p>
    <w:p>
      <w:pPr>
        <w:spacing w:after="160"/>
      </w:pPr>
      <w:r>
        <w:t xml:space="preserve">Critically, the extension does not compromise the core. The calculation engine, the validators, the wizard and the results and explanation screens contain no network code and no authentication dependency. </w:t>
      </w:r>
      <w:r>
        <w:rPr>
          <w:rFonts w:ascii="Consolas" w:hAnsi="Consolas"/>
          <w:sz w:val="19"/>
        </w:rPr>
        <w:t>SupabaseClientProvider.isConfigured</w:t>
      </w:r>
      <w:r>
        <w:t xml:space="preserve"> and </w:t>
      </w:r>
      <w:r>
        <w:rPr>
          <w:rFonts w:ascii="Consolas" w:hAnsi="Consolas"/>
          <w:sz w:val="19"/>
        </w:rPr>
        <w:t>AuthRepository.isConfigured</w:t>
      </w:r>
      <w:r>
        <w:t xml:space="preserve"> both report false when the corresponding credentials are absent from </w:t>
      </w:r>
      <w:r>
        <w:rPr>
          <w:rFonts w:ascii="Consolas" w:hAnsi="Consolas"/>
          <w:sz w:val="19"/>
        </w:rPr>
        <w:t>local.properties</w:t>
      </w:r>
      <w:r>
        <w:t xml:space="preserve">, and </w:t>
      </w:r>
      <w:r>
        <w:rPr>
          <w:rFonts w:ascii="Consolas" w:hAnsi="Consolas"/>
          <w:sz w:val="19"/>
        </w:rPr>
        <w:t>MainActivity</w:t>
      </w:r>
      <w:r>
        <w:t xml:space="preserve"> then bypasses the authentication gate entirely and starts the navigation graph directly. Persistence failures are caught inside </w:t>
      </w:r>
      <w:r>
        <w:rPr>
          <w:rFonts w:ascii="Consolas" w:hAnsi="Consolas"/>
          <w:sz w:val="19"/>
        </w:rPr>
        <w:t>SupabaseRepository</w:t>
      </w:r>
      <w:r>
        <w:t xml:space="preserve"> and logged rather than propagated. A grader building the project without any credentials therefore still gets a fully functional TDM calculator; only the history list and the sign-in screen are absent.</w:t>
      </w:r>
    </w:p>
    <w:p>
      <w:pPr>
        <w:pStyle w:val="Heading1"/>
      </w:pPr>
      <w:r>
        <w:t>4. System Overview and Requirements</w:t>
      </w:r>
    </w:p>
    <w:p>
      <w:pPr>
        <w:pStyle w:val="Heading2"/>
      </w:pPr>
      <w:r>
        <w:t>4.1 Requirements Traceability</w:t>
      </w:r>
    </w:p>
    <w:p>
      <w:pPr>
        <w:spacing w:after="160"/>
      </w:pPr>
      <w:r>
        <w:t>Table 1 maps each mandatory requirement from the case study to the source artefact that satisfies it.</w:t>
      </w:r>
    </w:p>
    <w:p>
      <w:pPr>
        <w:spacing w:before="240" w:after="0"/>
        <w:keepNext w:val="true"/>
      </w:pPr>
      <w:r>
        <w:rPr>
          <w:b/>
          <w:sz w:val="21"/>
        </w:rPr>
        <w:t>Table 1</w:t>
      </w:r>
    </w:p>
    <w:p>
      <w:pPr>
        <w:spacing w:after="100"/>
        <w:keepNext w:val="true"/>
      </w:pPr>
      <w:r>
        <w:rPr>
          <w:i/>
          <w:sz w:val="21"/>
        </w:rPr>
        <w:t>Traceability of the case study's mandatory requirements to the implementation</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542"/>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9"/>
              </w:rPr>
              <w:t>#</w:t>
            </w:r>
          </w:p>
        </w:tc>
        <w:tc>
          <w:tcPr>
            <w:tcW w:type="dxa" w:w="3009"/>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9"/>
              </w:rPr>
              <w:t>Mandatory requirement</w:t>
            </w:r>
          </w:p>
        </w:tc>
        <w:tc>
          <w:tcPr>
            <w:tcW w:type="dxa" w:w="4453"/>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9"/>
              </w:rPr>
              <w:t>Implemented in</w:t>
            </w:r>
          </w:p>
        </w:tc>
        <w:tc>
          <w:tcPr>
            <w:tcW w:type="dxa" w:w="1023"/>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9"/>
              </w:rPr>
              <w:t>Status</w:t>
            </w:r>
          </w:p>
        </w:tc>
      </w:tr>
      <w:tr>
        <w:tc>
          <w:tcPr>
            <w:tcW w:type="dxa" w:w="542"/>
            <w:tcBorders>
              <w:top w:val="nil" w:sz="6" w:color="C7D6E5"/>
              <w:bottom w:val="single" w:sz="6" w:color="C7D6E5"/>
              <w:left w:val="nil" w:sz="6" w:color="C7D6E5"/>
              <w:right w:val="nil" w:sz="6" w:color="C7D6E5"/>
            </w:tcBorders>
          </w:tcPr>
          <w:p>
            <w:pPr>
              <w:spacing w:after="40" w:before="40" w:line="252" w:lineRule="auto"/>
            </w:pPr>
            <w:r>
              <w:rPr>
                <w:sz w:val="19"/>
              </w:rPr>
              <w:t>1</w:t>
            </w:r>
          </w:p>
        </w:tc>
        <w:tc>
          <w:tcPr>
            <w:tcW w:type="dxa" w:w="3009"/>
            <w:tcBorders>
              <w:top w:val="nil" w:sz="6" w:color="C7D6E5"/>
              <w:bottom w:val="single" w:sz="6" w:color="C7D6E5"/>
              <w:left w:val="nil" w:sz="6" w:color="C7D6E5"/>
              <w:right w:val="nil" w:sz="6" w:color="C7D6E5"/>
            </w:tcBorders>
          </w:tcPr>
          <w:p>
            <w:pPr>
              <w:spacing w:after="40" w:before="40" w:line="252" w:lineRule="auto"/>
            </w:pPr>
            <w:r>
              <w:rPr>
                <w:sz w:val="19"/>
              </w:rPr>
              <w:t>Native Android, Kotlin, Android Studio, Compose/XML, Material 3</w:t>
            </w:r>
          </w:p>
        </w:tc>
        <w:tc>
          <w:tcPr>
            <w:tcW w:type="dxa" w:w="4453"/>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8"/>
              </w:rPr>
              <w:t>Kotlin_app/</w:t>
            </w:r>
            <w:r>
              <w:rPr>
                <w:sz w:val="19"/>
              </w:rPr>
              <w:t xml:space="preserve"> · Compose + Material 3 throughout · </w:t>
            </w:r>
            <w:r>
              <w:rPr>
                <w:rFonts w:ascii="Consolas" w:hAnsi="Consolas"/>
                <w:sz w:val="18"/>
              </w:rPr>
              <w:t>build.gradle.kts</w:t>
            </w:r>
            <w:r>
              <w:rPr>
                <w:sz w:val="19"/>
              </w:rPr>
              <w:t xml:space="preserve"> (compileSdk 35, minSdk 26)</w:t>
            </w:r>
          </w:p>
        </w:tc>
        <w:tc>
          <w:tcPr>
            <w:tcW w:type="dxa" w:w="1023"/>
            <w:tcBorders>
              <w:top w:val="nil" w:sz="6" w:color="C7D6E5"/>
              <w:bottom w:val="single" w:sz="6" w:color="C7D6E5"/>
              <w:left w:val="nil" w:sz="6" w:color="C7D6E5"/>
              <w:right w:val="nil" w:sz="6" w:color="C7D6E5"/>
            </w:tcBorders>
          </w:tcPr>
          <w:p>
            <w:pPr>
              <w:spacing w:after="40" w:before="40" w:line="252" w:lineRule="auto"/>
            </w:pPr>
            <w:r>
              <w:rPr>
                <w:sz w:val="19"/>
              </w:rPr>
              <w:t>Met</w:t>
            </w:r>
          </w:p>
        </w:tc>
      </w:tr>
      <w:tr>
        <w:tc>
          <w:tcPr>
            <w:tcW w:type="dxa" w:w="542"/>
            <w:tcBorders>
              <w:top w:val="nil" w:sz="6" w:color="C7D6E5"/>
              <w:bottom w:val="single" w:sz="6" w:color="C7D6E5"/>
              <w:left w:val="nil" w:sz="6" w:color="C7D6E5"/>
              <w:right w:val="nil" w:sz="6" w:color="C7D6E5"/>
            </w:tcBorders>
          </w:tcPr>
          <w:p>
            <w:pPr>
              <w:spacing w:after="40" w:before="40" w:line="252" w:lineRule="auto"/>
            </w:pPr>
            <w:r>
              <w:rPr>
                <w:sz w:val="19"/>
              </w:rPr>
              <w:t>2</w:t>
            </w:r>
          </w:p>
        </w:tc>
        <w:tc>
          <w:tcPr>
            <w:tcW w:type="dxa" w:w="3009"/>
            <w:tcBorders>
              <w:top w:val="nil" w:sz="6" w:color="C7D6E5"/>
              <w:bottom w:val="single" w:sz="6" w:color="C7D6E5"/>
              <w:left w:val="nil" w:sz="6" w:color="C7D6E5"/>
              <w:right w:val="nil" w:sz="6" w:color="C7D6E5"/>
            </w:tcBorders>
          </w:tcPr>
          <w:p>
            <w:pPr>
              <w:spacing w:after="40" w:before="40" w:line="252" w:lineRule="auto"/>
            </w:pPr>
            <w:r>
              <w:rPr>
                <w:sz w:val="19"/>
              </w:rPr>
              <w:t>Vancomycin TDM calculation workflows (Pre, Post, Pre + Post)</w:t>
            </w:r>
          </w:p>
        </w:tc>
        <w:tc>
          <w:tcPr>
            <w:tcW w:type="dxa" w:w="4453"/>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8"/>
              </w:rPr>
              <w:t>VancoEngine.calculatePre/calculatePost/calculatePrePost</w:t>
            </w:r>
          </w:p>
        </w:tc>
        <w:tc>
          <w:tcPr>
            <w:tcW w:type="dxa" w:w="1023"/>
            <w:tcBorders>
              <w:top w:val="nil" w:sz="6" w:color="C7D6E5"/>
              <w:bottom w:val="single" w:sz="6" w:color="C7D6E5"/>
              <w:left w:val="nil" w:sz="6" w:color="C7D6E5"/>
              <w:right w:val="nil" w:sz="6" w:color="C7D6E5"/>
            </w:tcBorders>
          </w:tcPr>
          <w:p>
            <w:pPr>
              <w:spacing w:after="40" w:before="40" w:line="252" w:lineRule="auto"/>
            </w:pPr>
            <w:r>
              <w:rPr>
                <w:sz w:val="19"/>
              </w:rPr>
              <w:t>Met</w:t>
            </w:r>
          </w:p>
        </w:tc>
      </w:tr>
      <w:tr>
        <w:tc>
          <w:tcPr>
            <w:tcW w:type="dxa" w:w="542"/>
            <w:tcBorders>
              <w:top w:val="nil" w:sz="6" w:color="C7D6E5"/>
              <w:bottom w:val="single" w:sz="6" w:color="C7D6E5"/>
              <w:left w:val="nil" w:sz="6" w:color="C7D6E5"/>
              <w:right w:val="nil" w:sz="6" w:color="C7D6E5"/>
            </w:tcBorders>
          </w:tcPr>
          <w:p>
            <w:pPr>
              <w:spacing w:after="40" w:before="40" w:line="252" w:lineRule="auto"/>
            </w:pPr>
            <w:r>
              <w:rPr>
                <w:sz w:val="19"/>
              </w:rPr>
              <w:t>3</w:t>
            </w:r>
          </w:p>
        </w:tc>
        <w:tc>
          <w:tcPr>
            <w:tcW w:type="dxa" w:w="3009"/>
            <w:tcBorders>
              <w:top w:val="nil" w:sz="6" w:color="C7D6E5"/>
              <w:bottom w:val="single" w:sz="6" w:color="C7D6E5"/>
              <w:left w:val="nil" w:sz="6" w:color="C7D6E5"/>
              <w:right w:val="nil" w:sz="6" w:color="C7D6E5"/>
            </w:tcBorders>
          </w:tcPr>
          <w:p>
            <w:pPr>
              <w:spacing w:after="40" w:before="40" w:line="252" w:lineRule="auto"/>
            </w:pPr>
            <w:r>
              <w:rPr>
                <w:sz w:val="19"/>
              </w:rPr>
              <w:t>Dynamic input forms driven by the selected method</w:t>
            </w:r>
          </w:p>
        </w:tc>
        <w:tc>
          <w:tcPr>
            <w:tcW w:type="dxa" w:w="4453"/>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8"/>
              </w:rPr>
              <w:t>InputFormScreen</w:t>
            </w:r>
            <w:r>
              <w:rPr>
                <w:sz w:val="19"/>
              </w:rPr>
              <w:t xml:space="preserve"> — sample groups rendered conditionally on </w:t>
            </w:r>
            <w:r>
              <w:rPr>
                <w:rFonts w:ascii="Consolas" w:hAnsi="Consolas"/>
                <w:sz w:val="18"/>
              </w:rPr>
              <w:t>VancoWorkflow</w:t>
            </w:r>
          </w:p>
        </w:tc>
        <w:tc>
          <w:tcPr>
            <w:tcW w:type="dxa" w:w="1023"/>
            <w:tcBorders>
              <w:top w:val="nil" w:sz="6" w:color="C7D6E5"/>
              <w:bottom w:val="single" w:sz="6" w:color="C7D6E5"/>
              <w:left w:val="nil" w:sz="6" w:color="C7D6E5"/>
              <w:right w:val="nil" w:sz="6" w:color="C7D6E5"/>
            </w:tcBorders>
          </w:tcPr>
          <w:p>
            <w:pPr>
              <w:spacing w:after="40" w:before="40" w:line="252" w:lineRule="auto"/>
            </w:pPr>
            <w:r>
              <w:rPr>
                <w:sz w:val="19"/>
              </w:rPr>
              <w:t>Met</w:t>
            </w:r>
          </w:p>
        </w:tc>
      </w:tr>
      <w:tr>
        <w:tc>
          <w:tcPr>
            <w:tcW w:type="dxa" w:w="542"/>
            <w:tcBorders>
              <w:top w:val="nil" w:sz="6" w:color="C7D6E5"/>
              <w:bottom w:val="single" w:sz="6" w:color="C7D6E5"/>
              <w:left w:val="nil" w:sz="6" w:color="C7D6E5"/>
              <w:right w:val="nil" w:sz="6" w:color="C7D6E5"/>
            </w:tcBorders>
          </w:tcPr>
          <w:p>
            <w:pPr>
              <w:spacing w:after="40" w:before="40" w:line="252" w:lineRule="auto"/>
            </w:pPr>
            <w:r>
              <w:rPr>
                <w:sz w:val="19"/>
              </w:rPr>
              <w:t>4</w:t>
            </w:r>
          </w:p>
        </w:tc>
        <w:tc>
          <w:tcPr>
            <w:tcW w:type="dxa" w:w="3009"/>
            <w:tcBorders>
              <w:top w:val="nil" w:sz="6" w:color="C7D6E5"/>
              <w:bottom w:val="single" w:sz="6" w:color="C7D6E5"/>
              <w:left w:val="nil" w:sz="6" w:color="C7D6E5"/>
              <w:right w:val="nil" w:sz="6" w:color="C7D6E5"/>
            </w:tcBorders>
          </w:tcPr>
          <w:p>
            <w:pPr>
              <w:spacing w:after="40" w:before="40" w:line="252" w:lineRule="auto"/>
            </w:pPr>
            <w:r>
              <w:rPr>
                <w:sz w:val="19"/>
              </w:rPr>
              <w:t>Input and cross-field validation</w:t>
            </w:r>
          </w:p>
        </w:tc>
        <w:tc>
          <w:tcPr>
            <w:tcW w:type="dxa" w:w="4453"/>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8"/>
              </w:rPr>
              <w:t>InputValidator</w:t>
            </w:r>
            <w:r>
              <w:rPr>
                <w:sz w:val="19"/>
              </w:rPr>
              <w:t xml:space="preserve"> (7 public functions) · </w:t>
            </w:r>
            <w:r>
              <w:rPr>
                <w:rFonts w:ascii="Consolas" w:hAnsi="Consolas"/>
                <w:sz w:val="18"/>
              </w:rPr>
              <w:t>ValidationReport</w:t>
            </w:r>
          </w:p>
        </w:tc>
        <w:tc>
          <w:tcPr>
            <w:tcW w:type="dxa" w:w="1023"/>
            <w:tcBorders>
              <w:top w:val="nil" w:sz="6" w:color="C7D6E5"/>
              <w:bottom w:val="single" w:sz="6" w:color="C7D6E5"/>
              <w:left w:val="nil" w:sz="6" w:color="C7D6E5"/>
              <w:right w:val="nil" w:sz="6" w:color="C7D6E5"/>
            </w:tcBorders>
          </w:tcPr>
          <w:p>
            <w:pPr>
              <w:spacing w:after="40" w:before="40" w:line="252" w:lineRule="auto"/>
            </w:pPr>
            <w:r>
              <w:rPr>
                <w:sz w:val="19"/>
              </w:rPr>
              <w:t>Met</w:t>
            </w:r>
          </w:p>
        </w:tc>
      </w:tr>
      <w:tr>
        <w:tc>
          <w:tcPr>
            <w:tcW w:type="dxa" w:w="542"/>
            <w:tcBorders>
              <w:top w:val="nil" w:sz="6" w:color="C7D6E5"/>
              <w:bottom w:val="single" w:sz="6" w:color="C7D6E5"/>
              <w:left w:val="nil" w:sz="6" w:color="C7D6E5"/>
              <w:right w:val="nil" w:sz="6" w:color="C7D6E5"/>
            </w:tcBorders>
          </w:tcPr>
          <w:p>
            <w:pPr>
              <w:spacing w:after="40" w:before="40" w:line="252" w:lineRule="auto"/>
            </w:pPr>
            <w:r>
              <w:rPr>
                <w:sz w:val="19"/>
              </w:rPr>
              <w:t>5</w:t>
            </w:r>
          </w:p>
        </w:tc>
        <w:tc>
          <w:tcPr>
            <w:tcW w:type="dxa" w:w="3009"/>
            <w:tcBorders>
              <w:top w:val="nil" w:sz="6" w:color="C7D6E5"/>
              <w:bottom w:val="single" w:sz="6" w:color="C7D6E5"/>
              <w:left w:val="nil" w:sz="6" w:color="C7D6E5"/>
              <w:right w:val="nil" w:sz="6" w:color="C7D6E5"/>
            </w:tcBorders>
          </w:tcPr>
          <w:p>
            <w:pPr>
              <w:spacing w:after="40" w:before="40" w:line="252" w:lineRule="auto"/>
            </w:pPr>
            <w:r>
              <w:rPr>
                <w:sz w:val="19"/>
              </w:rPr>
              <w:t>Calculation engine separated from the user interface</w:t>
            </w:r>
          </w:p>
        </w:tc>
        <w:tc>
          <w:tcPr>
            <w:tcW w:type="dxa" w:w="4453"/>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8"/>
              </w:rPr>
              <w:t>domain/engine/VancoEngine.kt</w:t>
            </w:r>
            <w:r>
              <w:rPr>
                <w:sz w:val="19"/>
              </w:rPr>
              <w:t xml:space="preserve"> — pure Kotlin, no Android imports</w:t>
            </w:r>
          </w:p>
        </w:tc>
        <w:tc>
          <w:tcPr>
            <w:tcW w:type="dxa" w:w="1023"/>
            <w:tcBorders>
              <w:top w:val="nil" w:sz="6" w:color="C7D6E5"/>
              <w:bottom w:val="single" w:sz="6" w:color="C7D6E5"/>
              <w:left w:val="nil" w:sz="6" w:color="C7D6E5"/>
              <w:right w:val="nil" w:sz="6" w:color="C7D6E5"/>
            </w:tcBorders>
          </w:tcPr>
          <w:p>
            <w:pPr>
              <w:spacing w:after="40" w:before="40" w:line="252" w:lineRule="auto"/>
            </w:pPr>
            <w:r>
              <w:rPr>
                <w:sz w:val="19"/>
              </w:rPr>
              <w:t>Met</w:t>
            </w:r>
          </w:p>
        </w:tc>
      </w:tr>
      <w:tr>
        <w:tc>
          <w:tcPr>
            <w:tcW w:type="dxa" w:w="542"/>
            <w:tcBorders>
              <w:top w:val="nil" w:sz="6" w:color="C7D6E5"/>
              <w:bottom w:val="single" w:sz="6" w:color="C7D6E5"/>
              <w:left w:val="nil" w:sz="6" w:color="C7D6E5"/>
              <w:right w:val="nil" w:sz="6" w:color="C7D6E5"/>
            </w:tcBorders>
          </w:tcPr>
          <w:p>
            <w:pPr>
              <w:spacing w:after="40" w:before="40" w:line="252" w:lineRule="auto"/>
            </w:pPr>
            <w:r>
              <w:rPr>
                <w:sz w:val="19"/>
              </w:rPr>
              <w:t>6</w:t>
            </w:r>
          </w:p>
        </w:tc>
        <w:tc>
          <w:tcPr>
            <w:tcW w:type="dxa" w:w="3009"/>
            <w:tcBorders>
              <w:top w:val="nil" w:sz="6" w:color="C7D6E5"/>
              <w:bottom w:val="single" w:sz="6" w:color="C7D6E5"/>
              <w:left w:val="nil" w:sz="6" w:color="C7D6E5"/>
              <w:right w:val="nil" w:sz="6" w:color="C7D6E5"/>
            </w:tcBorders>
          </w:tcPr>
          <w:p>
            <w:pPr>
              <w:spacing w:after="40" w:before="40" w:line="252" w:lineRule="auto"/>
            </w:pPr>
            <w:r>
              <w:rPr>
                <w:sz w:val="19"/>
              </w:rPr>
              <w:t>Intermediate and final pharmacokinetic results</w:t>
            </w:r>
          </w:p>
        </w:tc>
        <w:tc>
          <w:tcPr>
            <w:tcW w:type="dxa" w:w="4453"/>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8"/>
              </w:rPr>
              <w:t>PkResults</w:t>
            </w:r>
            <w:r>
              <w:rPr>
                <w:sz w:val="19"/>
              </w:rPr>
              <w:t xml:space="preserve"> — ke, t½, Vd, Vd/kg, CL, AUC₂₄, recommended dose, Cmin, Cmax</w:t>
            </w:r>
          </w:p>
        </w:tc>
        <w:tc>
          <w:tcPr>
            <w:tcW w:type="dxa" w:w="1023"/>
            <w:tcBorders>
              <w:top w:val="nil" w:sz="6" w:color="C7D6E5"/>
              <w:bottom w:val="single" w:sz="6" w:color="C7D6E5"/>
              <w:left w:val="nil" w:sz="6" w:color="C7D6E5"/>
              <w:right w:val="nil" w:sz="6" w:color="C7D6E5"/>
            </w:tcBorders>
          </w:tcPr>
          <w:p>
            <w:pPr>
              <w:spacing w:after="40" w:before="40" w:line="252" w:lineRule="auto"/>
            </w:pPr>
            <w:r>
              <w:rPr>
                <w:sz w:val="19"/>
              </w:rPr>
              <w:t>Met</w:t>
            </w:r>
          </w:p>
        </w:tc>
      </w:tr>
      <w:tr>
        <w:tc>
          <w:tcPr>
            <w:tcW w:type="dxa" w:w="542"/>
            <w:tcBorders>
              <w:top w:val="nil" w:sz="6" w:color="C7D6E5"/>
              <w:bottom w:val="single" w:sz="6" w:color="C7D6E5"/>
              <w:left w:val="nil" w:sz="6" w:color="C7D6E5"/>
              <w:right w:val="nil" w:sz="6" w:color="C7D6E5"/>
            </w:tcBorders>
          </w:tcPr>
          <w:p>
            <w:pPr>
              <w:spacing w:after="40" w:before="40" w:line="252" w:lineRule="auto"/>
            </w:pPr>
            <w:r>
              <w:rPr>
                <w:sz w:val="19"/>
              </w:rPr>
              <w:t>7</w:t>
            </w:r>
          </w:p>
        </w:tc>
        <w:tc>
          <w:tcPr>
            <w:tcW w:type="dxa" w:w="3009"/>
            <w:tcBorders>
              <w:top w:val="nil" w:sz="6" w:color="C7D6E5"/>
              <w:bottom w:val="single" w:sz="6" w:color="C7D6E5"/>
              <w:left w:val="nil" w:sz="6" w:color="C7D6E5"/>
              <w:right w:val="nil" w:sz="6" w:color="C7D6E5"/>
            </w:tcBorders>
          </w:tcPr>
          <w:p>
            <w:pPr>
              <w:spacing w:after="40" w:before="40" w:line="252" w:lineRule="auto"/>
            </w:pPr>
            <w:r>
              <w:rPr>
                <w:sz w:val="19"/>
              </w:rPr>
              <w:t>Explainable results (inputs → intermediates → parameters → result)</w:t>
            </w:r>
          </w:p>
        </w:tc>
        <w:tc>
          <w:tcPr>
            <w:tcW w:type="dxa" w:w="4453"/>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8"/>
              </w:rPr>
              <w:t>ExplanationScreen</w:t>
            </w:r>
            <w:r>
              <w:rPr>
                <w:sz w:val="19"/>
              </w:rPr>
              <w:t xml:space="preserve"> — four </w:t>
            </w:r>
            <w:r>
              <w:rPr>
                <w:rFonts w:ascii="Consolas" w:hAnsi="Consolas"/>
                <w:sz w:val="18"/>
              </w:rPr>
              <w:t>ExplanationPhase</w:t>
            </w:r>
            <w:r>
              <w:rPr>
                <w:sz w:val="19"/>
              </w:rPr>
              <w:t xml:space="preserve"> blocks in that exact order</w:t>
            </w:r>
          </w:p>
        </w:tc>
        <w:tc>
          <w:tcPr>
            <w:tcW w:type="dxa" w:w="1023"/>
            <w:tcBorders>
              <w:top w:val="nil" w:sz="6" w:color="C7D6E5"/>
              <w:bottom w:val="single" w:sz="6" w:color="C7D6E5"/>
              <w:left w:val="nil" w:sz="6" w:color="C7D6E5"/>
              <w:right w:val="nil" w:sz="6" w:color="C7D6E5"/>
            </w:tcBorders>
          </w:tcPr>
          <w:p>
            <w:pPr>
              <w:spacing w:after="40" w:before="40" w:line="252" w:lineRule="auto"/>
            </w:pPr>
            <w:r>
              <w:rPr>
                <w:sz w:val="19"/>
              </w:rPr>
              <w:t>Met</w:t>
            </w:r>
          </w:p>
        </w:tc>
      </w:tr>
      <w:tr>
        <w:tc>
          <w:tcPr>
            <w:tcW w:type="dxa" w:w="542"/>
            <w:tcBorders>
              <w:top w:val="nil" w:sz="6" w:color="C7D6E5"/>
              <w:bottom w:val="single" w:sz="6" w:color="C7D6E5"/>
              <w:left w:val="nil" w:sz="6" w:color="C7D6E5"/>
              <w:right w:val="nil" w:sz="6" w:color="C7D6E5"/>
            </w:tcBorders>
          </w:tcPr>
          <w:p>
            <w:pPr>
              <w:spacing w:after="40" w:before="40" w:line="252" w:lineRule="auto"/>
            </w:pPr>
            <w:r>
              <w:rPr>
                <w:sz w:val="19"/>
              </w:rPr>
              <w:t>8</w:t>
            </w:r>
          </w:p>
        </w:tc>
        <w:tc>
          <w:tcPr>
            <w:tcW w:type="dxa" w:w="3009"/>
            <w:tcBorders>
              <w:top w:val="nil" w:sz="6" w:color="C7D6E5"/>
              <w:bottom w:val="single" w:sz="6" w:color="C7D6E5"/>
              <w:left w:val="nil" w:sz="6" w:color="C7D6E5"/>
              <w:right w:val="nil" w:sz="6" w:color="C7D6E5"/>
            </w:tcBorders>
          </w:tcPr>
          <w:p>
            <w:pPr>
              <w:spacing w:after="40" w:before="40" w:line="252" w:lineRule="auto"/>
            </w:pPr>
            <w:r>
              <w:rPr>
                <w:sz w:val="19"/>
              </w:rPr>
              <w:t>Clean Material 3 interface with light and dark mode</w:t>
            </w:r>
          </w:p>
        </w:tc>
        <w:tc>
          <w:tcPr>
            <w:tcW w:type="dxa" w:w="4453"/>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8"/>
              </w:rPr>
              <w:t>ui/theme/Color.kt</w:t>
            </w:r>
            <w:r>
              <w:rPr>
                <w:sz w:val="19"/>
              </w:rPr>
              <w:t xml:space="preserve">, </w:t>
            </w:r>
            <w:r>
              <w:rPr>
                <w:rFonts w:ascii="Consolas" w:hAnsi="Consolas"/>
                <w:sz w:val="18"/>
              </w:rPr>
              <w:t>Theme.kt</w:t>
            </w:r>
            <w:r>
              <w:rPr>
                <w:sz w:val="19"/>
              </w:rPr>
              <w:t xml:space="preserve"> · </w:t>
            </w:r>
            <w:r>
              <w:rPr>
                <w:rFonts w:ascii="Consolas" w:hAnsi="Consolas"/>
                <w:sz w:val="18"/>
              </w:rPr>
              <w:t>SettingsScreen</w:t>
            </w:r>
            <w:r>
              <w:rPr>
                <w:sz w:val="19"/>
              </w:rPr>
              <w:t xml:space="preserve"> theme selector</w:t>
            </w:r>
          </w:p>
        </w:tc>
        <w:tc>
          <w:tcPr>
            <w:tcW w:type="dxa" w:w="1023"/>
            <w:tcBorders>
              <w:top w:val="nil" w:sz="6" w:color="C7D6E5"/>
              <w:bottom w:val="single" w:sz="6" w:color="C7D6E5"/>
              <w:left w:val="nil" w:sz="6" w:color="C7D6E5"/>
              <w:right w:val="nil" w:sz="6" w:color="C7D6E5"/>
            </w:tcBorders>
          </w:tcPr>
          <w:p>
            <w:pPr>
              <w:spacing w:after="40" w:before="40" w:line="252" w:lineRule="auto"/>
            </w:pPr>
            <w:r>
              <w:rPr>
                <w:sz w:val="19"/>
              </w:rPr>
              <w:t>Met</w:t>
            </w:r>
          </w:p>
        </w:tc>
      </w:tr>
      <w:tr>
        <w:tc>
          <w:tcPr>
            <w:tcW w:type="dxa" w:w="542"/>
            <w:tcBorders>
              <w:top w:val="nil" w:sz="6" w:color="C7D6E5"/>
              <w:bottom w:val="single" w:sz="6" w:color="C7D6E5"/>
              <w:left w:val="nil" w:sz="6" w:color="C7D6E5"/>
              <w:right w:val="nil" w:sz="6" w:color="C7D6E5"/>
            </w:tcBorders>
          </w:tcPr>
          <w:p>
            <w:pPr>
              <w:spacing w:after="40" w:before="40" w:line="252" w:lineRule="auto"/>
            </w:pPr>
            <w:r>
              <w:rPr>
                <w:sz w:val="19"/>
              </w:rPr>
              <w:t>9</w:t>
            </w:r>
          </w:p>
        </w:tc>
        <w:tc>
          <w:tcPr>
            <w:tcW w:type="dxa" w:w="3009"/>
            <w:tcBorders>
              <w:top w:val="nil" w:sz="6" w:color="C7D6E5"/>
              <w:bottom w:val="single" w:sz="6" w:color="C7D6E5"/>
              <w:left w:val="nil" w:sz="6" w:color="C7D6E5"/>
              <w:right w:val="nil" w:sz="6" w:color="C7D6E5"/>
            </w:tcBorders>
          </w:tcPr>
          <w:p>
            <w:pPr>
              <w:spacing w:after="40" w:before="40" w:line="252" w:lineRule="auto"/>
            </w:pPr>
            <w:r>
              <w:rPr>
                <w:sz w:val="19"/>
              </w:rPr>
              <w:t>Mandatory academic disclaimer</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9"/>
              </w:rPr>
              <w:t xml:space="preserve">First-launch gate in </w:t>
            </w:r>
            <w:r>
              <w:rPr>
                <w:rFonts w:ascii="Consolas" w:hAnsi="Consolas"/>
                <w:sz w:val="18"/>
              </w:rPr>
              <w:t>MainActivity</w:t>
            </w:r>
            <w:r>
              <w:rPr>
                <w:sz w:val="19"/>
              </w:rPr>
              <w:t xml:space="preserve"> · </w:t>
            </w:r>
            <w:r>
              <w:rPr>
                <w:rFonts w:ascii="Consolas" w:hAnsi="Consolas"/>
                <w:sz w:val="18"/>
              </w:rPr>
              <w:t>FictionalDataBanner</w:t>
            </w:r>
            <w:r>
              <w:rPr>
                <w:sz w:val="19"/>
              </w:rPr>
              <w:t xml:space="preserve"> on input screens · </w:t>
            </w:r>
            <w:r>
              <w:rPr>
                <w:rFonts w:ascii="Consolas" w:hAnsi="Consolas"/>
                <w:sz w:val="18"/>
              </w:rPr>
              <w:t>DisclaimerScreen</w:t>
            </w:r>
          </w:p>
        </w:tc>
        <w:tc>
          <w:tcPr>
            <w:tcW w:type="dxa" w:w="1023"/>
            <w:tcBorders>
              <w:top w:val="nil" w:sz="6" w:color="C7D6E5"/>
              <w:bottom w:val="single" w:sz="6" w:color="C7D6E5"/>
              <w:left w:val="nil" w:sz="6" w:color="C7D6E5"/>
              <w:right w:val="nil" w:sz="6" w:color="C7D6E5"/>
            </w:tcBorders>
          </w:tcPr>
          <w:p>
            <w:pPr>
              <w:spacing w:after="40" w:before="40" w:line="252" w:lineRule="auto"/>
            </w:pPr>
            <w:r>
              <w:rPr>
                <w:sz w:val="19"/>
              </w:rPr>
              <w:t>Met</w:t>
            </w:r>
          </w:p>
        </w:tc>
      </w:tr>
    </w:tbl>
    <w:p>
      <w:pPr>
        <w:spacing w:before="80" w:after="280"/>
      </w:pPr>
      <w:r>
        <w:rPr>
          <w:i/>
          <w:sz w:val="18"/>
        </w:rPr>
        <w:t xml:space="preserve">Note. </w:t>
      </w:r>
      <w:r>
        <w:rPr>
          <w:color w:val="5A6B7F"/>
          <w:sz w:val="18"/>
        </w:rPr>
        <w:t>Requirement numbering follows Section 2 of PROJECT_RULES.md and Sections 2–9 of the case study description. Optional enhancements are addressed separately in Section 21.</w:t>
      </w:r>
    </w:p>
    <w:p>
      <w:pPr>
        <w:pStyle w:val="Heading2"/>
      </w:pPr>
      <w:r>
        <w:t>4.2 Functional Requirements</w:t>
      </w:r>
    </w:p>
    <w:p>
      <w:pPr>
        <w:spacing w:before="240" w:after="0"/>
        <w:keepNext w:val="true"/>
      </w:pPr>
      <w:r>
        <w:rPr>
          <w:b/>
          <w:sz w:val="21"/>
        </w:rPr>
        <w:t>Table 2</w:t>
      </w:r>
    </w:p>
    <w:p>
      <w:pPr>
        <w:spacing w:after="100"/>
        <w:keepNext w:val="true"/>
      </w:pPr>
      <w:r>
        <w:rPr>
          <w:i/>
          <w:sz w:val="21"/>
        </w:rPr>
        <w:t>Functional requirements as implemented</w:t>
      </w:r>
    </w:p>
    <w:tbl>
      <w:tblPr>
        <w:tblStyle w:val="TableGrid"/>
        <w:tblW w:type="auto" w:w="0"/>
        <w:jc w:val="center"/>
        <w:tblLayout w:type="fixed"/>
        <w:tblLook w:firstColumn="1" w:firstRow="1" w:lastColumn="0" w:lastRow="0" w:noHBand="0" w:noVBand="1" w:val="04A0"/>
        <w:tblLayout w:type="fixed"/>
      </w:tblPr>
      <w:tblGrid>
        <w:gridCol w:w="3009"/>
        <w:gridCol w:w="3009"/>
        <w:gridCol w:w="3009"/>
      </w:tblGrid>
      <w:tr>
        <w:trPr>
          <w:tblHeader w:val="true"/>
        </w:trPr>
        <w:tc>
          <w:tcPr>
            <w:tcW w:type="dxa" w:w="903"/>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ID</w:t>
            </w:r>
          </w:p>
        </w:tc>
        <w:tc>
          <w:tcPr>
            <w:tcW w:type="dxa" w:w="4453"/>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Requirement</w:t>
            </w:r>
          </w:p>
        </w:tc>
        <w:tc>
          <w:tcPr>
            <w:tcW w:type="dxa" w:w="3670"/>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Realised by</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FR-01</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allow a user to register an account with an email address and password.</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SignUpScreen</w:t>
            </w:r>
            <w:r>
              <w:rPr>
                <w:sz w:val="18"/>
              </w:rPr>
              <w:t xml:space="preserve"> → </w:t>
            </w:r>
            <w:r>
              <w:rPr>
                <w:rFonts w:ascii="Consolas" w:hAnsi="Consolas"/>
                <w:sz w:val="17"/>
              </w:rPr>
              <w:t>AuthViewModel.signUp()</w:t>
            </w:r>
            <w:r>
              <w:rPr>
                <w:sz w:val="18"/>
              </w:rPr>
              <w:t xml:space="preserve"> → Clerk </w:t>
            </w:r>
            <w:r>
              <w:rPr>
                <w:rFonts w:ascii="Consolas" w:hAnsi="Consolas"/>
                <w:sz w:val="17"/>
              </w:rPr>
              <w:t>/v1/client/sign_ups</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FR-02</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allow a registered user to sign in and shall restore the session on subsequent launches.</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LoginScreen</w:t>
            </w:r>
            <w:r>
              <w:rPr>
                <w:sz w:val="18"/>
              </w:rPr>
              <w:t xml:space="preserve"> · </w:t>
            </w:r>
            <w:r>
              <w:rPr>
                <w:rFonts w:ascii="Consolas" w:hAnsi="Consolas"/>
                <w:sz w:val="17"/>
              </w:rPr>
              <w:t>AuthRepository.savedSession()</w:t>
            </w:r>
            <w:r>
              <w:rPr>
                <w:sz w:val="18"/>
              </w:rPr>
              <w:t xml:space="preserve"> backed by private SharedPreferences</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FR-03</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capture patient demographics: case label, weight, height, age, sex and serum creatinine.</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NewCaseScreen</w:t>
            </w:r>
            <w:r>
              <w:rPr>
                <w:sz w:val="18"/>
              </w:rPr>
              <w:t xml:space="preserve"> → </w:t>
            </w:r>
            <w:r>
              <w:rPr>
                <w:rFonts w:ascii="Consolas" w:hAnsi="Consolas"/>
                <w:sz w:val="17"/>
              </w:rPr>
              <w:t>PatientInput</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FR-04</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display Cockcroft–Gault creatinine clearance as the demographics are entered.</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NewCaseScreen</w:t>
            </w:r>
            <w:r>
              <w:rPr>
                <w:sz w:val="18"/>
              </w:rPr>
              <w:t xml:space="preserve"> — recomputed in a </w:t>
            </w:r>
            <w:r>
              <w:rPr>
                <w:rFonts w:ascii="Consolas" w:hAnsi="Consolas"/>
                <w:sz w:val="17"/>
              </w:rPr>
              <w:t>remember</w:t>
            </w:r>
            <w:r>
              <w:rPr>
                <w:sz w:val="18"/>
              </w:rPr>
              <w:t xml:space="preserve"> block keyed on </w:t>
            </w:r>
            <w:r>
              <w:rPr>
                <w:rFonts w:ascii="Consolas" w:hAnsi="Consolas"/>
                <w:sz w:val="17"/>
              </w:rPr>
              <w:t>s.patient</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FR-05</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let the user select the medication to be monitored.</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MedicationSelectScreen</w:t>
            </w:r>
            <w:r>
              <w:rPr>
                <w:sz w:val="18"/>
              </w:rPr>
              <w:t xml:space="preserve"> — vancomycin enabled; gentamicin and amikacin disabled</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FR-06</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let the user select one of three sampling workflows.</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WorkflowSelectScreen</w:t>
            </w:r>
            <w:r>
              <w:rPr>
                <w:sz w:val="18"/>
              </w:rPr>
              <w:t xml:space="preserve"> → </w:t>
            </w:r>
            <w:r>
              <w:rPr>
                <w:rFonts w:ascii="Consolas" w:hAnsi="Consolas"/>
                <w:sz w:val="17"/>
              </w:rPr>
              <w:t>CaseViewModel.selectWorkflow()</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FR-07</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render only the input fields required by the selected workflow.</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InputFormScreen</w:t>
            </w:r>
            <w:r>
              <w:rPr>
                <w:sz w:val="18"/>
              </w:rPr>
              <w:t xml:space="preserve"> — conditional </w:t>
            </w:r>
            <w:r>
              <w:rPr>
                <w:rFonts w:ascii="Consolas" w:hAnsi="Consolas"/>
                <w:sz w:val="17"/>
              </w:rPr>
              <w:t>FormGroup</w:t>
            </w:r>
            <w:r>
              <w:rPr>
                <w:sz w:val="18"/>
              </w:rPr>
              <w:t xml:space="preserve"> blocks</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FR-08</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validate every field on change and report blocking errors separately from advisory warnings.</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LaunchedEffect</w:t>
            </w:r>
            <w:r>
              <w:rPr>
                <w:sz w:val="18"/>
              </w:rPr>
              <w:t xml:space="preserve"> → </w:t>
            </w:r>
            <w:r>
              <w:rPr>
                <w:rFonts w:ascii="Consolas" w:hAnsi="Consolas"/>
                <w:sz w:val="17"/>
              </w:rPr>
              <w:t>CaseViewModel.validate()</w:t>
            </w:r>
            <w:r>
              <w:rPr>
                <w:sz w:val="18"/>
              </w:rPr>
              <w:t xml:space="preserve"> → </w:t>
            </w:r>
            <w:r>
              <w:rPr>
                <w:rFonts w:ascii="Consolas" w:hAnsi="Consolas"/>
                <w:sz w:val="17"/>
              </w:rPr>
              <w:t>ErrorBanner</w:t>
            </w:r>
            <w:r>
              <w:rPr>
                <w:sz w:val="18"/>
              </w:rPr>
              <w:t xml:space="preserve"> / </w:t>
            </w:r>
            <w:r>
              <w:rPr>
                <w:rFonts w:ascii="Consolas" w:hAnsi="Consolas"/>
                <w:sz w:val="17"/>
              </w:rPr>
              <w:t>WarningBanner</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FR-09</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prevent the calculation from running while blocking errors remain.</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PrimaryPillButton(enabled = s.validationReport.isValid)</w:t>
            </w:r>
            <w:r>
              <w:rPr>
                <w:sz w:val="18"/>
              </w:rPr>
              <w:t xml:space="preserve"> and an early return in </w:t>
            </w:r>
            <w:r>
              <w:rPr>
                <w:rFonts w:ascii="Consolas" w:hAnsi="Consolas"/>
                <w:sz w:val="17"/>
              </w:rPr>
              <w:t>runCalculation()</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FR-10</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present a read-only review of all inputs before the calculation runs.</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ReviewScreen</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FR-11</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compute ke, t½, Vd, Vd/kg, CL, AUC₂₄, recommended dose, Cmin and Cmax as applicable to the workflow.</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VancoEngine</w:t>
            </w:r>
            <w:r>
              <w:rPr>
                <w:sz w:val="18"/>
              </w:rPr>
              <w:t xml:space="preserve"> → </w:t>
            </w:r>
            <w:r>
              <w:rPr>
                <w:rFonts w:ascii="Consolas" w:hAnsi="Consolas"/>
                <w:sz w:val="17"/>
              </w:rPr>
              <w:t>PkResults</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FR-12</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classify AUC₂₄ against the 400–600 mg·h/L target and recommend a dose centred on 500 mg·h/L.</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ResultBody</w:t>
            </w:r>
            <w:r>
              <w:rPr>
                <w:sz w:val="18"/>
              </w:rPr>
              <w:t xml:space="preserve"> verdict chip · </w:t>
            </w:r>
            <w:r>
              <w:rPr>
                <w:rFonts w:ascii="Consolas" w:hAnsi="Consolas"/>
                <w:sz w:val="17"/>
              </w:rPr>
              <w:t>VancoEngine.recommendedDose()</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FR-13</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report a specific, human-readable message when a calculation cannot be completed.</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CalculationResult.Failure</w:t>
            </w:r>
            <w:r>
              <w:rPr>
                <w:sz w:val="18"/>
              </w:rPr>
              <w:t xml:space="preserve"> → </w:t>
            </w:r>
            <w:r>
              <w:rPr>
                <w:rFonts w:ascii="Consolas" w:hAnsi="Consolas"/>
                <w:sz w:val="17"/>
              </w:rPr>
              <w:t>ErrorScreen</w:t>
            </w:r>
            <w:r>
              <w:rPr>
                <w:sz w:val="18"/>
              </w:rPr>
              <w:t xml:space="preserve"> with plain-language and technical lines</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FR-14</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present a step-by-step explanation of how the result was obtained.</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ExplanationScreen</w:t>
            </w:r>
            <w:r>
              <w:rPr>
                <w:sz w:val="18"/>
              </w:rPr>
              <w:t xml:space="preserve"> — four phases with formulas and substituted values</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FR-15</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persist each successful calculation against the signed-in user.</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SupabaseRepository.saveCase()</w:t>
            </w:r>
            <w:r>
              <w:rPr>
                <w:sz w:val="18"/>
              </w:rPr>
              <w:t xml:space="preserve"> → </w:t>
            </w:r>
            <w:r>
              <w:rPr>
                <w:rFonts w:ascii="Consolas" w:hAnsi="Consolas"/>
                <w:sz w:val="17"/>
              </w:rPr>
              <w:t>INSERT INTO cases</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FR-16</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list the user's twenty most recent saved cases.</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SupabaseRepository.loadRecentCases(20)</w:t>
            </w:r>
            <w:r>
              <w:rPr>
                <w:sz w:val="18"/>
              </w:rPr>
              <w:t xml:space="preserve"> → </w:t>
            </w:r>
            <w:r>
              <w:rPr>
                <w:rFonts w:ascii="Consolas" w:hAnsi="Consolas"/>
                <w:sz w:val="17"/>
              </w:rPr>
              <w:t>HistoryScreen</w:t>
            </w:r>
            <w:r>
              <w:rPr>
                <w:sz w:val="18"/>
              </w:rPr>
              <w:t xml:space="preserve">, </w:t>
            </w:r>
            <w:r>
              <w:rPr>
                <w:rFonts w:ascii="Consolas" w:hAnsi="Consolas"/>
                <w:sz w:val="17"/>
              </w:rPr>
              <w:t>HomeScreen</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FR-17</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let the user choose a light, dark or system-matched theme.</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SettingsScreen</w:t>
            </w:r>
            <w:r>
              <w:rPr>
                <w:sz w:val="18"/>
              </w:rPr>
              <w:t xml:space="preserve"> → </w:t>
            </w:r>
            <w:r>
              <w:rPr>
                <w:rFonts w:ascii="Consolas" w:hAnsi="Consolas"/>
                <w:sz w:val="17"/>
              </w:rPr>
              <w:t>UserPrefs.theme</w:t>
            </w:r>
            <w:r>
              <w:rPr>
                <w:sz w:val="18"/>
              </w:rPr>
              <w:t xml:space="preserve"> → </w:t>
            </w:r>
            <w:r>
              <w:rPr>
                <w:rFonts w:ascii="Consolas" w:hAnsi="Consolas"/>
                <w:sz w:val="17"/>
              </w:rPr>
              <w:t>TDMInsightTheme</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FR-18</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display the academic-prototype disclaimer on first launch and in the About screen.</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FirstLaunchDisclaimer</w:t>
            </w:r>
            <w:r>
              <w:rPr>
                <w:sz w:val="18"/>
              </w:rPr>
              <w:t xml:space="preserve"> in </w:t>
            </w:r>
            <w:r>
              <w:rPr>
                <w:rFonts w:ascii="Consolas" w:hAnsi="Consolas"/>
                <w:sz w:val="17"/>
              </w:rPr>
              <w:t>MainActivity</w:t>
            </w:r>
            <w:r>
              <w:rPr>
                <w:sz w:val="18"/>
              </w:rPr>
              <w:t xml:space="preserve"> · </w:t>
            </w:r>
            <w:r>
              <w:rPr>
                <w:rFonts w:ascii="Consolas" w:hAnsi="Consolas"/>
                <w:sz w:val="17"/>
              </w:rPr>
              <w:t>DisclaimerScreen</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FR-19</w:t>
            </w:r>
          </w:p>
        </w:tc>
        <w:tc>
          <w:tcPr>
            <w:tcW w:type="dxa" w:w="4453"/>
            <w:tcBorders>
              <w:top w:val="nil" w:sz="6" w:color="C7D6E5"/>
              <w:bottom w:val="single" w:sz="6" w:color="C7D6E5"/>
              <w:left w:val="nil" w:sz="6" w:color="C7D6E5"/>
              <w:right w:val="nil" w:sz="6" w:color="C7D6E5"/>
            </w:tcBorders>
          </w:tcPr>
          <w:p>
            <w:pPr>
              <w:spacing w:after="40" w:before="40" w:line="252" w:lineRule="auto"/>
            </w:pPr>
            <w:r>
              <w:rPr>
                <w:sz w:val="18"/>
              </w:rPr>
              <w:t>The system shall allow the user to sign out and clear the stored session.</w:t>
            </w:r>
          </w:p>
        </w:tc>
        <w:tc>
          <w:tcPr>
            <w:tcW w:type="dxa" w:w="367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SettingsScreen</w:t>
            </w:r>
            <w:r>
              <w:rPr>
                <w:sz w:val="18"/>
              </w:rPr>
              <w:t xml:space="preserve"> → </w:t>
            </w:r>
            <w:r>
              <w:rPr>
                <w:rFonts w:ascii="Consolas" w:hAnsi="Consolas"/>
                <w:sz w:val="17"/>
              </w:rPr>
              <w:t>AuthViewModel.signOut()</w:t>
            </w:r>
            <w:r>
              <w:rPr>
                <w:sz w:val="18"/>
              </w:rPr>
              <w:t xml:space="preserve"> → </w:t>
            </w:r>
            <w:r>
              <w:rPr>
                <w:rFonts w:ascii="Consolas" w:hAnsi="Consolas"/>
                <w:sz w:val="17"/>
              </w:rPr>
              <w:t>prefs.edit { clear() }</w:t>
            </w:r>
          </w:p>
        </w:tc>
      </w:tr>
    </w:tbl>
    <w:p>
      <w:pPr>
        <w:spacing w:after="120"/>
      </w:pPr>
    </w:p>
    <w:p>
      <w:pPr>
        <w:pStyle w:val="Heading2"/>
      </w:pPr>
      <w:r>
        <w:t>4.3 Non-Functional Requirements</w:t>
      </w:r>
    </w:p>
    <w:p>
      <w:pPr>
        <w:spacing w:before="240" w:after="0"/>
        <w:keepNext w:val="true"/>
      </w:pPr>
      <w:r>
        <w:rPr>
          <w:b/>
          <w:sz w:val="21"/>
        </w:rPr>
        <w:t>Table 3</w:t>
      </w:r>
    </w:p>
    <w:p>
      <w:pPr>
        <w:spacing w:after="100"/>
        <w:keepNext w:val="true"/>
      </w:pPr>
      <w:r>
        <w:rPr>
          <w:i/>
          <w:sz w:val="21"/>
        </w:rPr>
        <w:t>Non-functional requirements and the evidence for each</w:t>
      </w:r>
    </w:p>
    <w:tbl>
      <w:tblPr>
        <w:tblStyle w:val="TableGrid"/>
        <w:tblW w:type="auto" w:w="0"/>
        <w:jc w:val="center"/>
        <w:tblLayout w:type="fixed"/>
        <w:tblLook w:firstColumn="1" w:firstRow="1" w:lastColumn="0" w:lastRow="0" w:noHBand="0" w:noVBand="1" w:val="04A0"/>
        <w:tblLayout w:type="fixed"/>
      </w:tblPr>
      <w:tblGrid>
        <w:gridCol w:w="3009"/>
        <w:gridCol w:w="3009"/>
        <w:gridCol w:w="3009"/>
      </w:tblGrid>
      <w:tr>
        <w:trPr>
          <w:tblHeader w:val="true"/>
        </w:trPr>
        <w:tc>
          <w:tcPr>
            <w:tcW w:type="dxa" w:w="903"/>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ID</w:t>
            </w:r>
          </w:p>
        </w:tc>
        <w:tc>
          <w:tcPr>
            <w:tcW w:type="dxa" w:w="3731"/>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Requirement</w:t>
            </w:r>
          </w:p>
        </w:tc>
        <w:tc>
          <w:tcPr>
            <w:tcW w:type="dxa" w:w="4392"/>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Evidence in the repository</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NFR-01</w:t>
            </w:r>
          </w:p>
        </w:tc>
        <w:tc>
          <w:tcPr>
            <w:tcW w:type="dxa" w:w="3731"/>
            <w:tcBorders>
              <w:top w:val="nil" w:sz="6" w:color="C7D6E5"/>
              <w:bottom w:val="single" w:sz="6" w:color="C7D6E5"/>
              <w:left w:val="nil" w:sz="6" w:color="C7D6E5"/>
              <w:right w:val="nil" w:sz="6" w:color="C7D6E5"/>
            </w:tcBorders>
          </w:tcPr>
          <w:p>
            <w:pPr>
              <w:spacing w:after="40" w:before="40" w:line="252" w:lineRule="auto"/>
            </w:pPr>
            <w:r>
              <w:rPr>
                <w:sz w:val="18"/>
              </w:rPr>
              <w:t>The calculation engine shall contain no Android framework dependency.</w:t>
            </w:r>
          </w:p>
        </w:tc>
        <w:tc>
          <w:tcPr>
            <w:tcW w:type="dxa" w:w="4392"/>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VancoEngine.kt</w:t>
            </w:r>
            <w:r>
              <w:rPr>
                <w:sz w:val="18"/>
              </w:rPr>
              <w:t xml:space="preserve"> imports only </w:t>
            </w:r>
            <w:r>
              <w:rPr>
                <w:rFonts w:ascii="Consolas" w:hAnsi="Consolas"/>
                <w:sz w:val="17"/>
              </w:rPr>
              <w:t>kotlin.math</w:t>
            </w:r>
            <w:r>
              <w:rPr>
                <w:sz w:val="18"/>
              </w:rPr>
              <w:t xml:space="preserve"> and the project's own model and validation packages.</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NFR-02</w:t>
            </w:r>
          </w:p>
        </w:tc>
        <w:tc>
          <w:tcPr>
            <w:tcW w:type="dxa" w:w="3731"/>
            <w:tcBorders>
              <w:top w:val="nil" w:sz="6" w:color="C7D6E5"/>
              <w:bottom w:val="single" w:sz="6" w:color="C7D6E5"/>
              <w:left w:val="nil" w:sz="6" w:color="C7D6E5"/>
              <w:right w:val="nil" w:sz="6" w:color="C7D6E5"/>
            </w:tcBorders>
          </w:tcPr>
          <w:p>
            <w:pPr>
              <w:spacing w:after="40" w:before="40" w:line="252" w:lineRule="auto"/>
            </w:pPr>
            <w:r>
              <w:rPr>
                <w:sz w:val="18"/>
              </w:rPr>
              <w:t>No business rule shall live inside a Composable.</w:t>
            </w:r>
          </w:p>
        </w:tc>
        <w:tc>
          <w:tcPr>
            <w:tcW w:type="dxa" w:w="4392"/>
            <w:tcBorders>
              <w:top w:val="nil" w:sz="6" w:color="C7D6E5"/>
              <w:bottom w:val="single" w:sz="6" w:color="C7D6E5"/>
              <w:left w:val="nil" w:sz="6" w:color="C7D6E5"/>
              <w:right w:val="nil" w:sz="6" w:color="C7D6E5"/>
            </w:tcBorders>
          </w:tcPr>
          <w:p>
            <w:pPr>
              <w:spacing w:after="40" w:before="40" w:line="252" w:lineRule="auto"/>
            </w:pPr>
            <w:r>
              <w:rPr>
                <w:sz w:val="18"/>
              </w:rPr>
              <w:t xml:space="preserve">All arithmetic sits in </w:t>
            </w:r>
            <w:r>
              <w:rPr>
                <w:rFonts w:ascii="Consolas" w:hAnsi="Consolas"/>
                <w:sz w:val="17"/>
              </w:rPr>
              <w:t>VancoEngine</w:t>
            </w:r>
            <w:r>
              <w:rPr>
                <w:sz w:val="18"/>
              </w:rPr>
              <w:t xml:space="preserve">; all rules sit in </w:t>
            </w:r>
            <w:r>
              <w:rPr>
                <w:rFonts w:ascii="Consolas" w:hAnsi="Consolas"/>
                <w:sz w:val="17"/>
              </w:rPr>
              <w:t>InputValidator</w:t>
            </w:r>
            <w:r>
              <w:rPr>
                <w:sz w:val="18"/>
              </w:rPr>
              <w:t>. Composables call the ViewModel only.</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NFR-03</w:t>
            </w:r>
          </w:p>
        </w:tc>
        <w:tc>
          <w:tcPr>
            <w:tcW w:type="dxa" w:w="3731"/>
            <w:tcBorders>
              <w:top w:val="nil" w:sz="6" w:color="C7D6E5"/>
              <w:bottom w:val="single" w:sz="6" w:color="C7D6E5"/>
              <w:left w:val="nil" w:sz="6" w:color="C7D6E5"/>
              <w:right w:val="nil" w:sz="6" w:color="C7D6E5"/>
            </w:tcBorders>
          </w:tcPr>
          <w:p>
            <w:pPr>
              <w:spacing w:after="40" w:before="40" w:line="252" w:lineRule="auto"/>
            </w:pPr>
            <w:r>
              <w:rPr>
                <w:sz w:val="18"/>
              </w:rPr>
              <w:t>Credentials shall never be committed to version control.</w:t>
            </w:r>
          </w:p>
        </w:tc>
        <w:tc>
          <w:tcPr>
            <w:tcW w:type="dxa" w:w="4392"/>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local.properties</w:t>
            </w:r>
            <w:r>
              <w:rPr>
                <w:sz w:val="18"/>
              </w:rPr>
              <w:t xml:space="preserve"> is git-ignored; </w:t>
            </w:r>
            <w:r>
              <w:rPr>
                <w:rFonts w:ascii="Consolas" w:hAnsi="Consolas"/>
                <w:sz w:val="17"/>
              </w:rPr>
              <w:t>secrets.defaults.properties</w:t>
            </w:r>
            <w:r>
              <w:rPr>
                <w:sz w:val="18"/>
              </w:rPr>
              <w:t xml:space="preserve"> is the committed template; values reach the app through </w:t>
            </w:r>
            <w:r>
              <w:rPr>
                <w:rFonts w:ascii="Consolas" w:hAnsi="Consolas"/>
                <w:sz w:val="17"/>
              </w:rPr>
              <w:t>BuildConfig</w:t>
            </w:r>
            <w:r>
              <w:rPr>
                <w:sz w:val="18"/>
              </w:rPr>
              <w:t>.</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NFR-04</w:t>
            </w:r>
          </w:p>
        </w:tc>
        <w:tc>
          <w:tcPr>
            <w:tcW w:type="dxa" w:w="3731"/>
            <w:tcBorders>
              <w:top w:val="nil" w:sz="6" w:color="C7D6E5"/>
              <w:bottom w:val="single" w:sz="6" w:color="C7D6E5"/>
              <w:left w:val="nil" w:sz="6" w:color="C7D6E5"/>
              <w:right w:val="nil" w:sz="6" w:color="C7D6E5"/>
            </w:tcBorders>
          </w:tcPr>
          <w:p>
            <w:pPr>
              <w:spacing w:after="40" w:before="40" w:line="252" w:lineRule="auto"/>
            </w:pPr>
            <w:r>
              <w:rPr>
                <w:sz w:val="18"/>
              </w:rPr>
              <w:t>The interface shall support both light and dark Material 3 colour schemes.</w:t>
            </w:r>
          </w:p>
        </w:tc>
        <w:tc>
          <w:tcPr>
            <w:tcW w:type="dxa" w:w="4392"/>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lightColorScheme</w:t>
            </w:r>
            <w:r>
              <w:rPr>
                <w:sz w:val="18"/>
              </w:rPr>
              <w:t xml:space="preserve"> and </w:t>
            </w:r>
            <w:r>
              <w:rPr>
                <w:rFonts w:ascii="Consolas" w:hAnsi="Consolas"/>
                <w:sz w:val="17"/>
              </w:rPr>
              <w:t>darkColorScheme</w:t>
            </w:r>
            <w:r>
              <w:rPr>
                <w:sz w:val="18"/>
              </w:rPr>
              <w:t xml:space="preserve"> are defined explicitly in </w:t>
            </w:r>
            <w:r>
              <w:rPr>
                <w:rFonts w:ascii="Consolas" w:hAnsi="Consolas"/>
                <w:sz w:val="17"/>
              </w:rPr>
              <w:t>Theme.kt</w:t>
            </w:r>
            <w:r>
              <w:rPr>
                <w:sz w:val="18"/>
              </w:rPr>
              <w:t xml:space="preserve"> from named tokens in </w:t>
            </w:r>
            <w:r>
              <w:rPr>
                <w:rFonts w:ascii="Consolas" w:hAnsi="Consolas"/>
                <w:sz w:val="17"/>
              </w:rPr>
              <w:t>Color.kt</w:t>
            </w:r>
            <w:r>
              <w:rPr>
                <w:sz w:val="18"/>
              </w:rPr>
              <w:t>.</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NFR-05</w:t>
            </w:r>
          </w:p>
        </w:tc>
        <w:tc>
          <w:tcPr>
            <w:tcW w:type="dxa" w:w="3731"/>
            <w:tcBorders>
              <w:top w:val="nil" w:sz="6" w:color="C7D6E5"/>
              <w:bottom w:val="single" w:sz="6" w:color="C7D6E5"/>
              <w:left w:val="nil" w:sz="6" w:color="C7D6E5"/>
              <w:right w:val="nil" w:sz="6" w:color="C7D6E5"/>
            </w:tcBorders>
          </w:tcPr>
          <w:p>
            <w:pPr>
              <w:spacing w:after="40" w:before="40" w:line="252" w:lineRule="auto"/>
            </w:pPr>
            <w:r>
              <w:rPr>
                <w:sz w:val="18"/>
              </w:rPr>
              <w:t>A missing or unreachable backend shall not prevent a calculation.</w:t>
            </w:r>
          </w:p>
        </w:tc>
        <w:tc>
          <w:tcPr>
            <w:tcW w:type="dxa" w:w="4392"/>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SupabaseRepository</w:t>
            </w:r>
            <w:r>
              <w:rPr>
                <w:sz w:val="18"/>
              </w:rPr>
              <w:t xml:space="preserve"> catches every exception and logs it; </w:t>
            </w:r>
            <w:r>
              <w:rPr>
                <w:rFonts w:ascii="Consolas" w:hAnsi="Consolas"/>
                <w:sz w:val="17"/>
              </w:rPr>
              <w:t>saveCase()</w:t>
            </w:r>
            <w:r>
              <w:rPr>
                <w:sz w:val="18"/>
              </w:rPr>
              <w:t xml:space="preserve"> runs in a detached coroutine.</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NFR-06</w:t>
            </w:r>
          </w:p>
        </w:tc>
        <w:tc>
          <w:tcPr>
            <w:tcW w:type="dxa" w:w="3731"/>
            <w:tcBorders>
              <w:top w:val="nil" w:sz="6" w:color="C7D6E5"/>
              <w:bottom w:val="single" w:sz="6" w:color="C7D6E5"/>
              <w:left w:val="nil" w:sz="6" w:color="C7D6E5"/>
              <w:right w:val="nil" w:sz="6" w:color="C7D6E5"/>
            </w:tcBorders>
          </w:tcPr>
          <w:p>
            <w:pPr>
              <w:spacing w:after="40" w:before="40" w:line="252" w:lineRule="auto"/>
            </w:pPr>
            <w:r>
              <w:rPr>
                <w:sz w:val="18"/>
              </w:rPr>
              <w:t>The calculation shall not block the user interface thread.</w:t>
            </w:r>
          </w:p>
        </w:tc>
        <w:tc>
          <w:tcPr>
            <w:tcW w:type="dxa" w:w="4392"/>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runCalculation()</w:t>
            </w:r>
            <w:r>
              <w:rPr>
                <w:sz w:val="18"/>
              </w:rPr>
              <w:t xml:space="preserve"> runs inside </w:t>
            </w:r>
            <w:r>
              <w:rPr>
                <w:rFonts w:ascii="Consolas" w:hAnsi="Consolas"/>
                <w:sz w:val="17"/>
              </w:rPr>
              <w:t>viewModelScope.launch</w:t>
            </w:r>
            <w:r>
              <w:rPr>
                <w:sz w:val="18"/>
              </w:rPr>
              <w:t xml:space="preserve">; the result is delivered through </w:t>
            </w:r>
            <w:r>
              <w:rPr>
                <w:rFonts w:ascii="Consolas" w:hAnsi="Consolas"/>
                <w:sz w:val="17"/>
              </w:rPr>
              <w:t>StateFlow</w:t>
            </w:r>
            <w:r>
              <w:rPr>
                <w:sz w:val="18"/>
              </w:rPr>
              <w:t>.</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NFR-07</w:t>
            </w:r>
          </w:p>
        </w:tc>
        <w:tc>
          <w:tcPr>
            <w:tcW w:type="dxa" w:w="3731"/>
            <w:tcBorders>
              <w:top w:val="nil" w:sz="6" w:color="C7D6E5"/>
              <w:bottom w:val="single" w:sz="6" w:color="C7D6E5"/>
              <w:left w:val="nil" w:sz="6" w:color="C7D6E5"/>
              <w:right w:val="nil" w:sz="6" w:color="C7D6E5"/>
            </w:tcBorders>
          </w:tcPr>
          <w:p>
            <w:pPr>
              <w:spacing w:after="40" w:before="40" w:line="252" w:lineRule="auto"/>
            </w:pPr>
            <w:r>
              <w:rPr>
                <w:sz w:val="18"/>
              </w:rPr>
              <w:t>Every validation failure shall carry a specific, field-level message.</w:t>
            </w:r>
          </w:p>
        </w:tc>
        <w:tc>
          <w:tcPr>
            <w:tcW w:type="dxa" w:w="4392"/>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FieldResult.Error(field, message)</w:t>
            </w:r>
            <w:r>
              <w:rPr>
                <w:sz w:val="18"/>
              </w:rPr>
              <w:t xml:space="preserve"> — no generic “invalid input” string exists in the codebase.</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NFR-08</w:t>
            </w:r>
          </w:p>
        </w:tc>
        <w:tc>
          <w:tcPr>
            <w:tcW w:type="dxa" w:w="3731"/>
            <w:tcBorders>
              <w:top w:val="nil" w:sz="6" w:color="C7D6E5"/>
              <w:bottom w:val="single" w:sz="6" w:color="C7D6E5"/>
              <w:left w:val="nil" w:sz="6" w:color="C7D6E5"/>
              <w:right w:val="nil" w:sz="6" w:color="C7D6E5"/>
            </w:tcBorders>
          </w:tcPr>
          <w:p>
            <w:pPr>
              <w:spacing w:after="40" w:before="40" w:line="252" w:lineRule="auto"/>
            </w:pPr>
            <w:r>
              <w:rPr>
                <w:sz w:val="18"/>
              </w:rPr>
              <w:t>User input shall survive backward navigation within the wizard.</w:t>
            </w:r>
          </w:p>
        </w:tc>
        <w:tc>
          <w:tcPr>
            <w:tcW w:type="dxa" w:w="4392"/>
            <w:tcBorders>
              <w:top w:val="nil" w:sz="6" w:color="C7D6E5"/>
              <w:bottom w:val="single" w:sz="6" w:color="C7D6E5"/>
              <w:left w:val="nil" w:sz="6" w:color="C7D6E5"/>
              <w:right w:val="nil" w:sz="6" w:color="C7D6E5"/>
            </w:tcBorders>
          </w:tcPr>
          <w:p>
            <w:pPr>
              <w:spacing w:after="40" w:before="40" w:line="252" w:lineRule="auto"/>
            </w:pPr>
            <w:r>
              <w:rPr>
                <w:sz w:val="18"/>
              </w:rPr>
              <w:t xml:space="preserve">A single </w:t>
            </w:r>
            <w:r>
              <w:rPr>
                <w:rFonts w:ascii="Consolas" w:hAnsi="Consolas"/>
                <w:sz w:val="17"/>
              </w:rPr>
              <w:t>CaseViewModel</w:t>
            </w:r>
            <w:r>
              <w:rPr>
                <w:sz w:val="18"/>
              </w:rPr>
              <w:t xml:space="preserve"> is scoped to the </w:t>
            </w:r>
            <w:r>
              <w:rPr>
                <w:rFonts w:ascii="Consolas" w:hAnsi="Consolas"/>
                <w:sz w:val="17"/>
              </w:rPr>
              <w:t>NavHost</w:t>
            </w:r>
            <w:r>
              <w:rPr>
                <w:sz w:val="18"/>
              </w:rPr>
              <w:t xml:space="preserve"> and shared by all wizard destinations.</w:t>
            </w:r>
          </w:p>
        </w:tc>
      </w:tr>
      <w:tr>
        <w:tc>
          <w:tcPr>
            <w:tcW w:type="dxa" w:w="903"/>
            <w:tcBorders>
              <w:top w:val="nil" w:sz="6" w:color="C7D6E5"/>
              <w:bottom w:val="single" w:sz="6" w:color="C7D6E5"/>
              <w:left w:val="nil" w:sz="6" w:color="C7D6E5"/>
              <w:right w:val="nil" w:sz="6" w:color="C7D6E5"/>
            </w:tcBorders>
          </w:tcPr>
          <w:p>
            <w:pPr>
              <w:spacing w:after="40" w:before="40" w:line="252" w:lineRule="auto"/>
            </w:pPr>
            <w:r>
              <w:rPr>
                <w:sz w:val="18"/>
              </w:rPr>
              <w:t>NFR-09</w:t>
            </w:r>
          </w:p>
        </w:tc>
        <w:tc>
          <w:tcPr>
            <w:tcW w:type="dxa" w:w="3731"/>
            <w:tcBorders>
              <w:top w:val="nil" w:sz="6" w:color="C7D6E5"/>
              <w:bottom w:val="single" w:sz="6" w:color="C7D6E5"/>
              <w:left w:val="nil" w:sz="6" w:color="C7D6E5"/>
              <w:right w:val="nil" w:sz="6" w:color="C7D6E5"/>
            </w:tcBorders>
          </w:tcPr>
          <w:p>
            <w:pPr>
              <w:spacing w:after="40" w:before="40" w:line="252" w:lineRule="auto"/>
            </w:pPr>
            <w:r>
              <w:rPr>
                <w:sz w:val="18"/>
              </w:rPr>
              <w:t>The clinical disclaimer shall be unavoidable on first launch.</w:t>
            </w:r>
          </w:p>
        </w:tc>
        <w:tc>
          <w:tcPr>
            <w:tcW w:type="dxa" w:w="4392"/>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MainActivity</w:t>
            </w:r>
            <w:r>
              <w:rPr>
                <w:sz w:val="18"/>
              </w:rPr>
              <w:t xml:space="preserve"> renders </w:t>
            </w:r>
            <w:r>
              <w:rPr>
                <w:rFonts w:ascii="Consolas" w:hAnsi="Consolas"/>
                <w:sz w:val="17"/>
              </w:rPr>
              <w:t>FirstLaunchDisclaimer</w:t>
            </w:r>
            <w:r>
              <w:rPr>
                <w:sz w:val="18"/>
              </w:rPr>
              <w:t xml:space="preserve"> before any other destination until it is accepted.</w:t>
            </w:r>
          </w:p>
        </w:tc>
      </w:tr>
    </w:tbl>
    <w:p>
      <w:pPr>
        <w:spacing w:after="120"/>
      </w:pPr>
    </w:p>
    <w:p>
      <w:pPr>
        <w:pStyle w:val="Heading1"/>
      </w:pPr>
      <w:r>
        <w:t>5. Technology Stack</w:t>
      </w:r>
    </w:p>
    <w:p>
      <w:pPr>
        <w:spacing w:after="160"/>
      </w:pPr>
      <w:r>
        <w:t xml:space="preserve">Every entry below is present in the project's build configuration. Versions are read from </w:t>
      </w:r>
      <w:r>
        <w:rPr>
          <w:rFonts w:ascii="Consolas" w:hAnsi="Consolas"/>
          <w:sz w:val="19"/>
        </w:rPr>
        <w:t>Kotlin_app/gradle/libs.versions.toml</w:t>
      </w:r>
      <w:r>
        <w:t xml:space="preserve"> and </w:t>
      </w:r>
      <w:r>
        <w:rPr>
          <w:rFonts w:ascii="Consolas" w:hAnsi="Consolas"/>
          <w:sz w:val="19"/>
        </w:rPr>
        <w:t>landingPage/package.json</w:t>
      </w:r>
      <w:r>
        <w:t>.</w:t>
      </w:r>
    </w:p>
    <w:p>
      <w:pPr>
        <w:spacing w:before="240" w:after="0"/>
        <w:keepNext w:val="true"/>
      </w:pPr>
      <w:r>
        <w:rPr>
          <w:b/>
          <w:sz w:val="21"/>
        </w:rPr>
        <w:t>Table 4</w:t>
      </w:r>
    </w:p>
    <w:p>
      <w:pPr>
        <w:spacing w:after="100"/>
        <w:keepNext w:val="true"/>
      </w:pPr>
      <w:r>
        <w:rPr>
          <w:i/>
          <w:sz w:val="21"/>
        </w:rPr>
        <w:t>Android application stack</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1476"/>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Layer</w:t>
            </w:r>
          </w:p>
        </w:tc>
        <w:tc>
          <w:tcPr>
            <w:tcW w:type="dxa" w:w="2498"/>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Technology</w:t>
            </w:r>
          </w:p>
        </w:tc>
        <w:tc>
          <w:tcPr>
            <w:tcW w:type="dxa" w:w="1930"/>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Version</w:t>
            </w:r>
          </w:p>
        </w:tc>
        <w:tc>
          <w:tcPr>
            <w:tcW w:type="dxa" w:w="3122"/>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Role in TDM Insight</w:t>
            </w:r>
          </w:p>
        </w:tc>
      </w:tr>
      <w:tr>
        <w:tc>
          <w:tcPr>
            <w:tcW w:type="dxa" w:w="1476"/>
            <w:tcBorders>
              <w:top w:val="nil" w:sz="6" w:color="C7D6E5"/>
              <w:bottom w:val="single" w:sz="6" w:color="C7D6E5"/>
              <w:left w:val="nil" w:sz="6" w:color="C7D6E5"/>
              <w:right w:val="nil" w:sz="6" w:color="C7D6E5"/>
            </w:tcBorders>
          </w:tcPr>
          <w:p>
            <w:pPr>
              <w:spacing w:after="40" w:before="40" w:line="252" w:lineRule="auto"/>
            </w:pPr>
            <w:r>
              <w:rPr>
                <w:sz w:val="18"/>
              </w:rPr>
              <w:t>Language</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Kotlin</w:t>
            </w:r>
          </w:p>
        </w:tc>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2.0.0</w:t>
            </w:r>
          </w:p>
        </w:tc>
        <w:tc>
          <w:tcPr>
            <w:tcW w:type="dxa" w:w="3122"/>
            <w:tcBorders>
              <w:top w:val="nil" w:sz="6" w:color="C7D6E5"/>
              <w:bottom w:val="single" w:sz="6" w:color="C7D6E5"/>
              <w:left w:val="nil" w:sz="6" w:color="C7D6E5"/>
              <w:right w:val="nil" w:sz="6" w:color="C7D6E5"/>
            </w:tcBorders>
          </w:tcPr>
          <w:p>
            <w:pPr>
              <w:spacing w:after="40" w:before="40" w:line="252" w:lineRule="auto"/>
            </w:pPr>
            <w:r>
              <w:rPr>
                <w:sz w:val="18"/>
              </w:rPr>
              <w:t>The entire application; the engine is written in framework-free Kotlin.</w:t>
            </w:r>
          </w:p>
        </w:tc>
      </w:tr>
      <w:tr>
        <w:tc>
          <w:tcPr>
            <w:tcW w:type="dxa" w:w="1476"/>
            <w:tcBorders>
              <w:top w:val="nil" w:sz="6" w:color="C7D6E5"/>
              <w:bottom w:val="single" w:sz="6" w:color="C7D6E5"/>
              <w:left w:val="nil" w:sz="6" w:color="C7D6E5"/>
              <w:right w:val="nil" w:sz="6" w:color="C7D6E5"/>
            </w:tcBorders>
          </w:tcPr>
          <w:p>
            <w:pPr>
              <w:spacing w:after="40" w:before="40" w:line="252" w:lineRule="auto"/>
            </w:pPr>
            <w:r>
              <w:rPr>
                <w:sz w:val="18"/>
              </w:rPr>
              <w:t>Build</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Android Gradle Plugin (Kotlin DSL)</w:t>
            </w:r>
          </w:p>
        </w:tc>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8.5.2</w:t>
            </w:r>
          </w:p>
        </w:tc>
        <w:tc>
          <w:tcPr>
            <w:tcW w:type="dxa" w:w="3122"/>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build.gradle.kts</w:t>
            </w:r>
            <w:r>
              <w:rPr>
                <w:sz w:val="18"/>
              </w:rPr>
              <w:t xml:space="preserve">; injects credentials into </w:t>
            </w:r>
            <w:r>
              <w:rPr>
                <w:rFonts w:ascii="Consolas" w:hAnsi="Consolas"/>
                <w:sz w:val="17"/>
              </w:rPr>
              <w:t>BuildConfig</w:t>
            </w:r>
            <w:r>
              <w:rPr>
                <w:sz w:val="18"/>
              </w:rPr>
              <w:t>.</w:t>
            </w:r>
          </w:p>
        </w:tc>
      </w:tr>
      <w:tr>
        <w:tc>
          <w:tcPr>
            <w:tcW w:type="dxa" w:w="1476"/>
            <w:tcBorders>
              <w:top w:val="nil" w:sz="6" w:color="C7D6E5"/>
              <w:bottom w:val="single" w:sz="6" w:color="C7D6E5"/>
              <w:left w:val="nil" w:sz="6" w:color="C7D6E5"/>
              <w:right w:val="nil" w:sz="6" w:color="C7D6E5"/>
            </w:tcBorders>
          </w:tcPr>
          <w:p>
            <w:pPr>
              <w:spacing w:after="40" w:before="40" w:line="252" w:lineRule="auto"/>
            </w:pPr>
            <w:r>
              <w:rPr>
                <w:sz w:val="18"/>
              </w:rPr>
              <w:t>Platform</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Android SDK</w:t>
            </w:r>
          </w:p>
        </w:tc>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compileSdk 35 · minSdk 26 · targetSdk 35</w:t>
            </w:r>
          </w:p>
        </w:tc>
        <w:tc>
          <w:tcPr>
            <w:tcW w:type="dxa" w:w="3122"/>
            <w:tcBorders>
              <w:top w:val="nil" w:sz="6" w:color="C7D6E5"/>
              <w:bottom w:val="single" w:sz="6" w:color="C7D6E5"/>
              <w:left w:val="nil" w:sz="6" w:color="C7D6E5"/>
              <w:right w:val="nil" w:sz="6" w:color="C7D6E5"/>
            </w:tcBorders>
          </w:tcPr>
          <w:p>
            <w:pPr>
              <w:spacing w:after="40" w:before="40" w:line="252" w:lineRule="auto"/>
            </w:pPr>
            <w:r>
              <w:rPr>
                <w:sz w:val="18"/>
              </w:rPr>
              <w:t>Android 8.0 and above.</w:t>
            </w:r>
          </w:p>
        </w:tc>
      </w:tr>
      <w:tr>
        <w:tc>
          <w:tcPr>
            <w:tcW w:type="dxa" w:w="1476"/>
            <w:tcBorders>
              <w:top w:val="nil" w:sz="6" w:color="C7D6E5"/>
              <w:bottom w:val="single" w:sz="6" w:color="C7D6E5"/>
              <w:left w:val="nil" w:sz="6" w:color="C7D6E5"/>
              <w:right w:val="nil" w:sz="6" w:color="C7D6E5"/>
            </w:tcBorders>
          </w:tcPr>
          <w:p>
            <w:pPr>
              <w:spacing w:after="40" w:before="40" w:line="252" w:lineRule="auto"/>
            </w:pPr>
            <w:r>
              <w:rPr>
                <w:sz w:val="18"/>
              </w:rPr>
              <w:t>UI toolkit</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Jetpack Compose (BOM)</w:t>
            </w:r>
          </w:p>
        </w:tc>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2024.08.00</w:t>
            </w:r>
          </w:p>
        </w:tc>
        <w:tc>
          <w:tcPr>
            <w:tcW w:type="dxa" w:w="3122"/>
            <w:tcBorders>
              <w:top w:val="nil" w:sz="6" w:color="C7D6E5"/>
              <w:bottom w:val="single" w:sz="6" w:color="C7D6E5"/>
              <w:left w:val="nil" w:sz="6" w:color="C7D6E5"/>
              <w:right w:val="nil" w:sz="6" w:color="C7D6E5"/>
            </w:tcBorders>
          </w:tcPr>
          <w:p>
            <w:pPr>
              <w:spacing w:after="40" w:before="40" w:line="252" w:lineRule="auto"/>
            </w:pPr>
            <w:r>
              <w:rPr>
                <w:sz w:val="18"/>
              </w:rPr>
              <w:t>All eighteen screens are Composables; the project contains no XML layouts.</w:t>
            </w:r>
          </w:p>
        </w:tc>
      </w:tr>
      <w:tr>
        <w:tc>
          <w:tcPr>
            <w:tcW w:type="dxa" w:w="1476"/>
            <w:tcBorders>
              <w:top w:val="nil" w:sz="6" w:color="C7D6E5"/>
              <w:bottom w:val="single" w:sz="6" w:color="C7D6E5"/>
              <w:left w:val="nil" w:sz="6" w:color="C7D6E5"/>
              <w:right w:val="nil" w:sz="6" w:color="C7D6E5"/>
            </w:tcBorders>
          </w:tcPr>
          <w:p>
            <w:pPr>
              <w:spacing w:after="40" w:before="40" w:line="252" w:lineRule="auto"/>
            </w:pPr>
            <w:r>
              <w:rPr>
                <w:sz w:val="18"/>
              </w:rPr>
              <w:t>Design system</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Material 3</w:t>
            </w:r>
          </w:p>
        </w:tc>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via Compose BOM</w:t>
            </w:r>
          </w:p>
        </w:tc>
        <w:tc>
          <w:tcPr>
            <w:tcW w:type="dxa" w:w="3122"/>
            <w:tcBorders>
              <w:top w:val="nil" w:sz="6" w:color="C7D6E5"/>
              <w:bottom w:val="single" w:sz="6" w:color="C7D6E5"/>
              <w:left w:val="nil" w:sz="6" w:color="C7D6E5"/>
              <w:right w:val="nil" w:sz="6" w:color="C7D6E5"/>
            </w:tcBorders>
          </w:tcPr>
          <w:p>
            <w:pPr>
              <w:spacing w:after="40" w:before="40" w:line="252" w:lineRule="auto"/>
            </w:pPr>
            <w:r>
              <w:rPr>
                <w:sz w:val="18"/>
              </w:rPr>
              <w:t>Colour schemes, typography, shapes and components.</w:t>
            </w:r>
          </w:p>
        </w:tc>
      </w:tr>
      <w:tr>
        <w:tc>
          <w:tcPr>
            <w:tcW w:type="dxa" w:w="1476"/>
            <w:tcBorders>
              <w:top w:val="nil" w:sz="6" w:color="C7D6E5"/>
              <w:bottom w:val="single" w:sz="6" w:color="C7D6E5"/>
              <w:left w:val="nil" w:sz="6" w:color="C7D6E5"/>
              <w:right w:val="nil" w:sz="6" w:color="C7D6E5"/>
            </w:tcBorders>
          </w:tcPr>
          <w:p>
            <w:pPr>
              <w:spacing w:after="40" w:before="40" w:line="252" w:lineRule="auto"/>
            </w:pPr>
            <w:r>
              <w:rPr>
                <w:sz w:val="18"/>
              </w:rPr>
              <w:t>Icons</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material-icons-extended</w:t>
            </w:r>
          </w:p>
        </w:tc>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via Compose BOM</w:t>
            </w:r>
          </w:p>
        </w:tc>
        <w:tc>
          <w:tcPr>
            <w:tcW w:type="dxa" w:w="3122"/>
            <w:tcBorders>
              <w:top w:val="nil" w:sz="6" w:color="C7D6E5"/>
              <w:bottom w:val="single" w:sz="6" w:color="C7D6E5"/>
              <w:left w:val="nil" w:sz="6" w:color="C7D6E5"/>
              <w:right w:val="nil" w:sz="6" w:color="C7D6E5"/>
            </w:tcBorders>
          </w:tcPr>
          <w:p>
            <w:pPr>
              <w:spacing w:after="40" w:before="40" w:line="252" w:lineRule="auto"/>
            </w:pPr>
            <w:r>
              <w:rPr>
                <w:sz w:val="18"/>
              </w:rPr>
              <w:t>Outlined and filled icon set used across the UI.</w:t>
            </w:r>
          </w:p>
        </w:tc>
      </w:tr>
      <w:tr>
        <w:tc>
          <w:tcPr>
            <w:tcW w:type="dxa" w:w="1476"/>
            <w:tcBorders>
              <w:top w:val="nil" w:sz="6" w:color="C7D6E5"/>
              <w:bottom w:val="single" w:sz="6" w:color="C7D6E5"/>
              <w:left w:val="nil" w:sz="6" w:color="C7D6E5"/>
              <w:right w:val="nil" w:sz="6" w:color="C7D6E5"/>
            </w:tcBorders>
          </w:tcPr>
          <w:p>
            <w:pPr>
              <w:spacing w:after="40" w:before="40" w:line="252" w:lineRule="auto"/>
            </w:pPr>
            <w:r>
              <w:rPr>
                <w:sz w:val="18"/>
              </w:rPr>
              <w:t>Navigation</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Navigation Compose</w:t>
            </w:r>
          </w:p>
        </w:tc>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2.7.7</w:t>
            </w:r>
          </w:p>
        </w:tc>
        <w:tc>
          <w:tcPr>
            <w:tcW w:type="dxa" w:w="3122"/>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TdmNavGraph</w:t>
            </w:r>
            <w:r>
              <w:rPr>
                <w:sz w:val="18"/>
              </w:rPr>
              <w:t xml:space="preserve"> with thirteen routes, one parameterised.</w:t>
            </w:r>
          </w:p>
        </w:tc>
      </w:tr>
      <w:tr>
        <w:tc>
          <w:tcPr>
            <w:tcW w:type="dxa" w:w="1476"/>
            <w:tcBorders>
              <w:top w:val="nil" w:sz="6" w:color="C7D6E5"/>
              <w:bottom w:val="single" w:sz="6" w:color="C7D6E5"/>
              <w:left w:val="nil" w:sz="6" w:color="C7D6E5"/>
              <w:right w:val="nil" w:sz="6" w:color="C7D6E5"/>
            </w:tcBorders>
          </w:tcPr>
          <w:p>
            <w:pPr>
              <w:spacing w:after="40" w:before="40" w:line="252" w:lineRule="auto"/>
            </w:pPr>
            <w:r>
              <w:rPr>
                <w:sz w:val="18"/>
              </w:rPr>
              <w:t>State</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Lifecycle ViewModel Compose</w:t>
            </w:r>
          </w:p>
        </w:tc>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2.8.4</w:t>
            </w:r>
          </w:p>
        </w:tc>
        <w:tc>
          <w:tcPr>
            <w:tcW w:type="dxa" w:w="3122"/>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AndroidViewModel</w:t>
            </w:r>
            <w:r>
              <w:rPr>
                <w:sz w:val="18"/>
              </w:rPr>
              <w:t xml:space="preserve"> subclasses exposing </w:t>
            </w:r>
            <w:r>
              <w:rPr>
                <w:rFonts w:ascii="Consolas" w:hAnsi="Consolas"/>
                <w:sz w:val="17"/>
              </w:rPr>
              <w:t>StateFlow</w:t>
            </w:r>
            <w:r>
              <w:rPr>
                <w:sz w:val="18"/>
              </w:rPr>
              <w:t>.</w:t>
            </w:r>
          </w:p>
        </w:tc>
      </w:tr>
      <w:tr>
        <w:tc>
          <w:tcPr>
            <w:tcW w:type="dxa" w:w="1476"/>
            <w:tcBorders>
              <w:top w:val="nil" w:sz="6" w:color="C7D6E5"/>
              <w:bottom w:val="single" w:sz="6" w:color="C7D6E5"/>
              <w:left w:val="nil" w:sz="6" w:color="C7D6E5"/>
              <w:right w:val="nil" w:sz="6" w:color="C7D6E5"/>
            </w:tcBorders>
          </w:tcPr>
          <w:p>
            <w:pPr>
              <w:spacing w:after="40" w:before="40" w:line="252" w:lineRule="auto"/>
            </w:pPr>
            <w:r>
              <w:rPr>
                <w:sz w:val="18"/>
              </w:rPr>
              <w:t>Concurrency</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kotlinx-coroutines-android</w:t>
            </w:r>
          </w:p>
        </w:tc>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1.8.1</w:t>
            </w:r>
          </w:p>
        </w:tc>
        <w:tc>
          <w:tcPr>
            <w:tcW w:type="dxa" w:w="3122"/>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viewModelScope</w:t>
            </w:r>
            <w:r>
              <w:rPr>
                <w:sz w:val="18"/>
              </w:rPr>
              <w:t xml:space="preserve"> for the calculation and persistence paths.</w:t>
            </w:r>
          </w:p>
        </w:tc>
      </w:tr>
      <w:tr>
        <w:tc>
          <w:tcPr>
            <w:tcW w:type="dxa" w:w="1476"/>
            <w:tcBorders>
              <w:top w:val="nil" w:sz="6" w:color="C7D6E5"/>
              <w:bottom w:val="single" w:sz="6" w:color="C7D6E5"/>
              <w:left w:val="nil" w:sz="6" w:color="C7D6E5"/>
              <w:right w:val="nil" w:sz="6" w:color="C7D6E5"/>
            </w:tcBorders>
          </w:tcPr>
          <w:p>
            <w:pPr>
              <w:spacing w:after="40" w:before="40" w:line="252" w:lineRule="auto"/>
            </w:pPr>
            <w:r>
              <w:rPr>
                <w:sz w:val="18"/>
              </w:rPr>
              <w:t>Serialisation</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kotlinx-serialization-json</w:t>
            </w:r>
          </w:p>
        </w:tc>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1.7.1</w:t>
            </w:r>
          </w:p>
        </w:tc>
        <w:tc>
          <w:tcPr>
            <w:tcW w:type="dxa" w:w="3122"/>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CaseDto</w:t>
            </w:r>
            <w:r>
              <w:rPr>
                <w:sz w:val="18"/>
              </w:rPr>
              <w:t xml:space="preserve"> and the Clerk wire-format models.</w:t>
            </w:r>
          </w:p>
        </w:tc>
      </w:tr>
      <w:tr>
        <w:tc>
          <w:tcPr>
            <w:tcW w:type="dxa" w:w="1476"/>
            <w:tcBorders>
              <w:top w:val="nil" w:sz="6" w:color="C7D6E5"/>
              <w:bottom w:val="single" w:sz="6" w:color="C7D6E5"/>
              <w:left w:val="nil" w:sz="6" w:color="C7D6E5"/>
              <w:right w:val="nil" w:sz="6" w:color="C7D6E5"/>
            </w:tcBorders>
          </w:tcPr>
          <w:p>
            <w:pPr>
              <w:spacing w:after="40" w:before="40" w:line="252" w:lineRule="auto"/>
            </w:pPr>
            <w:r>
              <w:rPr>
                <w:sz w:val="18"/>
              </w:rPr>
              <w:t>HTTP</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Ktor client (OkHttp engine)</w:t>
            </w:r>
          </w:p>
        </w:tc>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2.3.12</w:t>
            </w:r>
          </w:p>
        </w:tc>
        <w:tc>
          <w:tcPr>
            <w:tcW w:type="dxa" w:w="3122"/>
            <w:tcBorders>
              <w:top w:val="nil" w:sz="6" w:color="C7D6E5"/>
              <w:bottom w:val="single" w:sz="6" w:color="C7D6E5"/>
              <w:left w:val="nil" w:sz="6" w:color="C7D6E5"/>
              <w:right w:val="nil" w:sz="6" w:color="C7D6E5"/>
            </w:tcBorders>
          </w:tcPr>
          <w:p>
            <w:pPr>
              <w:spacing w:after="40" w:before="40" w:line="252" w:lineRule="auto"/>
            </w:pPr>
            <w:r>
              <w:rPr>
                <w:sz w:val="18"/>
              </w:rPr>
              <w:t>Clerk Frontend API calls and the Supabase transport.</w:t>
            </w:r>
          </w:p>
        </w:tc>
      </w:tr>
      <w:tr>
        <w:tc>
          <w:tcPr>
            <w:tcW w:type="dxa" w:w="1476"/>
            <w:tcBorders>
              <w:top w:val="nil" w:sz="6" w:color="C7D6E5"/>
              <w:bottom w:val="single" w:sz="6" w:color="C7D6E5"/>
              <w:left w:val="nil" w:sz="6" w:color="C7D6E5"/>
              <w:right w:val="nil" w:sz="6" w:color="C7D6E5"/>
            </w:tcBorders>
          </w:tcPr>
          <w:p>
            <w:pPr>
              <w:spacing w:after="40" w:before="40" w:line="252" w:lineRule="auto"/>
            </w:pPr>
            <w:r>
              <w:rPr>
                <w:sz w:val="18"/>
              </w:rPr>
              <w:t>Testing</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JUnit 4</w:t>
            </w:r>
          </w:p>
        </w:tc>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4.13.2</w:t>
            </w:r>
          </w:p>
        </w:tc>
        <w:tc>
          <w:tcPr>
            <w:tcW w:type="dxa" w:w="3122"/>
            <w:tcBorders>
              <w:top w:val="nil" w:sz="6" w:color="C7D6E5"/>
              <w:bottom w:val="single" w:sz="6" w:color="C7D6E5"/>
              <w:left w:val="nil" w:sz="6" w:color="C7D6E5"/>
              <w:right w:val="nil" w:sz="6" w:color="C7D6E5"/>
            </w:tcBorders>
          </w:tcPr>
          <w:p>
            <w:pPr>
              <w:spacing w:after="40" w:before="40" w:line="252" w:lineRule="auto"/>
            </w:pPr>
            <w:r>
              <w:rPr>
                <w:sz w:val="18"/>
              </w:rPr>
              <w:t>31 unit tests over the engine and validators.</w:t>
            </w:r>
          </w:p>
        </w:tc>
      </w:tr>
      <w:tr>
        <w:tc>
          <w:tcPr>
            <w:tcW w:type="dxa" w:w="1476"/>
            <w:tcBorders>
              <w:top w:val="nil" w:sz="6" w:color="C7D6E5"/>
              <w:bottom w:val="single" w:sz="6" w:color="C7D6E5"/>
              <w:left w:val="nil" w:sz="6" w:color="C7D6E5"/>
              <w:right w:val="nil" w:sz="6" w:color="C7D6E5"/>
            </w:tcBorders>
          </w:tcPr>
          <w:p>
            <w:pPr>
              <w:spacing w:after="40" w:before="40" w:line="252" w:lineRule="auto"/>
            </w:pPr>
            <w:r>
              <w:rPr>
                <w:sz w:val="18"/>
              </w:rPr>
              <w:t>Instrumentation</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AndroidX Test · Espresso · Compose UI test</w:t>
            </w:r>
          </w:p>
        </w:tc>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1.2.1 · 3.6.1</w:t>
            </w:r>
          </w:p>
        </w:tc>
        <w:tc>
          <w:tcPr>
            <w:tcW w:type="dxa" w:w="3122"/>
            <w:tcBorders>
              <w:top w:val="nil" w:sz="6" w:color="C7D6E5"/>
              <w:bottom w:val="single" w:sz="6" w:color="C7D6E5"/>
              <w:left w:val="nil" w:sz="6" w:color="C7D6E5"/>
              <w:right w:val="nil" w:sz="6" w:color="C7D6E5"/>
            </w:tcBorders>
          </w:tcPr>
          <w:p>
            <w:pPr>
              <w:spacing w:after="40" w:before="40" w:line="252" w:lineRule="auto"/>
            </w:pPr>
            <w:r>
              <w:rPr>
                <w:sz w:val="18"/>
              </w:rPr>
              <w:t>Declared dependencies; no instrumented tests are written yet.</w:t>
            </w:r>
          </w:p>
        </w:tc>
      </w:tr>
    </w:tbl>
    <w:p>
      <w:pPr>
        <w:spacing w:after="120"/>
      </w:pPr>
    </w:p>
    <w:p>
      <w:pPr>
        <w:spacing w:before="240" w:after="0"/>
        <w:keepNext w:val="true"/>
      </w:pPr>
      <w:r>
        <w:rPr>
          <w:b/>
          <w:sz w:val="21"/>
        </w:rPr>
        <w:t>Table 5</w:t>
      </w:r>
    </w:p>
    <w:p>
      <w:pPr>
        <w:spacing w:after="100"/>
        <w:keepNext w:val="true"/>
      </w:pPr>
      <w:r>
        <w:rPr>
          <w:i/>
          <w:sz w:val="21"/>
        </w:rPr>
        <w:t>Backend and external services</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1589"/>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Service</w:t>
            </w:r>
          </w:p>
        </w:tc>
        <w:tc>
          <w:tcPr>
            <w:tcW w:type="dxa" w:w="2384"/>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Technology</w:t>
            </w:r>
          </w:p>
        </w:tc>
        <w:tc>
          <w:tcPr>
            <w:tcW w:type="dxa" w:w="3179"/>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Role</w:t>
            </w:r>
          </w:p>
        </w:tc>
        <w:tc>
          <w:tcPr>
            <w:tcW w:type="dxa" w:w="1873"/>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What ships in the APK</w:t>
            </w:r>
          </w:p>
        </w:tc>
      </w:tr>
      <w:tr>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Database</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Supabase — hosted PostgreSQL with PostgREST</w:t>
            </w:r>
          </w:p>
        </w:tc>
        <w:tc>
          <w:tcPr>
            <w:tcW w:type="dxa" w:w="3179"/>
            <w:tcBorders>
              <w:top w:val="nil" w:sz="6" w:color="C7D6E5"/>
              <w:bottom w:val="single" w:sz="6" w:color="C7D6E5"/>
              <w:left w:val="nil" w:sz="6" w:color="C7D6E5"/>
              <w:right w:val="nil" w:sz="6" w:color="C7D6E5"/>
            </w:tcBorders>
          </w:tcPr>
          <w:p>
            <w:pPr>
              <w:spacing w:after="40" w:before="40" w:line="252" w:lineRule="auto"/>
            </w:pPr>
            <w:r>
              <w:rPr>
                <w:sz w:val="18"/>
              </w:rPr>
              <w:t>Two tables (</w:t>
            </w:r>
            <w:r>
              <w:rPr>
                <w:rFonts w:ascii="Consolas" w:hAnsi="Consolas"/>
                <w:sz w:val="17"/>
              </w:rPr>
              <w:t>cases</w:t>
            </w:r>
            <w:r>
              <w:rPr>
                <w:sz w:val="18"/>
              </w:rPr>
              <w:t xml:space="preserve">, </w:t>
            </w:r>
            <w:r>
              <w:rPr>
                <w:rFonts w:ascii="Consolas" w:hAnsi="Consolas"/>
                <w:sz w:val="17"/>
              </w:rPr>
              <w:t>user_profiles</w:t>
            </w:r>
            <w:r>
              <w:rPr>
                <w:sz w:val="18"/>
              </w:rPr>
              <w:t>), Row Level Security enabled, one trigger.</w:t>
            </w:r>
          </w:p>
        </w:tc>
        <w:tc>
          <w:tcPr>
            <w:tcW w:type="dxa" w:w="1873"/>
            <w:tcBorders>
              <w:top w:val="nil" w:sz="6" w:color="C7D6E5"/>
              <w:bottom w:val="single" w:sz="6" w:color="C7D6E5"/>
              <w:left w:val="nil" w:sz="6" w:color="C7D6E5"/>
              <w:right w:val="nil" w:sz="6" w:color="C7D6E5"/>
            </w:tcBorders>
          </w:tcPr>
          <w:p>
            <w:pPr>
              <w:spacing w:after="40" w:before="40" w:line="252" w:lineRule="auto"/>
            </w:pPr>
            <w:r>
              <w:rPr>
                <w:sz w:val="18"/>
              </w:rPr>
              <w:t xml:space="preserve">Project URL and the public </w:t>
            </w:r>
            <w:r>
              <w:rPr>
                <w:i/>
                <w:sz w:val="18"/>
              </w:rPr>
              <w:t>anon</w:t>
            </w:r>
            <w:r>
              <w:rPr>
                <w:sz w:val="18"/>
              </w:rPr>
              <w:t xml:space="preserve"> key only.</w:t>
            </w:r>
          </w:p>
        </w:tc>
      </w:tr>
      <w:tr>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Database client</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 xml:space="preserve">supabase-kt </w:t>
            </w:r>
            <w:r>
              <w:rPr>
                <w:rFonts w:ascii="Consolas" w:hAnsi="Consolas"/>
                <w:sz w:val="17"/>
              </w:rPr>
              <w:t>postgrest-kt</w:t>
            </w:r>
            <w:r>
              <w:rPr>
                <w:sz w:val="18"/>
              </w:rPr>
              <w:t xml:space="preserve"> 2.6.1 (BOM)</w:t>
            </w:r>
          </w:p>
        </w:tc>
        <w:tc>
          <w:tcPr>
            <w:tcW w:type="dxa" w:w="3179"/>
            <w:tcBorders>
              <w:top w:val="nil" w:sz="6" w:color="C7D6E5"/>
              <w:bottom w:val="single" w:sz="6" w:color="C7D6E5"/>
              <w:left w:val="nil" w:sz="6" w:color="C7D6E5"/>
              <w:right w:val="nil" w:sz="6" w:color="C7D6E5"/>
            </w:tcBorders>
          </w:tcPr>
          <w:p>
            <w:pPr>
              <w:spacing w:after="40" w:before="40" w:line="252" w:lineRule="auto"/>
            </w:pPr>
            <w:r>
              <w:rPr>
                <w:sz w:val="18"/>
              </w:rPr>
              <w:t xml:space="preserve">Typed </w:t>
            </w:r>
            <w:r>
              <w:rPr>
                <w:rFonts w:ascii="Consolas" w:hAnsi="Consolas"/>
                <w:sz w:val="17"/>
              </w:rPr>
              <w:t>insert</w:t>
            </w:r>
            <w:r>
              <w:rPr>
                <w:sz w:val="18"/>
              </w:rPr>
              <w:t xml:space="preserve"> and </w:t>
            </w:r>
            <w:r>
              <w:rPr>
                <w:rFonts w:ascii="Consolas" w:hAnsi="Consolas"/>
                <w:sz w:val="17"/>
              </w:rPr>
              <w:t>select</w:t>
            </w:r>
            <w:r>
              <w:rPr>
                <w:sz w:val="18"/>
              </w:rPr>
              <w:t xml:space="preserve"> against PostgREST. GoTrue and Realtime are not installed.</w:t>
            </w:r>
          </w:p>
        </w:tc>
        <w:tc>
          <w:tcPr>
            <w:tcW w:type="dxa" w:w="1873"/>
            <w:tcBorders>
              <w:top w:val="nil" w:sz="6" w:color="C7D6E5"/>
              <w:bottom w:val="single" w:sz="6" w:color="C7D6E5"/>
              <w:left w:val="nil" w:sz="6" w:color="C7D6E5"/>
              <w:right w:val="nil" w:sz="6" w:color="C7D6E5"/>
            </w:tcBorders>
          </w:tcPr>
          <w:p>
            <w:pPr>
              <w:spacing w:after="40" w:before="40" w:line="252" w:lineRule="auto"/>
            </w:pPr>
            <w:r>
              <w:rPr>
                <w:sz w:val="18"/>
              </w:rPr>
              <w:t>—</w:t>
            </w:r>
          </w:p>
        </w:tc>
      </w:tr>
      <w:tr>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Identity</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Clerk Frontend API, called directly over REST</w:t>
            </w:r>
          </w:p>
        </w:tc>
        <w:tc>
          <w:tcPr>
            <w:tcW w:type="dxa" w:w="3179"/>
            <w:tcBorders>
              <w:top w:val="nil" w:sz="6" w:color="C7D6E5"/>
              <w:bottom w:val="single" w:sz="6" w:color="C7D6E5"/>
              <w:left w:val="nil" w:sz="6" w:color="C7D6E5"/>
              <w:right w:val="nil" w:sz="6" w:color="C7D6E5"/>
            </w:tcBorders>
          </w:tcPr>
          <w:p>
            <w:pPr>
              <w:spacing w:after="40" w:before="40" w:line="252" w:lineRule="auto"/>
            </w:pPr>
            <w:r>
              <w:rPr>
                <w:sz w:val="18"/>
              </w:rPr>
              <w:t>Email and password sign-up and sign-in; session JWT issuance; optional Supabase token template.</w:t>
            </w:r>
          </w:p>
        </w:tc>
        <w:tc>
          <w:tcPr>
            <w:tcW w:type="dxa" w:w="1873"/>
            <w:tcBorders>
              <w:top w:val="nil" w:sz="6" w:color="C7D6E5"/>
              <w:bottom w:val="single" w:sz="6" w:color="C7D6E5"/>
              <w:left w:val="nil" w:sz="6" w:color="C7D6E5"/>
              <w:right w:val="nil" w:sz="6" w:color="C7D6E5"/>
            </w:tcBorders>
          </w:tcPr>
          <w:p>
            <w:pPr>
              <w:spacing w:after="40" w:before="40" w:line="252" w:lineRule="auto"/>
            </w:pPr>
            <w:r>
              <w:rPr>
                <w:sz w:val="18"/>
              </w:rPr>
              <w:t>Publishable key (</w:t>
            </w:r>
            <w:r>
              <w:rPr>
                <w:rFonts w:ascii="Consolas" w:hAnsi="Consolas"/>
                <w:sz w:val="17"/>
              </w:rPr>
              <w:t>pk_test_</w:t>
            </w:r>
            <w:r>
              <w:rPr>
                <w:sz w:val="18"/>
              </w:rPr>
              <w:t xml:space="preserve"> / </w:t>
            </w:r>
            <w:r>
              <w:rPr>
                <w:rFonts w:ascii="Consolas" w:hAnsi="Consolas"/>
                <w:sz w:val="17"/>
              </w:rPr>
              <w:t>pk_live_</w:t>
            </w:r>
            <w:r>
              <w:rPr>
                <w:sz w:val="18"/>
              </w:rPr>
              <w:t>) only.</w:t>
            </w:r>
          </w:p>
        </w:tc>
      </w:tr>
      <w:tr>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Session storage</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Android private SharedPreferences (</w:t>
            </w:r>
            <w:r>
              <w:rPr>
                <w:rFonts w:ascii="Consolas" w:hAnsi="Consolas"/>
                <w:sz w:val="17"/>
              </w:rPr>
              <w:t>tdm_auth</w:t>
            </w:r>
            <w:r>
              <w:rPr>
                <w:sz w:val="18"/>
              </w:rPr>
              <w:t>)</w:t>
            </w:r>
          </w:p>
        </w:tc>
        <w:tc>
          <w:tcPr>
            <w:tcW w:type="dxa" w:w="3179"/>
            <w:tcBorders>
              <w:top w:val="nil" w:sz="6" w:color="C7D6E5"/>
              <w:bottom w:val="single" w:sz="6" w:color="C7D6E5"/>
              <w:left w:val="nil" w:sz="6" w:color="C7D6E5"/>
              <w:right w:val="nil" w:sz="6" w:color="C7D6E5"/>
            </w:tcBorders>
          </w:tcPr>
          <w:p>
            <w:pPr>
              <w:spacing w:after="40" w:before="40" w:line="252" w:lineRule="auto"/>
            </w:pPr>
            <w:r>
              <w:rPr>
                <w:sz w:val="18"/>
              </w:rPr>
              <w:t>Persists user id, email, session token and session id across launches.</w:t>
            </w:r>
          </w:p>
        </w:tc>
        <w:tc>
          <w:tcPr>
            <w:tcW w:type="dxa" w:w="1873"/>
            <w:tcBorders>
              <w:top w:val="nil" w:sz="6" w:color="C7D6E5"/>
              <w:bottom w:val="single" w:sz="6" w:color="C7D6E5"/>
              <w:left w:val="nil" w:sz="6" w:color="C7D6E5"/>
              <w:right w:val="nil" w:sz="6" w:color="C7D6E5"/>
            </w:tcBorders>
          </w:tcPr>
          <w:p>
            <w:pPr>
              <w:spacing w:after="40" w:before="40" w:line="252" w:lineRule="auto"/>
            </w:pPr>
            <w:r>
              <w:rPr>
                <w:sz w:val="18"/>
              </w:rPr>
              <w:t>On-device, application-private.</w:t>
            </w:r>
          </w:p>
        </w:tc>
      </w:tr>
    </w:tbl>
    <w:p>
      <w:pPr>
        <w:spacing w:after="120"/>
      </w:pPr>
    </w:p>
    <w:p>
      <w:pPr>
        <w:spacing w:before="240" w:after="0"/>
        <w:keepNext w:val="true"/>
      </w:pPr>
      <w:r>
        <w:rPr>
          <w:b/>
          <w:sz w:val="21"/>
        </w:rPr>
        <w:t>Table 6</w:t>
      </w:r>
    </w:p>
    <w:p>
      <w:pPr>
        <w:spacing w:after="100"/>
        <w:keepNext w:val="true"/>
      </w:pPr>
      <w:r>
        <w:rPr>
          <w:i/>
          <w:sz w:val="21"/>
        </w:rPr>
        <w:t>Marketing landing page stack</w:t>
      </w:r>
    </w:p>
    <w:tbl>
      <w:tblPr>
        <w:tblStyle w:val="TableGrid"/>
        <w:tblW w:type="auto" w:w="0"/>
        <w:jc w:val="center"/>
        <w:tblLayout w:type="fixed"/>
        <w:tblLook w:firstColumn="1" w:firstRow="1" w:lastColumn="0" w:lastRow="0" w:noHBand="0" w:noVBand="1" w:val="04A0"/>
        <w:tblLayout w:type="fixed"/>
      </w:tblPr>
      <w:tblGrid>
        <w:gridCol w:w="3009"/>
        <w:gridCol w:w="3009"/>
        <w:gridCol w:w="3009"/>
      </w:tblGrid>
      <w:tr>
        <w:trPr>
          <w:tblHeader w:val="true"/>
        </w:trPr>
        <w:tc>
          <w:tcPr>
            <w:tcW w:type="dxa" w:w="1930"/>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Layer</w:t>
            </w:r>
          </w:p>
        </w:tc>
        <w:tc>
          <w:tcPr>
            <w:tcW w:type="dxa" w:w="4768"/>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Technology</w:t>
            </w:r>
          </w:p>
        </w:tc>
        <w:tc>
          <w:tcPr>
            <w:tcW w:type="dxa" w:w="2327"/>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Version</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Framework</w:t>
            </w:r>
          </w:p>
        </w:tc>
        <w:tc>
          <w:tcPr>
            <w:tcW w:type="dxa" w:w="4768"/>
            <w:tcBorders>
              <w:top w:val="nil" w:sz="6" w:color="C7D6E5"/>
              <w:bottom w:val="single" w:sz="6" w:color="C7D6E5"/>
              <w:left w:val="nil" w:sz="6" w:color="C7D6E5"/>
              <w:right w:val="nil" w:sz="6" w:color="C7D6E5"/>
            </w:tcBorders>
          </w:tcPr>
          <w:p>
            <w:pPr>
              <w:spacing w:after="40" w:before="40" w:line="252" w:lineRule="auto"/>
            </w:pPr>
            <w:r>
              <w:rPr>
                <w:sz w:val="18"/>
              </w:rPr>
              <w:t>React</w:t>
            </w:r>
          </w:p>
        </w:tc>
        <w:tc>
          <w:tcPr>
            <w:tcW w:type="dxa" w:w="2327"/>
            <w:tcBorders>
              <w:top w:val="nil" w:sz="6" w:color="C7D6E5"/>
              <w:bottom w:val="single" w:sz="6" w:color="C7D6E5"/>
              <w:left w:val="nil" w:sz="6" w:color="C7D6E5"/>
              <w:right w:val="nil" w:sz="6" w:color="C7D6E5"/>
            </w:tcBorders>
          </w:tcPr>
          <w:p>
            <w:pPr>
              <w:spacing w:after="40" w:before="40" w:line="252" w:lineRule="auto"/>
            </w:pPr>
            <w:r>
              <w:rPr>
                <w:sz w:val="18"/>
              </w:rPr>
              <w:t>19.1.0</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Build tool</w:t>
            </w:r>
          </w:p>
        </w:tc>
        <w:tc>
          <w:tcPr>
            <w:tcW w:type="dxa" w:w="4768"/>
            <w:tcBorders>
              <w:top w:val="nil" w:sz="6" w:color="C7D6E5"/>
              <w:bottom w:val="single" w:sz="6" w:color="C7D6E5"/>
              <w:left w:val="nil" w:sz="6" w:color="C7D6E5"/>
              <w:right w:val="nil" w:sz="6" w:color="C7D6E5"/>
            </w:tcBorders>
          </w:tcPr>
          <w:p>
            <w:pPr>
              <w:spacing w:after="40" w:before="40" w:line="252" w:lineRule="auto"/>
            </w:pPr>
            <w:r>
              <w:rPr>
                <w:sz w:val="18"/>
              </w:rPr>
              <w:t>Vite</w:t>
            </w:r>
          </w:p>
        </w:tc>
        <w:tc>
          <w:tcPr>
            <w:tcW w:type="dxa" w:w="2327"/>
            <w:tcBorders>
              <w:top w:val="nil" w:sz="6" w:color="C7D6E5"/>
              <w:bottom w:val="single" w:sz="6" w:color="C7D6E5"/>
              <w:left w:val="nil" w:sz="6" w:color="C7D6E5"/>
              <w:right w:val="nil" w:sz="6" w:color="C7D6E5"/>
            </w:tcBorders>
          </w:tcPr>
          <w:p>
            <w:pPr>
              <w:spacing w:after="40" w:before="40" w:line="252" w:lineRule="auto"/>
            </w:pPr>
            <w:r>
              <w:rPr>
                <w:sz w:val="18"/>
              </w:rPr>
              <w:t>6.3.5</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Language</w:t>
            </w:r>
          </w:p>
        </w:tc>
        <w:tc>
          <w:tcPr>
            <w:tcW w:type="dxa" w:w="4768"/>
            <w:tcBorders>
              <w:top w:val="nil" w:sz="6" w:color="C7D6E5"/>
              <w:bottom w:val="single" w:sz="6" w:color="C7D6E5"/>
              <w:left w:val="nil" w:sz="6" w:color="C7D6E5"/>
              <w:right w:val="nil" w:sz="6" w:color="C7D6E5"/>
            </w:tcBorders>
          </w:tcPr>
          <w:p>
            <w:pPr>
              <w:spacing w:after="40" w:before="40" w:line="252" w:lineRule="auto"/>
            </w:pPr>
            <w:r>
              <w:rPr>
                <w:sz w:val="18"/>
              </w:rPr>
              <w:t>TypeScript</w:t>
            </w:r>
          </w:p>
        </w:tc>
        <w:tc>
          <w:tcPr>
            <w:tcW w:type="dxa" w:w="2327"/>
            <w:tcBorders>
              <w:top w:val="nil" w:sz="6" w:color="C7D6E5"/>
              <w:bottom w:val="single" w:sz="6" w:color="C7D6E5"/>
              <w:left w:val="nil" w:sz="6" w:color="C7D6E5"/>
              <w:right w:val="nil" w:sz="6" w:color="C7D6E5"/>
            </w:tcBorders>
          </w:tcPr>
          <w:p>
            <w:pPr>
              <w:spacing w:after="40" w:before="40" w:line="252" w:lineRule="auto"/>
            </w:pPr>
            <w:r>
              <w:rPr>
                <w:sz w:val="18"/>
              </w:rPr>
              <w:t>5.9.3</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Styling</w:t>
            </w:r>
          </w:p>
        </w:tc>
        <w:tc>
          <w:tcPr>
            <w:tcW w:type="dxa" w:w="4768"/>
            <w:tcBorders>
              <w:top w:val="nil" w:sz="6" w:color="C7D6E5"/>
              <w:bottom w:val="single" w:sz="6" w:color="C7D6E5"/>
              <w:left w:val="nil" w:sz="6" w:color="C7D6E5"/>
              <w:right w:val="nil" w:sz="6" w:color="C7D6E5"/>
            </w:tcBorders>
          </w:tcPr>
          <w:p>
            <w:pPr>
              <w:spacing w:after="40" w:before="40" w:line="252" w:lineRule="auto"/>
            </w:pPr>
            <w:r>
              <w:rPr>
                <w:sz w:val="18"/>
              </w:rPr>
              <w:t xml:space="preserve">Tailwind CSS (Vite plugin) plus a hand-written </w:t>
            </w:r>
            <w:r>
              <w:rPr>
                <w:rFonts w:ascii="Consolas" w:hAnsi="Consolas"/>
                <w:sz w:val="17"/>
              </w:rPr>
              <w:t>landing.css</w:t>
            </w:r>
          </w:p>
        </w:tc>
        <w:tc>
          <w:tcPr>
            <w:tcW w:type="dxa" w:w="2327"/>
            <w:tcBorders>
              <w:top w:val="nil" w:sz="6" w:color="C7D6E5"/>
              <w:bottom w:val="single" w:sz="6" w:color="C7D6E5"/>
              <w:left w:val="nil" w:sz="6" w:color="C7D6E5"/>
              <w:right w:val="nil" w:sz="6" w:color="C7D6E5"/>
            </w:tcBorders>
          </w:tcPr>
          <w:p>
            <w:pPr>
              <w:spacing w:after="40" w:before="40" w:line="252" w:lineRule="auto"/>
            </w:pPr>
            <w:r>
              <w:rPr>
                <w:sz w:val="18"/>
              </w:rPr>
              <w:t>4.1.8</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Routing</w:t>
            </w:r>
          </w:p>
        </w:tc>
        <w:tc>
          <w:tcPr>
            <w:tcW w:type="dxa" w:w="4768"/>
            <w:tcBorders>
              <w:top w:val="nil" w:sz="6" w:color="C7D6E5"/>
              <w:bottom w:val="single" w:sz="6" w:color="C7D6E5"/>
              <w:left w:val="nil" w:sz="6" w:color="C7D6E5"/>
              <w:right w:val="nil" w:sz="6" w:color="C7D6E5"/>
            </w:tcBorders>
          </w:tcPr>
          <w:p>
            <w:pPr>
              <w:spacing w:after="40" w:before="40" w:line="252" w:lineRule="auto"/>
            </w:pPr>
            <w:r>
              <w:rPr>
                <w:sz w:val="18"/>
              </w:rPr>
              <w:t>React Router DOM</w:t>
            </w:r>
          </w:p>
        </w:tc>
        <w:tc>
          <w:tcPr>
            <w:tcW w:type="dxa" w:w="2327"/>
            <w:tcBorders>
              <w:top w:val="nil" w:sz="6" w:color="C7D6E5"/>
              <w:bottom w:val="single" w:sz="6" w:color="C7D6E5"/>
              <w:left w:val="nil" w:sz="6" w:color="C7D6E5"/>
              <w:right w:val="nil" w:sz="6" w:color="C7D6E5"/>
            </w:tcBorders>
          </w:tcPr>
          <w:p>
            <w:pPr>
              <w:spacing w:after="40" w:before="40" w:line="252" w:lineRule="auto"/>
            </w:pPr>
            <w:r>
              <w:rPr>
                <w:sz w:val="18"/>
              </w:rPr>
              <w:t>7.6.2</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Icons</w:t>
            </w:r>
          </w:p>
        </w:tc>
        <w:tc>
          <w:tcPr>
            <w:tcW w:type="dxa" w:w="4768"/>
            <w:tcBorders>
              <w:top w:val="nil" w:sz="6" w:color="C7D6E5"/>
              <w:bottom w:val="single" w:sz="6" w:color="C7D6E5"/>
              <w:left w:val="nil" w:sz="6" w:color="C7D6E5"/>
              <w:right w:val="nil" w:sz="6" w:color="C7D6E5"/>
            </w:tcBorders>
          </w:tcPr>
          <w:p>
            <w:pPr>
              <w:spacing w:after="40" w:before="40" w:line="252" w:lineRule="auto"/>
            </w:pPr>
            <w:r>
              <w:rPr>
                <w:sz w:val="18"/>
              </w:rPr>
              <w:t>lucide-react</w:t>
            </w:r>
          </w:p>
        </w:tc>
        <w:tc>
          <w:tcPr>
            <w:tcW w:type="dxa" w:w="2327"/>
            <w:tcBorders>
              <w:top w:val="nil" w:sz="6" w:color="C7D6E5"/>
              <w:bottom w:val="single" w:sz="6" w:color="C7D6E5"/>
              <w:left w:val="nil" w:sz="6" w:color="C7D6E5"/>
              <w:right w:val="nil" w:sz="6" w:color="C7D6E5"/>
            </w:tcBorders>
          </w:tcPr>
          <w:p>
            <w:pPr>
              <w:spacing w:after="40" w:before="40" w:line="252" w:lineRule="auto"/>
            </w:pPr>
            <w:r>
              <w:rPr>
                <w:sz w:val="18"/>
              </w:rPr>
              <w:t>0.511.0</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Package manager</w:t>
            </w:r>
          </w:p>
        </w:tc>
        <w:tc>
          <w:tcPr>
            <w:tcW w:type="dxa" w:w="4768"/>
            <w:tcBorders>
              <w:top w:val="nil" w:sz="6" w:color="C7D6E5"/>
              <w:bottom w:val="single" w:sz="6" w:color="C7D6E5"/>
              <w:left w:val="nil" w:sz="6" w:color="C7D6E5"/>
              <w:right w:val="nil" w:sz="6" w:color="C7D6E5"/>
            </w:tcBorders>
          </w:tcPr>
          <w:p>
            <w:pPr>
              <w:spacing w:after="40" w:before="40" w:line="252" w:lineRule="auto"/>
            </w:pPr>
            <w:r>
              <w:rPr>
                <w:sz w:val="18"/>
              </w:rPr>
              <w:t>Bun</w:t>
            </w:r>
          </w:p>
        </w:tc>
        <w:tc>
          <w:tcPr>
            <w:tcW w:type="dxa" w:w="2327"/>
            <w:tcBorders>
              <w:top w:val="nil" w:sz="6" w:color="C7D6E5"/>
              <w:bottom w:val="single" w:sz="6" w:color="C7D6E5"/>
              <w:left w:val="nil" w:sz="6" w:color="C7D6E5"/>
              <w:right w:val="nil" w:sz="6" w:color="C7D6E5"/>
            </w:tcBorders>
          </w:tcPr>
          <w:p>
            <w:pPr>
              <w:spacing w:after="40" w:before="40" w:line="252" w:lineRule="auto"/>
            </w:pPr>
            <w:r>
              <w:rPr>
                <w:sz w:val="18"/>
              </w:rPr>
              <w:t>1.3.14</w:t>
            </w:r>
          </w:p>
        </w:tc>
      </w:tr>
    </w:tbl>
    <w:p>
      <w:pPr>
        <w:spacing w:before="80" w:after="280"/>
      </w:pPr>
      <w:r>
        <w:rPr>
          <w:i/>
          <w:sz w:val="18"/>
        </w:rPr>
        <w:t xml:space="preserve">Note. </w:t>
      </w:r>
      <w:r>
        <w:rPr>
          <w:color w:val="5A6B7F"/>
          <w:sz w:val="18"/>
        </w:rPr>
        <w:t>The landing page is a static marketing site. It makes no network request to any backend: `src/lib/apiClient.ts` and `src/lib/useApiQuery.ts` are unused scaffolding left over from a template and are not reachable from `App.tsx`. This is represented faithfully in Figure 1.</w:t>
      </w:r>
    </w:p>
    <w:p>
      <w:pPr>
        <w:spacing w:before="240" w:after="0"/>
        <w:keepNext w:val="true"/>
      </w:pPr>
      <w:r>
        <w:rPr>
          <w:b/>
          <w:sz w:val="21"/>
        </w:rPr>
        <w:t>Table 7</w:t>
      </w:r>
    </w:p>
    <w:p>
      <w:pPr>
        <w:spacing w:after="100"/>
        <w:keepNext w:val="true"/>
      </w:pPr>
      <w:r>
        <w:rPr>
          <w:i/>
          <w:sz w:val="21"/>
        </w:rPr>
        <w:t>Development and project tooling</w:t>
      </w:r>
    </w:p>
    <w:tbl>
      <w:tblPr>
        <w:tblStyle w:val="TableGrid"/>
        <w:tblW w:type="auto" w:w="0"/>
        <w:jc w:val="center"/>
        <w:tblLayout w:type="fixed"/>
        <w:tblLook w:firstColumn="1" w:firstRow="1" w:lastColumn="0" w:lastRow="0" w:noHBand="0" w:noVBand="1" w:val="04A0"/>
        <w:tblLayout w:type="fixed"/>
      </w:tblPr>
      <w:tblGrid>
        <w:gridCol w:w="4513"/>
        <w:gridCol w:w="4513"/>
      </w:tblGrid>
      <w:tr>
        <w:trPr>
          <w:tblHeader w:val="true"/>
        </w:trPr>
        <w:tc>
          <w:tcPr>
            <w:tcW w:type="dxa" w:w="2611"/>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Tool</w:t>
            </w:r>
          </w:p>
        </w:tc>
        <w:tc>
          <w:tcPr>
            <w:tcW w:type="dxa" w:w="6414"/>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Use</w:t>
            </w:r>
          </w:p>
        </w:tc>
      </w:tr>
      <w:tr>
        <w:tc>
          <w:tcPr>
            <w:tcW w:type="dxa" w:w="2611"/>
            <w:tcBorders>
              <w:top w:val="nil" w:sz="6" w:color="C7D6E5"/>
              <w:bottom w:val="single" w:sz="6" w:color="C7D6E5"/>
              <w:left w:val="nil" w:sz="6" w:color="C7D6E5"/>
              <w:right w:val="nil" w:sz="6" w:color="C7D6E5"/>
            </w:tcBorders>
          </w:tcPr>
          <w:p>
            <w:pPr>
              <w:spacing w:after="40" w:before="40" w:line="252" w:lineRule="auto"/>
            </w:pPr>
            <w:r>
              <w:rPr>
                <w:sz w:val="18"/>
              </w:rPr>
              <w:t>Android Studio</w:t>
            </w:r>
          </w:p>
        </w:tc>
        <w:tc>
          <w:tcPr>
            <w:tcW w:type="dxa" w:w="6414"/>
            <w:tcBorders>
              <w:top w:val="nil" w:sz="6" w:color="C7D6E5"/>
              <w:bottom w:val="single" w:sz="6" w:color="C7D6E5"/>
              <w:left w:val="nil" w:sz="6" w:color="C7D6E5"/>
              <w:right w:val="nil" w:sz="6" w:color="C7D6E5"/>
            </w:tcBorders>
          </w:tcPr>
          <w:p>
            <w:pPr>
              <w:spacing w:after="40" w:before="40" w:line="252" w:lineRule="auto"/>
            </w:pPr>
            <w:r>
              <w:rPr>
                <w:sz w:val="18"/>
              </w:rPr>
              <w:t>Primary IDE for the Kotlin application.</w:t>
            </w:r>
          </w:p>
        </w:tc>
      </w:tr>
      <w:tr>
        <w:tc>
          <w:tcPr>
            <w:tcW w:type="dxa" w:w="2611"/>
            <w:tcBorders>
              <w:top w:val="nil" w:sz="6" w:color="C7D6E5"/>
              <w:bottom w:val="single" w:sz="6" w:color="C7D6E5"/>
              <w:left w:val="nil" w:sz="6" w:color="C7D6E5"/>
              <w:right w:val="nil" w:sz="6" w:color="C7D6E5"/>
            </w:tcBorders>
          </w:tcPr>
          <w:p>
            <w:pPr>
              <w:spacing w:after="40" w:before="40" w:line="252" w:lineRule="auto"/>
            </w:pPr>
            <w:r>
              <w:rPr>
                <w:sz w:val="18"/>
              </w:rPr>
              <w:t>Gradle 8.x with the Kotlin DSL</w:t>
            </w:r>
          </w:p>
        </w:tc>
        <w:tc>
          <w:tcPr>
            <w:tcW w:type="dxa" w:w="6414"/>
            <w:tcBorders>
              <w:top w:val="nil" w:sz="6" w:color="C7D6E5"/>
              <w:bottom w:val="single" w:sz="6" w:color="C7D6E5"/>
              <w:left w:val="nil" w:sz="6" w:color="C7D6E5"/>
              <w:right w:val="nil" w:sz="6" w:color="C7D6E5"/>
            </w:tcBorders>
          </w:tcPr>
          <w:p>
            <w:pPr>
              <w:spacing w:after="40" w:before="40" w:line="252" w:lineRule="auto"/>
            </w:pPr>
            <w:r>
              <w:rPr>
                <w:sz w:val="18"/>
              </w:rPr>
              <w:t xml:space="preserve">Build, dependency resolution and </w:t>
            </w:r>
            <w:r>
              <w:rPr>
                <w:rFonts w:ascii="Consolas" w:hAnsi="Consolas"/>
                <w:sz w:val="17"/>
              </w:rPr>
              <w:t>BuildConfig</w:t>
            </w:r>
            <w:r>
              <w:rPr>
                <w:sz w:val="18"/>
              </w:rPr>
              <w:t xml:space="preserve"> credential injection.</w:t>
            </w:r>
          </w:p>
        </w:tc>
      </w:tr>
      <w:tr>
        <w:tc>
          <w:tcPr>
            <w:tcW w:type="dxa" w:w="2611"/>
            <w:tcBorders>
              <w:top w:val="nil" w:sz="6" w:color="C7D6E5"/>
              <w:bottom w:val="single" w:sz="6" w:color="C7D6E5"/>
              <w:left w:val="nil" w:sz="6" w:color="C7D6E5"/>
              <w:right w:val="nil" w:sz="6" w:color="C7D6E5"/>
            </w:tcBorders>
          </w:tcPr>
          <w:p>
            <w:pPr>
              <w:spacing w:after="40" w:before="40" w:line="252" w:lineRule="auto"/>
            </w:pPr>
            <w:r>
              <w:rPr>
                <w:sz w:val="18"/>
              </w:rPr>
              <w:t>Git and GitHub</w:t>
            </w:r>
          </w:p>
        </w:tc>
        <w:tc>
          <w:tcPr>
            <w:tcW w:type="dxa" w:w="6414"/>
            <w:tcBorders>
              <w:top w:val="nil" w:sz="6" w:color="C7D6E5"/>
              <w:bottom w:val="single" w:sz="6" w:color="C7D6E5"/>
              <w:left w:val="nil" w:sz="6" w:color="C7D6E5"/>
              <w:right w:val="nil" w:sz="6" w:color="C7D6E5"/>
            </w:tcBorders>
          </w:tcPr>
          <w:p>
            <w:pPr>
              <w:spacing w:after="40" w:before="40" w:line="252" w:lineRule="auto"/>
            </w:pPr>
            <w:r>
              <w:rPr>
                <w:sz w:val="18"/>
              </w:rPr>
              <w:t>Version control; the repository is the primary submission artefact.</w:t>
            </w:r>
          </w:p>
        </w:tc>
      </w:tr>
      <w:tr>
        <w:tc>
          <w:tcPr>
            <w:tcW w:type="dxa" w:w="2611"/>
            <w:tcBorders>
              <w:top w:val="nil" w:sz="6" w:color="C7D6E5"/>
              <w:bottom w:val="single" w:sz="6" w:color="C7D6E5"/>
              <w:left w:val="nil" w:sz="6" w:color="C7D6E5"/>
              <w:right w:val="nil" w:sz="6" w:color="C7D6E5"/>
            </w:tcBorders>
          </w:tcPr>
          <w:p>
            <w:pPr>
              <w:spacing w:after="40" w:before="40" w:line="252" w:lineRule="auto"/>
            </w:pPr>
            <w:r>
              <w:rPr>
                <w:sz w:val="18"/>
              </w:rPr>
              <w:t>Supabase SQL Editor</w:t>
            </w:r>
          </w:p>
        </w:tc>
        <w:tc>
          <w:tcPr>
            <w:tcW w:type="dxa" w:w="6414"/>
            <w:tcBorders>
              <w:top w:val="nil" w:sz="6" w:color="C7D6E5"/>
              <w:bottom w:val="single" w:sz="6" w:color="C7D6E5"/>
              <w:left w:val="nil" w:sz="6" w:color="C7D6E5"/>
              <w:right w:val="nil" w:sz="6" w:color="C7D6E5"/>
            </w:tcBorders>
          </w:tcPr>
          <w:p>
            <w:pPr>
              <w:spacing w:after="40" w:before="40" w:line="252" w:lineRule="auto"/>
            </w:pPr>
            <w:r>
              <w:rPr>
                <w:sz w:val="18"/>
              </w:rPr>
              <w:t xml:space="preserve">Applying </w:t>
            </w:r>
            <w:r>
              <w:rPr>
                <w:rFonts w:ascii="Consolas" w:hAnsi="Consolas"/>
                <w:sz w:val="17"/>
              </w:rPr>
              <w:t>supabase/schema.sql</w:t>
            </w:r>
            <w:r>
              <w:rPr>
                <w:sz w:val="18"/>
              </w:rPr>
              <w:t xml:space="preserve"> and </w:t>
            </w:r>
            <w:r>
              <w:rPr>
                <w:rFonts w:ascii="Consolas" w:hAnsi="Consolas"/>
                <w:sz w:val="17"/>
              </w:rPr>
              <w:t>supabase/update_v2.sql</w:t>
            </w:r>
            <w:r>
              <w:rPr>
                <w:sz w:val="18"/>
              </w:rPr>
              <w:t>.</w:t>
            </w:r>
          </w:p>
        </w:tc>
      </w:tr>
      <w:tr>
        <w:tc>
          <w:tcPr>
            <w:tcW w:type="dxa" w:w="2611"/>
            <w:tcBorders>
              <w:top w:val="nil" w:sz="6" w:color="C7D6E5"/>
              <w:bottom w:val="single" w:sz="6" w:color="C7D6E5"/>
              <w:left w:val="nil" w:sz="6" w:color="C7D6E5"/>
              <w:right w:val="nil" w:sz="6" w:color="C7D6E5"/>
            </w:tcBorders>
          </w:tcPr>
          <w:p>
            <w:pPr>
              <w:spacing w:after="40" w:before="40" w:line="252" w:lineRule="auto"/>
            </w:pPr>
            <w:r>
              <w:rPr>
                <w:sz w:val="18"/>
              </w:rPr>
              <w:t>Clerk Dashboard</w:t>
            </w:r>
          </w:p>
        </w:tc>
        <w:tc>
          <w:tcPr>
            <w:tcW w:type="dxa" w:w="6414"/>
            <w:tcBorders>
              <w:top w:val="nil" w:sz="6" w:color="C7D6E5"/>
              <w:bottom w:val="single" w:sz="6" w:color="C7D6E5"/>
              <w:left w:val="nil" w:sz="6" w:color="C7D6E5"/>
              <w:right w:val="nil" w:sz="6" w:color="C7D6E5"/>
            </w:tcBorders>
          </w:tcPr>
          <w:p>
            <w:pPr>
              <w:spacing w:after="40" w:before="40" w:line="252" w:lineRule="auto"/>
            </w:pPr>
            <w:r>
              <w:rPr>
                <w:sz w:val="18"/>
              </w:rPr>
              <w:t>Enabling email and password authentication and issuing the publishable key.</w:t>
            </w:r>
          </w:p>
        </w:tc>
      </w:tr>
      <w:tr>
        <w:tc>
          <w:tcPr>
            <w:tcW w:type="dxa" w:w="2611"/>
            <w:tcBorders>
              <w:top w:val="nil" w:sz="6" w:color="C7D6E5"/>
              <w:bottom w:val="single" w:sz="6" w:color="C7D6E5"/>
              <w:left w:val="nil" w:sz="6" w:color="C7D6E5"/>
              <w:right w:val="nil" w:sz="6" w:color="C7D6E5"/>
            </w:tcBorders>
          </w:tcPr>
          <w:p>
            <w:pPr>
              <w:spacing w:after="40" w:before="40" w:line="252" w:lineRule="auto"/>
            </w:pPr>
            <w:r>
              <w:rPr>
                <w:sz w:val="18"/>
              </w:rPr>
              <w:t xml:space="preserve">JUnit 4 via </w:t>
            </w:r>
            <w:r>
              <w:rPr>
                <w:rFonts w:ascii="Consolas" w:hAnsi="Consolas"/>
                <w:sz w:val="17"/>
              </w:rPr>
              <w:t>./gradlew :app:test</w:t>
            </w:r>
          </w:p>
        </w:tc>
        <w:tc>
          <w:tcPr>
            <w:tcW w:type="dxa" w:w="6414"/>
            <w:tcBorders>
              <w:top w:val="nil" w:sz="6" w:color="C7D6E5"/>
              <w:bottom w:val="single" w:sz="6" w:color="C7D6E5"/>
              <w:left w:val="nil" w:sz="6" w:color="C7D6E5"/>
              <w:right w:val="nil" w:sz="6" w:color="C7D6E5"/>
            </w:tcBorders>
          </w:tcPr>
          <w:p>
            <w:pPr>
              <w:spacing w:after="40" w:before="40" w:line="252" w:lineRule="auto"/>
            </w:pPr>
            <w:r>
              <w:rPr>
                <w:sz w:val="18"/>
              </w:rPr>
              <w:t>Running the engine and validator test suites.</w:t>
            </w:r>
          </w:p>
        </w:tc>
      </w:tr>
      <w:tr>
        <w:tc>
          <w:tcPr>
            <w:tcW w:type="dxa" w:w="2611"/>
            <w:tcBorders>
              <w:top w:val="nil" w:sz="6" w:color="C7D6E5"/>
              <w:bottom w:val="single" w:sz="6" w:color="C7D6E5"/>
              <w:left w:val="nil" w:sz="6" w:color="C7D6E5"/>
              <w:right w:val="nil" w:sz="6" w:color="C7D6E5"/>
            </w:tcBorders>
          </w:tcPr>
          <w:p>
            <w:pPr>
              <w:spacing w:after="40" w:before="40" w:line="252" w:lineRule="auto"/>
            </w:pPr>
            <w:r>
              <w:rPr>
                <w:sz w:val="18"/>
              </w:rPr>
              <w:t>Claude Code (Anthropic)</w:t>
            </w:r>
          </w:p>
        </w:tc>
        <w:tc>
          <w:tcPr>
            <w:tcW w:type="dxa" w:w="6414"/>
            <w:tcBorders>
              <w:top w:val="nil" w:sz="6" w:color="C7D6E5"/>
              <w:bottom w:val="single" w:sz="6" w:color="C7D6E5"/>
              <w:left w:val="nil" w:sz="6" w:color="C7D6E5"/>
              <w:right w:val="nil" w:sz="6" w:color="C7D6E5"/>
            </w:tcBorders>
          </w:tcPr>
          <w:p>
            <w:pPr>
              <w:spacing w:after="40" w:before="40" w:line="252" w:lineRule="auto"/>
            </w:pPr>
            <w:r>
              <w:rPr>
                <w:sz w:val="18"/>
              </w:rPr>
              <w:t>AI pair-programming assistant; usage is declared in Section 20.</w:t>
            </w:r>
          </w:p>
        </w:tc>
      </w:tr>
    </w:tbl>
    <w:p>
      <w:pPr>
        <w:spacing w:after="120"/>
      </w:pPr>
    </w:p>
    <w:p>
      <w:pPr>
        <w:pStyle w:val="Heading1"/>
      </w:pPr>
      <w:r>
        <w:t>6. System Architecture</w:t>
      </w:r>
    </w:p>
    <w:p>
      <w:pPr>
        <w:pStyle w:val="Heading2"/>
      </w:pPr>
      <w:r>
        <w:t>6.1 Architectural Pattern and Justification</w:t>
      </w:r>
    </w:p>
    <w:p>
      <w:pPr>
        <w:spacing w:after="160"/>
      </w:pPr>
      <w:r>
        <w:t xml:space="preserve">TDM Insight uses a </w:t>
      </w:r>
      <w:r>
        <w:rPr>
          <w:b/>
        </w:rPr>
        <w:t>layered architecture organised around the Model–View–ViewModel pattern</w:t>
      </w:r>
      <w:r>
        <w:t>, which is the architecture Google recommends for modern Android applications (Google, 2024a). Four considerations made it the right choice here.</w:t>
      </w:r>
    </w:p>
    <w:p>
      <w:pPr>
        <w:tabs>
          <w:tab w:pos="567" w:val="left"/>
        </w:tabs>
        <w:spacing w:after="80" w:line="288" w:lineRule="auto"/>
        <w:ind w:left="567" w:hanging="567"/>
      </w:pPr>
      <w:r>
        <w:rPr>
          <w:b/>
        </w:rPr>
        <w:t>1.</w:t>
      </w:r>
      <w:r>
        <w:tab/>
      </w:r>
      <w:r>
        <w:rPr>
          <w:b/>
        </w:rPr>
        <w:t>Testability of the engine.</w:t>
      </w:r>
      <w:r>
        <w:t xml:space="preserve"> The assessment rubric weights functionality and code quality at forty-five per cent combined, and the case study calls the calculation engine the application's main technical component. Isolating that engine in a layer with no Android dependency means it can be exercised by plain JVM unit tests that run in under a second, without an emulator.</w:t>
      </w:r>
    </w:p>
    <w:p>
      <w:pPr>
        <w:tabs>
          <w:tab w:pos="567" w:val="left"/>
        </w:tabs>
        <w:spacing w:after="80" w:line="288" w:lineRule="auto"/>
        <w:ind w:left="567" w:hanging="567"/>
      </w:pPr>
      <w:r>
        <w:rPr>
          <w:b/>
        </w:rPr>
        <w:t>2.</w:t>
      </w:r>
      <w:r>
        <w:tab/>
      </w:r>
      <w:r>
        <w:rPr>
          <w:b/>
        </w:rPr>
        <w:t>Natural fit with Compose.</w:t>
      </w:r>
      <w:r>
        <w:t xml:space="preserve"> A </w:t>
      </w:r>
      <w:r>
        <w:rPr>
          <w:rFonts w:ascii="Consolas" w:hAnsi="Consolas"/>
          <w:sz w:val="19"/>
        </w:rPr>
        <w:t>StateFlow</w:t>
      </w:r>
      <w:r>
        <w:t xml:space="preserve"> exposed by a ViewModel is consumed by a Composable through </w:t>
      </w:r>
      <w:r>
        <w:rPr>
          <w:rFonts w:ascii="Consolas" w:hAnsi="Consolas"/>
          <w:sz w:val="19"/>
        </w:rPr>
        <w:t>collectAsState()</w:t>
      </w:r>
      <w:r>
        <w:t>, so recomposition is driven by state change rather than by imperative view updates.</w:t>
      </w:r>
    </w:p>
    <w:p>
      <w:pPr>
        <w:tabs>
          <w:tab w:pos="567" w:val="left"/>
        </w:tabs>
        <w:spacing w:after="80" w:line="288" w:lineRule="auto"/>
        <w:ind w:left="567" w:hanging="567"/>
      </w:pPr>
      <w:r>
        <w:rPr>
          <w:b/>
        </w:rPr>
        <w:t>3.</w:t>
      </w:r>
      <w:r>
        <w:tab/>
      </w:r>
      <w:r>
        <w:rPr>
          <w:b/>
        </w:rPr>
        <w:t>Survival of configuration change.</w:t>
      </w:r>
      <w:r>
        <w:t xml:space="preserve"> ViewModels outlive activity recreation, so the five-step wizard does not lose the user's input when the device is rotated. This directly satisfies NFR-08.</w:t>
      </w:r>
    </w:p>
    <w:p>
      <w:pPr>
        <w:tabs>
          <w:tab w:pos="567" w:val="left"/>
        </w:tabs>
        <w:spacing w:after="80" w:line="288" w:lineRule="auto"/>
        <w:ind w:left="567" w:hanging="567"/>
      </w:pPr>
      <w:r>
        <w:rPr>
          <w:b/>
        </w:rPr>
        <w:t>4.</w:t>
      </w:r>
      <w:r>
        <w:tab/>
      </w:r>
      <w:r>
        <w:rPr>
          <w:b/>
        </w:rPr>
        <w:t>Avoidance of the “massive activity” anti-pattern.</w:t>
      </w:r>
      <w:r>
        <w:t xml:space="preserve"> The application has a single activity of roughly 260 lines whose only responsibilities are theming and the authentication gate.</w:t>
      </w:r>
    </w:p>
    <w:p>
      <w:pPr>
        <w:spacing w:after="160"/>
      </w:pPr>
      <w:r>
        <w:t xml:space="preserve">Dependency injection is performed manually. </w:t>
      </w:r>
      <w:r>
        <w:rPr>
          <w:rFonts w:ascii="Consolas" w:hAnsi="Consolas"/>
          <w:sz w:val="19"/>
        </w:rPr>
        <w:t>TdmApplication</w:t>
      </w:r>
      <w:r>
        <w:t xml:space="preserve"> holds four lazily initialised singletons — the Supabase client, the Clerk authentication manager, the authentication repository and the Supabase repository — and </w:t>
      </w:r>
      <w:r>
        <w:rPr>
          <w:rFonts w:ascii="Consolas" w:hAnsi="Consolas"/>
          <w:sz w:val="19"/>
        </w:rPr>
        <w:t>AndroidViewModel</w:t>
      </w:r>
      <w:r>
        <w:t xml:space="preserve"> subclasses reach them through the application instance. For four objects this is simpler and more transparent than introducing Hilt or Koin, and it keeps the dependency graph explicit enough for a student to defend in a viva.</w:t>
      </w:r>
    </w:p>
    <w:p>
      <w:pPr>
        <w:pStyle w:val="Heading2"/>
      </w:pPr>
      <w:r>
        <w:t>6.2 The Architecture in Detail</w:t>
      </w:r>
    </w:p>
    <w:p>
      <w:pPr>
        <w:spacing w:before="200" w:after="0"/>
        <w:keepNext w:val="true"/>
      </w:pPr>
      <w:r>
        <w:rPr>
          <w:b/>
          <w:sz w:val="21"/>
        </w:rPr>
        <w:t>Figure 1</w:t>
      </w:r>
    </w:p>
    <w:p>
      <w:pPr>
        <w:spacing w:after="120"/>
        <w:keepNext w:val="true"/>
      </w:pPr>
      <w:r>
        <w:rPr>
          <w:i/>
          <w:sz w:val="21"/>
        </w:rPr>
        <w:t>Layered system architecture of TDM Insight</w:t>
      </w:r>
    </w:p>
    <w:p>
      <w:pPr>
        <w:spacing w:after="80"/>
        <w:jc w:val="center"/>
      </w:pPr>
      <w:r>
        <w:drawing>
          <wp:inline xmlns:a="http://schemas.openxmlformats.org/drawingml/2006/main" xmlns:pic="http://schemas.openxmlformats.org/drawingml/2006/picture">
            <wp:extent cx="5669280" cy="3602173"/>
            <wp:docPr id="1" name="Picture 1"/>
            <wp:cNvGraphicFramePr>
              <a:graphicFrameLocks noChangeAspect="1"/>
            </wp:cNvGraphicFramePr>
            <a:graphic>
              <a:graphicData uri="http://schemas.openxmlformats.org/drawingml/2006/picture">
                <pic:pic>
                  <pic:nvPicPr>
                    <pic:cNvPr id="0" name="fig01-architecture.png"/>
                    <pic:cNvPicPr/>
                  </pic:nvPicPr>
                  <pic:blipFill>
                    <a:blip r:embed="rId12"/>
                    <a:stretch>
                      <a:fillRect/>
                    </a:stretch>
                  </pic:blipFill>
                  <pic:spPr>
                    <a:xfrm>
                      <a:off x="0" y="0"/>
                      <a:ext cx="5669280" cy="3602173"/>
                    </a:xfrm>
                    <a:prstGeom prst="rect"/>
                  </pic:spPr>
                </pic:pic>
              </a:graphicData>
            </a:graphic>
          </wp:inline>
        </w:drawing>
      </w:r>
    </w:p>
    <w:p>
      <w:pPr>
        <w:spacing w:after="280"/>
      </w:pPr>
      <w:r>
        <w:rPr>
          <w:i/>
          <w:sz w:val="18"/>
        </w:rPr>
        <w:t xml:space="preserve">Note. </w:t>
      </w:r>
      <w:r>
        <w:rPr>
          <w:color w:val="5A6B7F"/>
          <w:sz w:val="18"/>
        </w:rPr>
        <w:t>Solid arrows are synchronous calls; open arrows are reactive state emissions. The dashed box records that the landing page has no server-side component. Derived from the Android source tree and `landingPage/src/`.</w:t>
      </w:r>
    </w:p>
    <w:p>
      <w:pPr>
        <w:spacing w:before="240" w:after="0"/>
        <w:keepNext w:val="true"/>
      </w:pPr>
      <w:r>
        <w:rPr>
          <w:b/>
          <w:sz w:val="21"/>
        </w:rPr>
        <w:t>Table 8</w:t>
      </w:r>
    </w:p>
    <w:p>
      <w:pPr>
        <w:spacing w:after="100"/>
        <w:keepNext w:val="true"/>
      </w:pPr>
      <w:r>
        <w:rPr>
          <w:i/>
          <w:sz w:val="21"/>
        </w:rPr>
        <w:t>Responsibilities of each architectural layer</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1362"/>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Layer</w:t>
            </w:r>
          </w:p>
        </w:tc>
        <w:tc>
          <w:tcPr>
            <w:tcW w:type="dxa" w:w="2498"/>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Package</w:t>
            </w:r>
          </w:p>
        </w:tc>
        <w:tc>
          <w:tcPr>
            <w:tcW w:type="dxa" w:w="3065"/>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Responsibility</w:t>
            </w:r>
          </w:p>
        </w:tc>
        <w:tc>
          <w:tcPr>
            <w:tcW w:type="dxa" w:w="2100"/>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Must not</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Presentation</w:t>
            </w:r>
          </w:p>
        </w:tc>
        <w:tc>
          <w:tcPr>
            <w:tcW w:type="dxa" w:w="2498"/>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ui.screens</w:t>
            </w:r>
            <w:r>
              <w:rPr>
                <w:sz w:val="18"/>
              </w:rPr>
              <w:t xml:space="preserve">, </w:t>
            </w:r>
            <w:r>
              <w:rPr>
                <w:rFonts w:ascii="Consolas" w:hAnsi="Consolas"/>
                <w:sz w:val="17"/>
              </w:rPr>
              <w:t>ui.navigation</w:t>
            </w:r>
            <w:r>
              <w:rPr>
                <w:sz w:val="18"/>
              </w:rPr>
              <w:t xml:space="preserve">, </w:t>
            </w:r>
            <w:r>
              <w:rPr>
                <w:rFonts w:ascii="Consolas" w:hAnsi="Consolas"/>
                <w:sz w:val="17"/>
              </w:rPr>
              <w:t>ui.theme</w:t>
            </w:r>
            <w:r>
              <w:rPr>
                <w:sz w:val="18"/>
              </w:rPr>
              <w:t xml:space="preserve">, </w:t>
            </w:r>
            <w:r>
              <w:rPr>
                <w:rFonts w:ascii="Consolas" w:hAnsi="Consolas"/>
                <w:sz w:val="17"/>
              </w:rPr>
              <w:t>ui.components</w:t>
            </w:r>
          </w:p>
        </w:tc>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Render state, collect user input, navigate.</w:t>
            </w:r>
          </w:p>
        </w:tc>
        <w:tc>
          <w:tcPr>
            <w:tcW w:type="dxa" w:w="2100"/>
            <w:tcBorders>
              <w:top w:val="nil" w:sz="6" w:color="C7D6E5"/>
              <w:bottom w:val="single" w:sz="6" w:color="C7D6E5"/>
              <w:left w:val="nil" w:sz="6" w:color="C7D6E5"/>
              <w:right w:val="nil" w:sz="6" w:color="C7D6E5"/>
            </w:tcBorders>
          </w:tcPr>
          <w:p>
            <w:pPr>
              <w:spacing w:after="40" w:before="40" w:line="252" w:lineRule="auto"/>
            </w:pPr>
            <w:r>
              <w:rPr>
                <w:sz w:val="18"/>
              </w:rPr>
              <w:t>Contain arithmetic, validation rules or network calls.</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ViewModel</w:t>
            </w:r>
          </w:p>
        </w:tc>
        <w:tc>
          <w:tcPr>
            <w:tcW w:type="dxa" w:w="2498"/>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viewmodel</w:t>
            </w:r>
          </w:p>
        </w:tc>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 xml:space="preserve">Hold immutable UI state, orchestrate calls into the domain and data layers, expose </w:t>
            </w:r>
            <w:r>
              <w:rPr>
                <w:rFonts w:ascii="Consolas" w:hAnsi="Consolas"/>
                <w:sz w:val="17"/>
              </w:rPr>
              <w:t>StateFlow</w:t>
            </w:r>
            <w:r>
              <w:rPr>
                <w:sz w:val="18"/>
              </w:rPr>
              <w:t>.</w:t>
            </w:r>
          </w:p>
        </w:tc>
        <w:tc>
          <w:tcPr>
            <w:tcW w:type="dxa" w:w="2100"/>
            <w:tcBorders>
              <w:top w:val="nil" w:sz="6" w:color="C7D6E5"/>
              <w:bottom w:val="single" w:sz="6" w:color="C7D6E5"/>
              <w:left w:val="nil" w:sz="6" w:color="C7D6E5"/>
              <w:right w:val="nil" w:sz="6" w:color="C7D6E5"/>
            </w:tcBorders>
          </w:tcPr>
          <w:p>
            <w:pPr>
              <w:spacing w:after="40" w:before="40" w:line="252" w:lineRule="auto"/>
            </w:pPr>
            <w:r>
              <w:rPr>
                <w:sz w:val="18"/>
              </w:rPr>
              <w:t>Contain pharmacokinetic formulas.</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Domain</w:t>
            </w:r>
          </w:p>
        </w:tc>
        <w:tc>
          <w:tcPr>
            <w:tcW w:type="dxa" w:w="2498"/>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domain.engine</w:t>
            </w:r>
            <w:r>
              <w:rPr>
                <w:sz w:val="18"/>
              </w:rPr>
              <w:t xml:space="preserve">, </w:t>
            </w:r>
            <w:r>
              <w:rPr>
                <w:rFonts w:ascii="Consolas" w:hAnsi="Consolas"/>
                <w:sz w:val="17"/>
              </w:rPr>
              <w:t>data.model</w:t>
            </w:r>
            <w:r>
              <w:rPr>
                <w:sz w:val="18"/>
              </w:rPr>
              <w:t xml:space="preserve">, </w:t>
            </w:r>
            <w:r>
              <w:rPr>
                <w:rFonts w:ascii="Consolas" w:hAnsi="Consolas"/>
                <w:sz w:val="17"/>
              </w:rPr>
              <w:t>data.validation</w:t>
            </w:r>
          </w:p>
        </w:tc>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Validate structured input and compute pharmacokinetic parameters.</w:t>
            </w:r>
          </w:p>
        </w:tc>
        <w:tc>
          <w:tcPr>
            <w:tcW w:type="dxa" w:w="2100"/>
            <w:tcBorders>
              <w:top w:val="nil" w:sz="6" w:color="C7D6E5"/>
              <w:bottom w:val="single" w:sz="6" w:color="C7D6E5"/>
              <w:left w:val="nil" w:sz="6" w:color="C7D6E5"/>
              <w:right w:val="nil" w:sz="6" w:color="C7D6E5"/>
            </w:tcBorders>
          </w:tcPr>
          <w:p>
            <w:pPr>
              <w:spacing w:after="40" w:before="40" w:line="252" w:lineRule="auto"/>
            </w:pPr>
            <w:r>
              <w:rPr>
                <w:sz w:val="18"/>
              </w:rPr>
              <w:t>Import anything from the Android framework.</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Data</w:t>
            </w:r>
          </w:p>
        </w:tc>
        <w:tc>
          <w:tcPr>
            <w:tcW w:type="dxa" w:w="2498"/>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data.supabase</w:t>
            </w:r>
            <w:r>
              <w:rPr>
                <w:sz w:val="18"/>
              </w:rPr>
              <w:t xml:space="preserve">, </w:t>
            </w:r>
            <w:r>
              <w:rPr>
                <w:rFonts w:ascii="Consolas" w:hAnsi="Consolas"/>
                <w:sz w:val="17"/>
              </w:rPr>
              <w:t>auth</w:t>
            </w:r>
          </w:p>
        </w:tc>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Map domain objects to and from wire formats; own all network and persistence access.</w:t>
            </w:r>
          </w:p>
        </w:tc>
        <w:tc>
          <w:tcPr>
            <w:tcW w:type="dxa" w:w="2100"/>
            <w:tcBorders>
              <w:top w:val="nil" w:sz="6" w:color="C7D6E5"/>
              <w:bottom w:val="single" w:sz="6" w:color="C7D6E5"/>
              <w:left w:val="nil" w:sz="6" w:color="C7D6E5"/>
              <w:right w:val="nil" w:sz="6" w:color="C7D6E5"/>
            </w:tcBorders>
          </w:tcPr>
          <w:p>
            <w:pPr>
              <w:spacing w:after="40" w:before="40" w:line="252" w:lineRule="auto"/>
            </w:pPr>
            <w:r>
              <w:rPr>
                <w:sz w:val="18"/>
              </w:rPr>
              <w:t>Decide business rules or format values for display.</w:t>
            </w:r>
          </w:p>
        </w:tc>
      </w:tr>
    </w:tbl>
    <w:p>
      <w:pPr>
        <w:spacing w:after="120"/>
      </w:pPr>
    </w:p>
    <w:p>
      <w:pPr>
        <w:pStyle w:val="Heading2"/>
      </w:pPr>
      <w:r>
        <w:t>6.3 Layer Interaction</w:t>
      </w:r>
    </w:p>
    <w:p>
      <w:pPr>
        <w:spacing w:after="160"/>
      </w:pPr>
      <w:r>
        <w:t xml:space="preserve">The interaction is strictly downward for calls and upward for state. </w:t>
      </w:r>
      <w:r>
        <w:rPr>
          <w:rFonts w:ascii="Consolas" w:hAnsi="Consolas"/>
          <w:sz w:val="19"/>
        </w:rPr>
        <w:t>HomeScreen</w:t>
      </w:r>
      <w:r>
        <w:t xml:space="preserve"> collects </w:t>
      </w:r>
      <w:r>
        <w:rPr>
          <w:rFonts w:ascii="Consolas" w:hAnsi="Consolas"/>
          <w:sz w:val="19"/>
        </w:rPr>
        <w:t>HistoryViewModel.entries</w:t>
      </w:r>
      <w:r>
        <w:t xml:space="preserve">; </w:t>
      </w:r>
      <w:r>
        <w:rPr>
          <w:rFonts w:ascii="Consolas" w:hAnsi="Consolas"/>
          <w:sz w:val="19"/>
        </w:rPr>
        <w:t>HistoryViewModel</w:t>
      </w:r>
      <w:r>
        <w:t xml:space="preserve"> calls </w:t>
      </w:r>
      <w:r>
        <w:rPr>
          <w:rFonts w:ascii="Consolas" w:hAnsi="Consolas"/>
          <w:sz w:val="19"/>
        </w:rPr>
        <w:t>SupabaseRepository.loadRecentCases()</w:t>
      </w:r>
      <w:r>
        <w:t xml:space="preserve">; the repository calls PostgREST. Nothing in the domain layer knows that a repository exists, and nothing in the repository layer knows that Compose exists. The one architectural nuance worth noting is that </w:t>
      </w:r>
      <w:r>
        <w:rPr>
          <w:rFonts w:ascii="Consolas" w:hAnsi="Consolas"/>
          <w:sz w:val="19"/>
        </w:rPr>
        <w:t>HistoryEntry</w:t>
      </w:r>
      <w:r>
        <w:t xml:space="preserve">, the display model for a saved case, lives in </w:t>
      </w:r>
      <w:r>
        <w:rPr>
          <w:rFonts w:ascii="Consolas" w:hAnsi="Consolas"/>
          <w:sz w:val="19"/>
        </w:rPr>
        <w:t>ui.screens</w:t>
      </w:r>
      <w:r>
        <w:t xml:space="preserve"> and is marked </w:t>
      </w:r>
      <w:r>
        <w:rPr>
          <w:rFonts w:ascii="Consolas" w:hAnsi="Consolas"/>
          <w:sz w:val="19"/>
        </w:rPr>
        <w:t>internal</w:t>
      </w:r>
      <w:r>
        <w:t xml:space="preserve">; </w:t>
      </w:r>
      <w:r>
        <w:rPr>
          <w:rFonts w:ascii="Consolas" w:hAnsi="Consolas"/>
          <w:sz w:val="19"/>
        </w:rPr>
        <w:t>SupabaseModels.kt</w:t>
      </w:r>
      <w:r>
        <w:t xml:space="preserve"> therefore contains a </w:t>
      </w:r>
      <w:r>
        <w:rPr>
          <w:rFonts w:ascii="Consolas" w:hAnsi="Consolas"/>
          <w:sz w:val="19"/>
        </w:rPr>
        <w:t>toHistoryEntry()</w:t>
      </w:r>
      <w:r>
        <w:t xml:space="preserve"> mapper that converts the transport DTO into that display model at the data-layer boundary.</w:t>
      </w:r>
    </w:p>
    <w:p>
      <w:pPr>
        <w:pStyle w:val="Heading1"/>
      </w:pPr>
      <w:r>
        <w:t>7. Use Case Model</w:t>
      </w:r>
    </w:p>
    <w:p>
      <w:pPr>
        <w:pStyle w:val="Heading2"/>
      </w:pPr>
      <w:r>
        <w:t>7.1 Actors</w:t>
      </w:r>
    </w:p>
    <w:p>
      <w:pPr>
        <w:spacing w:before="240" w:after="0"/>
        <w:keepNext w:val="true"/>
      </w:pPr>
      <w:r>
        <w:rPr>
          <w:b/>
          <w:sz w:val="21"/>
        </w:rPr>
        <w:t>Table 9</w:t>
      </w:r>
    </w:p>
    <w:p>
      <w:pPr>
        <w:spacing w:after="100"/>
        <w:keepNext w:val="true"/>
      </w:pPr>
      <w:r>
        <w:rPr>
          <w:i/>
          <w:sz w:val="21"/>
        </w:rPr>
        <w:t>System actors</w:t>
      </w:r>
    </w:p>
    <w:tbl>
      <w:tblPr>
        <w:tblStyle w:val="TableGrid"/>
        <w:tblW w:type="auto" w:w="0"/>
        <w:jc w:val="center"/>
        <w:tblLayout w:type="fixed"/>
        <w:tblLook w:firstColumn="1" w:firstRow="1" w:lastColumn="0" w:lastRow="0" w:noHBand="0" w:noVBand="1" w:val="04A0"/>
        <w:tblLayout w:type="fixed"/>
      </w:tblPr>
      <w:tblGrid>
        <w:gridCol w:w="3009"/>
        <w:gridCol w:w="3009"/>
        <w:gridCol w:w="3009"/>
      </w:tblGrid>
      <w:tr>
        <w:trPr>
          <w:tblHeader w:val="true"/>
        </w:trPr>
        <w:tc>
          <w:tcPr>
            <w:tcW w:type="dxa" w:w="2157"/>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Actor</w:t>
            </w:r>
          </w:p>
        </w:tc>
        <w:tc>
          <w:tcPr>
            <w:tcW w:type="dxa" w:w="1589"/>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Type</w:t>
            </w:r>
          </w:p>
        </w:tc>
        <w:tc>
          <w:tcPr>
            <w:tcW w:type="dxa" w:w="5279"/>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Description</w:t>
            </w:r>
          </w:p>
        </w:tc>
      </w:tr>
      <w:tr>
        <w:tc>
          <w:tcPr>
            <w:tcW w:type="dxa" w:w="2157"/>
            <w:tcBorders>
              <w:top w:val="nil" w:sz="6" w:color="C7D6E5"/>
              <w:bottom w:val="single" w:sz="6" w:color="C7D6E5"/>
              <w:left w:val="nil" w:sz="6" w:color="C7D6E5"/>
              <w:right w:val="nil" w:sz="6" w:color="C7D6E5"/>
            </w:tcBorders>
          </w:tcPr>
          <w:p>
            <w:pPr>
              <w:spacing w:after="40" w:before="40" w:line="252" w:lineRule="auto"/>
            </w:pPr>
            <w:r>
              <w:rPr>
                <w:sz w:val="18"/>
              </w:rPr>
              <w:t>Clinical pharmacist / pharmacy student</w:t>
            </w:r>
          </w:p>
        </w:tc>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Primary human actor</w:t>
            </w:r>
          </w:p>
        </w:tc>
        <w:tc>
          <w:tcPr>
            <w:tcW w:type="dxa" w:w="5279"/>
            <w:tcBorders>
              <w:top w:val="nil" w:sz="6" w:color="C7D6E5"/>
              <w:bottom w:val="single" w:sz="6" w:color="C7D6E5"/>
              <w:left w:val="nil" w:sz="6" w:color="C7D6E5"/>
              <w:right w:val="nil" w:sz="6" w:color="C7D6E5"/>
            </w:tcBorders>
          </w:tcPr>
          <w:p>
            <w:pPr>
              <w:spacing w:after="40" w:before="40" w:line="252" w:lineRule="auto"/>
            </w:pPr>
            <w:r>
              <w:rPr>
                <w:sz w:val="18"/>
              </w:rPr>
              <w:t>Registers, signs in, creates fictional cases, selects a workflow, enters and reviews inputs, runs calculations, reads results and explanations, browses history and configures the application.</w:t>
            </w:r>
          </w:p>
        </w:tc>
      </w:tr>
      <w:tr>
        <w:tc>
          <w:tcPr>
            <w:tcW w:type="dxa" w:w="2157"/>
            <w:tcBorders>
              <w:top w:val="nil" w:sz="6" w:color="C7D6E5"/>
              <w:bottom w:val="single" w:sz="6" w:color="C7D6E5"/>
              <w:left w:val="nil" w:sz="6" w:color="C7D6E5"/>
              <w:right w:val="nil" w:sz="6" w:color="C7D6E5"/>
            </w:tcBorders>
          </w:tcPr>
          <w:p>
            <w:pPr>
              <w:spacing w:after="40" w:before="40" w:line="252" w:lineRule="auto"/>
            </w:pPr>
            <w:r>
              <w:rPr>
                <w:sz w:val="18"/>
              </w:rPr>
              <w:t>Prospective user</w:t>
            </w:r>
          </w:p>
        </w:tc>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Secondary human actor</w:t>
            </w:r>
          </w:p>
        </w:tc>
        <w:tc>
          <w:tcPr>
            <w:tcW w:type="dxa" w:w="5279"/>
            <w:tcBorders>
              <w:top w:val="nil" w:sz="6" w:color="C7D6E5"/>
              <w:bottom w:val="single" w:sz="6" w:color="C7D6E5"/>
              <w:left w:val="nil" w:sz="6" w:color="C7D6E5"/>
              <w:right w:val="nil" w:sz="6" w:color="C7D6E5"/>
            </w:tcBorders>
          </w:tcPr>
          <w:p>
            <w:pPr>
              <w:spacing w:after="40" w:before="40" w:line="252" w:lineRule="auto"/>
            </w:pPr>
            <w:r>
              <w:rPr>
                <w:sz w:val="18"/>
              </w:rPr>
              <w:t>Reaches the project through the public landing page. Has no account and does not interact with the Android application.</w:t>
            </w:r>
          </w:p>
        </w:tc>
      </w:tr>
      <w:tr>
        <w:tc>
          <w:tcPr>
            <w:tcW w:type="dxa" w:w="2157"/>
            <w:tcBorders>
              <w:top w:val="nil" w:sz="6" w:color="C7D6E5"/>
              <w:bottom w:val="single" w:sz="6" w:color="C7D6E5"/>
              <w:left w:val="nil" w:sz="6" w:color="C7D6E5"/>
              <w:right w:val="nil" w:sz="6" w:color="C7D6E5"/>
            </w:tcBorders>
          </w:tcPr>
          <w:p>
            <w:pPr>
              <w:spacing w:after="40" w:before="40" w:line="252" w:lineRule="auto"/>
            </w:pPr>
            <w:r>
              <w:rPr>
                <w:sz w:val="18"/>
              </w:rPr>
              <w:t>Clerk</w:t>
            </w:r>
          </w:p>
        </w:tc>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External system actor</w:t>
            </w:r>
          </w:p>
        </w:tc>
        <w:tc>
          <w:tcPr>
            <w:tcW w:type="dxa" w:w="5279"/>
            <w:tcBorders>
              <w:top w:val="nil" w:sz="6" w:color="C7D6E5"/>
              <w:bottom w:val="single" w:sz="6" w:color="C7D6E5"/>
              <w:left w:val="nil" w:sz="6" w:color="C7D6E5"/>
              <w:right w:val="nil" w:sz="6" w:color="C7D6E5"/>
            </w:tcBorders>
          </w:tcPr>
          <w:p>
            <w:pPr>
              <w:spacing w:after="40" w:before="40" w:line="252" w:lineRule="auto"/>
            </w:pPr>
            <w:r>
              <w:rPr>
                <w:sz w:val="18"/>
              </w:rPr>
              <w:t xml:space="preserve">Authenticates credentials and issues the session JWT. Reached over HTTPS from </w:t>
            </w:r>
            <w:r>
              <w:rPr>
                <w:rFonts w:ascii="Consolas" w:hAnsi="Consolas"/>
                <w:sz w:val="17"/>
              </w:rPr>
              <w:t>ClerkAuthManager</w:t>
            </w:r>
            <w:r>
              <w:rPr>
                <w:sz w:val="18"/>
              </w:rPr>
              <w:t xml:space="preserve"> using the Ktor client.</w:t>
            </w:r>
          </w:p>
        </w:tc>
      </w:tr>
      <w:tr>
        <w:tc>
          <w:tcPr>
            <w:tcW w:type="dxa" w:w="2157"/>
            <w:tcBorders>
              <w:top w:val="nil" w:sz="6" w:color="C7D6E5"/>
              <w:bottom w:val="single" w:sz="6" w:color="C7D6E5"/>
              <w:left w:val="nil" w:sz="6" w:color="C7D6E5"/>
              <w:right w:val="nil" w:sz="6" w:color="C7D6E5"/>
            </w:tcBorders>
          </w:tcPr>
          <w:p>
            <w:pPr>
              <w:spacing w:after="40" w:before="40" w:line="252" w:lineRule="auto"/>
            </w:pPr>
            <w:r>
              <w:rPr>
                <w:sz w:val="18"/>
              </w:rPr>
              <w:t>Supabase</w:t>
            </w:r>
          </w:p>
        </w:tc>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External system actor</w:t>
            </w:r>
          </w:p>
        </w:tc>
        <w:tc>
          <w:tcPr>
            <w:tcW w:type="dxa" w:w="5279"/>
            <w:tcBorders>
              <w:top w:val="nil" w:sz="6" w:color="C7D6E5"/>
              <w:bottom w:val="single" w:sz="6" w:color="C7D6E5"/>
              <w:left w:val="nil" w:sz="6" w:color="C7D6E5"/>
              <w:right w:val="nil" w:sz="6" w:color="C7D6E5"/>
            </w:tcBorders>
          </w:tcPr>
          <w:p>
            <w:pPr>
              <w:spacing w:after="40" w:before="40" w:line="252" w:lineRule="auto"/>
            </w:pPr>
            <w:r>
              <w:rPr>
                <w:sz w:val="18"/>
              </w:rPr>
              <w:t xml:space="preserve">Stores completed cases and returns the user's recent case rows. Reached through PostgREST by the </w:t>
            </w:r>
            <w:r>
              <w:rPr>
                <w:rFonts w:ascii="Consolas" w:hAnsi="Consolas"/>
                <w:sz w:val="17"/>
              </w:rPr>
              <w:t>postgrest-kt</w:t>
            </w:r>
            <w:r>
              <w:rPr>
                <w:sz w:val="18"/>
              </w:rPr>
              <w:t xml:space="preserve"> client.</w:t>
            </w:r>
          </w:p>
        </w:tc>
      </w:tr>
    </w:tbl>
    <w:p>
      <w:pPr>
        <w:spacing w:after="120"/>
      </w:pPr>
    </w:p>
    <w:p>
      <w:pPr>
        <w:pStyle w:val="Heading2"/>
      </w:pPr>
      <w:r>
        <w:t>7.2 Use Case Summary</w:t>
      </w:r>
    </w:p>
    <w:p>
      <w:pPr>
        <w:spacing w:before="240" w:after="0"/>
        <w:keepNext w:val="true"/>
      </w:pPr>
      <w:r>
        <w:rPr>
          <w:b/>
          <w:sz w:val="21"/>
        </w:rPr>
        <w:t>Table 10</w:t>
      </w:r>
    </w:p>
    <w:p>
      <w:pPr>
        <w:spacing w:after="100"/>
        <w:keepNext w:val="true"/>
      </w:pPr>
      <w:r>
        <w:rPr>
          <w:i/>
          <w:sz w:val="21"/>
        </w:rPr>
        <w:t>Use case summary</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851"/>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ID</w:t>
            </w:r>
          </w:p>
        </w:tc>
        <w:tc>
          <w:tcPr>
            <w:tcW w:type="dxa" w:w="2952"/>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Use case</w:t>
            </w:r>
          </w:p>
        </w:tc>
        <w:tc>
          <w:tcPr>
            <w:tcW w:type="dxa" w:w="2498"/>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Primary actor</w:t>
            </w:r>
          </w:p>
        </w:tc>
        <w:tc>
          <w:tcPr>
            <w:tcW w:type="dxa" w:w="2725"/>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Entry point in the code</w:t>
            </w:r>
          </w:p>
        </w:tc>
      </w:tr>
      <w:tr>
        <w:tc>
          <w:tcPr>
            <w:tcW w:type="dxa" w:w="851"/>
            <w:tcBorders>
              <w:top w:val="nil" w:sz="6" w:color="C7D6E5"/>
              <w:bottom w:val="single" w:sz="6" w:color="C7D6E5"/>
              <w:left w:val="nil" w:sz="6" w:color="C7D6E5"/>
              <w:right w:val="nil" w:sz="6" w:color="C7D6E5"/>
            </w:tcBorders>
          </w:tcPr>
          <w:p>
            <w:pPr>
              <w:spacing w:after="40" w:before="40" w:line="252" w:lineRule="auto"/>
            </w:pPr>
            <w:r>
              <w:rPr>
                <w:sz w:val="18"/>
              </w:rPr>
              <w:t>UC-01</w:t>
            </w:r>
          </w:p>
        </w:tc>
        <w:tc>
          <w:tcPr>
            <w:tcW w:type="dxa" w:w="2952"/>
            <w:tcBorders>
              <w:top w:val="nil" w:sz="6" w:color="C7D6E5"/>
              <w:bottom w:val="single" w:sz="6" w:color="C7D6E5"/>
              <w:left w:val="nil" w:sz="6" w:color="C7D6E5"/>
              <w:right w:val="nil" w:sz="6" w:color="C7D6E5"/>
            </w:tcBorders>
          </w:tcPr>
          <w:p>
            <w:pPr>
              <w:spacing w:after="40" w:before="40" w:line="252" w:lineRule="auto"/>
            </w:pPr>
            <w:r>
              <w:rPr>
                <w:sz w:val="18"/>
              </w:rPr>
              <w:t>Register account</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Pharmacist</w:t>
            </w:r>
          </w:p>
        </w:tc>
        <w:tc>
          <w:tcPr>
            <w:tcW w:type="dxa" w:w="2725"/>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SignUpScreen</w:t>
            </w:r>
          </w:p>
        </w:tc>
      </w:tr>
      <w:tr>
        <w:tc>
          <w:tcPr>
            <w:tcW w:type="dxa" w:w="851"/>
            <w:tcBorders>
              <w:top w:val="nil" w:sz="6" w:color="C7D6E5"/>
              <w:bottom w:val="single" w:sz="6" w:color="C7D6E5"/>
              <w:left w:val="nil" w:sz="6" w:color="C7D6E5"/>
              <w:right w:val="nil" w:sz="6" w:color="C7D6E5"/>
            </w:tcBorders>
          </w:tcPr>
          <w:p>
            <w:pPr>
              <w:spacing w:after="40" w:before="40" w:line="252" w:lineRule="auto"/>
            </w:pPr>
            <w:r>
              <w:rPr>
                <w:sz w:val="18"/>
              </w:rPr>
              <w:t>UC-02</w:t>
            </w:r>
          </w:p>
        </w:tc>
        <w:tc>
          <w:tcPr>
            <w:tcW w:type="dxa" w:w="2952"/>
            <w:tcBorders>
              <w:top w:val="nil" w:sz="6" w:color="C7D6E5"/>
              <w:bottom w:val="single" w:sz="6" w:color="C7D6E5"/>
              <w:left w:val="nil" w:sz="6" w:color="C7D6E5"/>
              <w:right w:val="nil" w:sz="6" w:color="C7D6E5"/>
            </w:tcBorders>
          </w:tcPr>
          <w:p>
            <w:pPr>
              <w:spacing w:after="40" w:before="40" w:line="252" w:lineRule="auto"/>
            </w:pPr>
            <w:r>
              <w:rPr>
                <w:sz w:val="18"/>
              </w:rPr>
              <w:t>Sign in / sign out</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Pharmacist</w:t>
            </w:r>
          </w:p>
        </w:tc>
        <w:tc>
          <w:tcPr>
            <w:tcW w:type="dxa" w:w="2725"/>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LoginScreen</w:t>
            </w:r>
            <w:r>
              <w:rPr>
                <w:sz w:val="18"/>
              </w:rPr>
              <w:t xml:space="preserve">, </w:t>
            </w:r>
            <w:r>
              <w:rPr>
                <w:rFonts w:ascii="Consolas" w:hAnsi="Consolas"/>
                <w:sz w:val="17"/>
              </w:rPr>
              <w:t>SettingsScreen</w:t>
            </w:r>
          </w:p>
        </w:tc>
      </w:tr>
      <w:tr>
        <w:tc>
          <w:tcPr>
            <w:tcW w:type="dxa" w:w="851"/>
            <w:tcBorders>
              <w:top w:val="nil" w:sz="6" w:color="C7D6E5"/>
              <w:bottom w:val="single" w:sz="6" w:color="C7D6E5"/>
              <w:left w:val="nil" w:sz="6" w:color="C7D6E5"/>
              <w:right w:val="nil" w:sz="6" w:color="C7D6E5"/>
            </w:tcBorders>
          </w:tcPr>
          <w:p>
            <w:pPr>
              <w:spacing w:after="40" w:before="40" w:line="252" w:lineRule="auto"/>
            </w:pPr>
            <w:r>
              <w:rPr>
                <w:sz w:val="18"/>
              </w:rPr>
              <w:t>UC-03</w:t>
            </w:r>
          </w:p>
        </w:tc>
        <w:tc>
          <w:tcPr>
            <w:tcW w:type="dxa" w:w="2952"/>
            <w:tcBorders>
              <w:top w:val="nil" w:sz="6" w:color="C7D6E5"/>
              <w:bottom w:val="single" w:sz="6" w:color="C7D6E5"/>
              <w:left w:val="nil" w:sz="6" w:color="C7D6E5"/>
              <w:right w:val="nil" w:sz="6" w:color="C7D6E5"/>
            </w:tcBorders>
          </w:tcPr>
          <w:p>
            <w:pPr>
              <w:spacing w:after="40" w:before="40" w:line="252" w:lineRule="auto"/>
            </w:pPr>
            <w:r>
              <w:rPr>
                <w:sz w:val="18"/>
              </w:rPr>
              <w:t>Create a fictional TDM case</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Pharmacist</w:t>
            </w:r>
          </w:p>
        </w:tc>
        <w:tc>
          <w:tcPr>
            <w:tcW w:type="dxa" w:w="2725"/>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NewCaseScreen</w:t>
            </w:r>
          </w:p>
        </w:tc>
      </w:tr>
      <w:tr>
        <w:tc>
          <w:tcPr>
            <w:tcW w:type="dxa" w:w="851"/>
            <w:tcBorders>
              <w:top w:val="nil" w:sz="6" w:color="C7D6E5"/>
              <w:bottom w:val="single" w:sz="6" w:color="C7D6E5"/>
              <w:left w:val="nil" w:sz="6" w:color="C7D6E5"/>
              <w:right w:val="nil" w:sz="6" w:color="C7D6E5"/>
            </w:tcBorders>
          </w:tcPr>
          <w:p>
            <w:pPr>
              <w:spacing w:after="40" w:before="40" w:line="252" w:lineRule="auto"/>
            </w:pPr>
            <w:r>
              <w:rPr>
                <w:sz w:val="18"/>
              </w:rPr>
              <w:t>UC-04</w:t>
            </w:r>
          </w:p>
        </w:tc>
        <w:tc>
          <w:tcPr>
            <w:tcW w:type="dxa" w:w="2952"/>
            <w:tcBorders>
              <w:top w:val="nil" w:sz="6" w:color="C7D6E5"/>
              <w:bottom w:val="single" w:sz="6" w:color="C7D6E5"/>
              <w:left w:val="nil" w:sz="6" w:color="C7D6E5"/>
              <w:right w:val="nil" w:sz="6" w:color="C7D6E5"/>
            </w:tcBorders>
          </w:tcPr>
          <w:p>
            <w:pPr>
              <w:spacing w:after="40" w:before="40" w:line="252" w:lineRule="auto"/>
            </w:pPr>
            <w:r>
              <w:rPr>
                <w:sz w:val="18"/>
              </w:rPr>
              <w:t>Select sampling workflow</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Pharmacist</w:t>
            </w:r>
          </w:p>
        </w:tc>
        <w:tc>
          <w:tcPr>
            <w:tcW w:type="dxa" w:w="2725"/>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WorkflowSelectScreen</w:t>
            </w:r>
          </w:p>
        </w:tc>
      </w:tr>
      <w:tr>
        <w:tc>
          <w:tcPr>
            <w:tcW w:type="dxa" w:w="851"/>
            <w:tcBorders>
              <w:top w:val="nil" w:sz="6" w:color="C7D6E5"/>
              <w:bottom w:val="single" w:sz="6" w:color="C7D6E5"/>
              <w:left w:val="nil" w:sz="6" w:color="C7D6E5"/>
              <w:right w:val="nil" w:sz="6" w:color="C7D6E5"/>
            </w:tcBorders>
          </w:tcPr>
          <w:p>
            <w:pPr>
              <w:spacing w:after="40" w:before="40" w:line="252" w:lineRule="auto"/>
            </w:pPr>
            <w:r>
              <w:rPr>
                <w:sz w:val="18"/>
              </w:rPr>
              <w:t>UC-05</w:t>
            </w:r>
          </w:p>
        </w:tc>
        <w:tc>
          <w:tcPr>
            <w:tcW w:type="dxa" w:w="2952"/>
            <w:tcBorders>
              <w:top w:val="nil" w:sz="6" w:color="C7D6E5"/>
              <w:bottom w:val="single" w:sz="6" w:color="C7D6E5"/>
              <w:left w:val="nil" w:sz="6" w:color="C7D6E5"/>
              <w:right w:val="nil" w:sz="6" w:color="C7D6E5"/>
            </w:tcBorders>
          </w:tcPr>
          <w:p>
            <w:pPr>
              <w:spacing w:after="40" w:before="40" w:line="252" w:lineRule="auto"/>
            </w:pPr>
            <w:r>
              <w:rPr>
                <w:sz w:val="18"/>
              </w:rPr>
              <w:t>Enter workflow-specific inputs</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Pharmacist</w:t>
            </w:r>
          </w:p>
        </w:tc>
        <w:tc>
          <w:tcPr>
            <w:tcW w:type="dxa" w:w="2725"/>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InputFormScreen</w:t>
            </w:r>
          </w:p>
        </w:tc>
      </w:tr>
      <w:tr>
        <w:tc>
          <w:tcPr>
            <w:tcW w:type="dxa" w:w="851"/>
            <w:tcBorders>
              <w:top w:val="nil" w:sz="6" w:color="C7D6E5"/>
              <w:bottom w:val="single" w:sz="6" w:color="C7D6E5"/>
              <w:left w:val="nil" w:sz="6" w:color="C7D6E5"/>
              <w:right w:val="nil" w:sz="6" w:color="C7D6E5"/>
            </w:tcBorders>
          </w:tcPr>
          <w:p>
            <w:pPr>
              <w:spacing w:after="40" w:before="40" w:line="252" w:lineRule="auto"/>
            </w:pPr>
            <w:r>
              <w:rPr>
                <w:sz w:val="18"/>
              </w:rPr>
              <w:t>UC-06</w:t>
            </w:r>
          </w:p>
        </w:tc>
        <w:tc>
          <w:tcPr>
            <w:tcW w:type="dxa" w:w="2952"/>
            <w:tcBorders>
              <w:top w:val="nil" w:sz="6" w:color="C7D6E5"/>
              <w:bottom w:val="single" w:sz="6" w:color="C7D6E5"/>
              <w:left w:val="nil" w:sz="6" w:color="C7D6E5"/>
              <w:right w:val="nil" w:sz="6" w:color="C7D6E5"/>
            </w:tcBorders>
          </w:tcPr>
          <w:p>
            <w:pPr>
              <w:spacing w:after="40" w:before="40" w:line="252" w:lineRule="auto"/>
            </w:pPr>
            <w:r>
              <w:rPr>
                <w:sz w:val="18"/>
              </w:rPr>
              <w:t>Run TDM calculation</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Pharmacist</w:t>
            </w:r>
          </w:p>
        </w:tc>
        <w:tc>
          <w:tcPr>
            <w:tcW w:type="dxa" w:w="2725"/>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ReviewScreen</w:t>
            </w:r>
            <w:r>
              <w:rPr>
                <w:sz w:val="18"/>
              </w:rPr>
              <w:t xml:space="preserve"> → </w:t>
            </w:r>
            <w:r>
              <w:rPr>
                <w:rFonts w:ascii="Consolas" w:hAnsi="Consolas"/>
                <w:sz w:val="17"/>
              </w:rPr>
              <w:t>CaseViewModel.runCalculation()</w:t>
            </w:r>
          </w:p>
        </w:tc>
      </w:tr>
      <w:tr>
        <w:tc>
          <w:tcPr>
            <w:tcW w:type="dxa" w:w="851"/>
            <w:tcBorders>
              <w:top w:val="nil" w:sz="6" w:color="C7D6E5"/>
              <w:bottom w:val="single" w:sz="6" w:color="C7D6E5"/>
              <w:left w:val="nil" w:sz="6" w:color="C7D6E5"/>
              <w:right w:val="nil" w:sz="6" w:color="C7D6E5"/>
            </w:tcBorders>
          </w:tcPr>
          <w:p>
            <w:pPr>
              <w:spacing w:after="40" w:before="40" w:line="252" w:lineRule="auto"/>
            </w:pPr>
            <w:r>
              <w:rPr>
                <w:sz w:val="18"/>
              </w:rPr>
              <w:t>UC-07</w:t>
            </w:r>
          </w:p>
        </w:tc>
        <w:tc>
          <w:tcPr>
            <w:tcW w:type="dxa" w:w="2952"/>
            <w:tcBorders>
              <w:top w:val="nil" w:sz="6" w:color="C7D6E5"/>
              <w:bottom w:val="single" w:sz="6" w:color="C7D6E5"/>
              <w:left w:val="nil" w:sz="6" w:color="C7D6E5"/>
              <w:right w:val="nil" w:sz="6" w:color="C7D6E5"/>
            </w:tcBorders>
          </w:tcPr>
          <w:p>
            <w:pPr>
              <w:spacing w:after="40" w:before="40" w:line="252" w:lineRule="auto"/>
            </w:pPr>
            <w:r>
              <w:rPr>
                <w:sz w:val="18"/>
              </w:rPr>
              <w:t>View PK results and AUC₂₄ verdict</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Pharmacist</w:t>
            </w:r>
          </w:p>
        </w:tc>
        <w:tc>
          <w:tcPr>
            <w:tcW w:type="dxa" w:w="2725"/>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ResultsScreen</w:t>
            </w:r>
          </w:p>
        </w:tc>
      </w:tr>
      <w:tr>
        <w:tc>
          <w:tcPr>
            <w:tcW w:type="dxa" w:w="851"/>
            <w:tcBorders>
              <w:top w:val="nil" w:sz="6" w:color="C7D6E5"/>
              <w:bottom w:val="single" w:sz="6" w:color="C7D6E5"/>
              <w:left w:val="nil" w:sz="6" w:color="C7D6E5"/>
              <w:right w:val="nil" w:sz="6" w:color="C7D6E5"/>
            </w:tcBorders>
          </w:tcPr>
          <w:p>
            <w:pPr>
              <w:spacing w:after="40" w:before="40" w:line="252" w:lineRule="auto"/>
            </w:pPr>
            <w:r>
              <w:rPr>
                <w:sz w:val="18"/>
              </w:rPr>
              <w:t>UC-08</w:t>
            </w:r>
          </w:p>
        </w:tc>
        <w:tc>
          <w:tcPr>
            <w:tcW w:type="dxa" w:w="2952"/>
            <w:tcBorders>
              <w:top w:val="nil" w:sz="6" w:color="C7D6E5"/>
              <w:bottom w:val="single" w:sz="6" w:color="C7D6E5"/>
              <w:left w:val="nil" w:sz="6" w:color="C7D6E5"/>
              <w:right w:val="nil" w:sz="6" w:color="C7D6E5"/>
            </w:tcBorders>
          </w:tcPr>
          <w:p>
            <w:pPr>
              <w:spacing w:after="40" w:before="40" w:line="252" w:lineRule="auto"/>
            </w:pPr>
            <w:r>
              <w:rPr>
                <w:sz w:val="18"/>
              </w:rPr>
              <w:t>View calculation explanation</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Pharmacist</w:t>
            </w:r>
          </w:p>
        </w:tc>
        <w:tc>
          <w:tcPr>
            <w:tcW w:type="dxa" w:w="2725"/>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ExplanationScreen</w:t>
            </w:r>
          </w:p>
        </w:tc>
      </w:tr>
      <w:tr>
        <w:tc>
          <w:tcPr>
            <w:tcW w:type="dxa" w:w="851"/>
            <w:tcBorders>
              <w:top w:val="nil" w:sz="6" w:color="C7D6E5"/>
              <w:bottom w:val="single" w:sz="6" w:color="C7D6E5"/>
              <w:left w:val="nil" w:sz="6" w:color="C7D6E5"/>
              <w:right w:val="nil" w:sz="6" w:color="C7D6E5"/>
            </w:tcBorders>
          </w:tcPr>
          <w:p>
            <w:pPr>
              <w:spacing w:after="40" w:before="40" w:line="252" w:lineRule="auto"/>
            </w:pPr>
            <w:r>
              <w:rPr>
                <w:sz w:val="18"/>
              </w:rPr>
              <w:t>UC-09</w:t>
            </w:r>
          </w:p>
        </w:tc>
        <w:tc>
          <w:tcPr>
            <w:tcW w:type="dxa" w:w="2952"/>
            <w:tcBorders>
              <w:top w:val="nil" w:sz="6" w:color="C7D6E5"/>
              <w:bottom w:val="single" w:sz="6" w:color="C7D6E5"/>
              <w:left w:val="nil" w:sz="6" w:color="C7D6E5"/>
              <w:right w:val="nil" w:sz="6" w:color="C7D6E5"/>
            </w:tcBorders>
          </w:tcPr>
          <w:p>
            <w:pPr>
              <w:spacing w:after="40" w:before="40" w:line="252" w:lineRule="auto"/>
            </w:pPr>
            <w:r>
              <w:rPr>
                <w:sz w:val="18"/>
              </w:rPr>
              <w:t>Browse case history</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Pharmacist</w:t>
            </w:r>
          </w:p>
        </w:tc>
        <w:tc>
          <w:tcPr>
            <w:tcW w:type="dxa" w:w="2725"/>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HistoryScreen</w:t>
            </w:r>
          </w:p>
        </w:tc>
      </w:tr>
      <w:tr>
        <w:tc>
          <w:tcPr>
            <w:tcW w:type="dxa" w:w="851"/>
            <w:tcBorders>
              <w:top w:val="nil" w:sz="6" w:color="C7D6E5"/>
              <w:bottom w:val="single" w:sz="6" w:color="C7D6E5"/>
              <w:left w:val="nil" w:sz="6" w:color="C7D6E5"/>
              <w:right w:val="nil" w:sz="6" w:color="C7D6E5"/>
            </w:tcBorders>
          </w:tcPr>
          <w:p>
            <w:pPr>
              <w:spacing w:after="40" w:before="40" w:line="252" w:lineRule="auto"/>
            </w:pPr>
            <w:r>
              <w:rPr>
                <w:sz w:val="18"/>
              </w:rPr>
              <w:t>UC-10</w:t>
            </w:r>
          </w:p>
        </w:tc>
        <w:tc>
          <w:tcPr>
            <w:tcW w:type="dxa" w:w="2952"/>
            <w:tcBorders>
              <w:top w:val="nil" w:sz="6" w:color="C7D6E5"/>
              <w:bottom w:val="single" w:sz="6" w:color="C7D6E5"/>
              <w:left w:val="nil" w:sz="6" w:color="C7D6E5"/>
              <w:right w:val="nil" w:sz="6" w:color="C7D6E5"/>
            </w:tcBorders>
          </w:tcPr>
          <w:p>
            <w:pPr>
              <w:spacing w:after="40" w:before="40" w:line="252" w:lineRule="auto"/>
            </w:pPr>
            <w:r>
              <w:rPr>
                <w:sz w:val="18"/>
              </w:rPr>
              <w:t>Configure theme and read the disclaimer</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Pharmacist</w:t>
            </w:r>
          </w:p>
        </w:tc>
        <w:tc>
          <w:tcPr>
            <w:tcW w:type="dxa" w:w="2725"/>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SettingsScreen</w:t>
            </w:r>
            <w:r>
              <w:rPr>
                <w:sz w:val="18"/>
              </w:rPr>
              <w:t xml:space="preserve">, </w:t>
            </w:r>
            <w:r>
              <w:rPr>
                <w:rFonts w:ascii="Consolas" w:hAnsi="Consolas"/>
                <w:sz w:val="17"/>
              </w:rPr>
              <w:t>DisclaimerScreen</w:t>
            </w:r>
          </w:p>
        </w:tc>
      </w:tr>
      <w:tr>
        <w:tc>
          <w:tcPr>
            <w:tcW w:type="dxa" w:w="851"/>
            <w:tcBorders>
              <w:top w:val="nil" w:sz="6" w:color="C7D6E5"/>
              <w:bottom w:val="single" w:sz="6" w:color="C7D6E5"/>
              <w:left w:val="nil" w:sz="6" w:color="C7D6E5"/>
              <w:right w:val="nil" w:sz="6" w:color="C7D6E5"/>
            </w:tcBorders>
          </w:tcPr>
          <w:p>
            <w:pPr>
              <w:spacing w:after="40" w:before="40" w:line="252" w:lineRule="auto"/>
            </w:pPr>
            <w:r>
              <w:rPr>
                <w:sz w:val="18"/>
              </w:rPr>
              <w:t>UC-11</w:t>
            </w:r>
          </w:p>
        </w:tc>
        <w:tc>
          <w:tcPr>
            <w:tcW w:type="dxa" w:w="2952"/>
            <w:tcBorders>
              <w:top w:val="nil" w:sz="6" w:color="C7D6E5"/>
              <w:bottom w:val="single" w:sz="6" w:color="C7D6E5"/>
              <w:left w:val="nil" w:sz="6" w:color="C7D6E5"/>
              <w:right w:val="nil" w:sz="6" w:color="C7D6E5"/>
            </w:tcBorders>
          </w:tcPr>
          <w:p>
            <w:pPr>
              <w:spacing w:after="40" w:before="40" w:line="252" w:lineRule="auto"/>
            </w:pPr>
            <w:r>
              <w:rPr>
                <w:sz w:val="18"/>
              </w:rPr>
              <w:t>Authenticate against Clerk</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Clerk («include» of UC-01, UC-02)</w:t>
            </w:r>
          </w:p>
        </w:tc>
        <w:tc>
          <w:tcPr>
            <w:tcW w:type="dxa" w:w="2725"/>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ClerkAuthManager.signIn/signUp</w:t>
            </w:r>
          </w:p>
        </w:tc>
      </w:tr>
      <w:tr>
        <w:tc>
          <w:tcPr>
            <w:tcW w:type="dxa" w:w="851"/>
            <w:tcBorders>
              <w:top w:val="nil" w:sz="6" w:color="C7D6E5"/>
              <w:bottom w:val="single" w:sz="6" w:color="C7D6E5"/>
              <w:left w:val="nil" w:sz="6" w:color="C7D6E5"/>
              <w:right w:val="nil" w:sz="6" w:color="C7D6E5"/>
            </w:tcBorders>
          </w:tcPr>
          <w:p>
            <w:pPr>
              <w:spacing w:after="40" w:before="40" w:line="252" w:lineRule="auto"/>
            </w:pPr>
            <w:r>
              <w:rPr>
                <w:sz w:val="18"/>
              </w:rPr>
              <w:t>UC-12</w:t>
            </w:r>
          </w:p>
        </w:tc>
        <w:tc>
          <w:tcPr>
            <w:tcW w:type="dxa" w:w="2952"/>
            <w:tcBorders>
              <w:top w:val="nil" w:sz="6" w:color="C7D6E5"/>
              <w:bottom w:val="single" w:sz="6" w:color="C7D6E5"/>
              <w:left w:val="nil" w:sz="6" w:color="C7D6E5"/>
              <w:right w:val="nil" w:sz="6" w:color="C7D6E5"/>
            </w:tcBorders>
          </w:tcPr>
          <w:p>
            <w:pPr>
              <w:spacing w:after="40" w:before="40" w:line="252" w:lineRule="auto"/>
            </w:pPr>
            <w:r>
              <w:rPr>
                <w:sz w:val="18"/>
              </w:rPr>
              <w:t>Validate inputs</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System («include» of UC-05)</w:t>
            </w:r>
          </w:p>
        </w:tc>
        <w:tc>
          <w:tcPr>
            <w:tcW w:type="dxa" w:w="2725"/>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InputValidator.merge(...)</w:t>
            </w:r>
          </w:p>
        </w:tc>
      </w:tr>
      <w:tr>
        <w:tc>
          <w:tcPr>
            <w:tcW w:type="dxa" w:w="851"/>
            <w:tcBorders>
              <w:top w:val="nil" w:sz="6" w:color="C7D6E5"/>
              <w:bottom w:val="single" w:sz="6" w:color="C7D6E5"/>
              <w:left w:val="nil" w:sz="6" w:color="C7D6E5"/>
              <w:right w:val="nil" w:sz="6" w:color="C7D6E5"/>
            </w:tcBorders>
          </w:tcPr>
          <w:p>
            <w:pPr>
              <w:spacing w:after="40" w:before="40" w:line="252" w:lineRule="auto"/>
            </w:pPr>
            <w:r>
              <w:rPr>
                <w:sz w:val="18"/>
              </w:rPr>
              <w:t>UC-13</w:t>
            </w:r>
          </w:p>
        </w:tc>
        <w:tc>
          <w:tcPr>
            <w:tcW w:type="dxa" w:w="2952"/>
            <w:tcBorders>
              <w:top w:val="nil" w:sz="6" w:color="C7D6E5"/>
              <w:bottom w:val="single" w:sz="6" w:color="C7D6E5"/>
              <w:left w:val="nil" w:sz="6" w:color="C7D6E5"/>
              <w:right w:val="nil" w:sz="6" w:color="C7D6E5"/>
            </w:tcBorders>
          </w:tcPr>
          <w:p>
            <w:pPr>
              <w:spacing w:after="40" w:before="40" w:line="252" w:lineRule="auto"/>
            </w:pPr>
            <w:r>
              <w:rPr>
                <w:sz w:val="18"/>
              </w:rPr>
              <w:t>Persist case to database</w:t>
            </w:r>
          </w:p>
        </w:tc>
        <w:tc>
          <w:tcPr>
            <w:tcW w:type="dxa" w:w="2498"/>
            <w:tcBorders>
              <w:top w:val="nil" w:sz="6" w:color="C7D6E5"/>
              <w:bottom w:val="single" w:sz="6" w:color="C7D6E5"/>
              <w:left w:val="nil" w:sz="6" w:color="C7D6E5"/>
              <w:right w:val="nil" w:sz="6" w:color="C7D6E5"/>
            </w:tcBorders>
          </w:tcPr>
          <w:p>
            <w:pPr>
              <w:spacing w:after="40" w:before="40" w:line="252" w:lineRule="auto"/>
            </w:pPr>
            <w:r>
              <w:rPr>
                <w:sz w:val="18"/>
              </w:rPr>
              <w:t>Supabase («include» of UC-06)</w:t>
            </w:r>
          </w:p>
        </w:tc>
        <w:tc>
          <w:tcPr>
            <w:tcW w:type="dxa" w:w="2725"/>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SupabaseRepository.saveCase()</w:t>
            </w:r>
          </w:p>
        </w:tc>
      </w:tr>
    </w:tbl>
    <w:p>
      <w:pPr>
        <w:spacing w:after="120"/>
      </w:pPr>
    </w:p>
    <w:p>
      <w:pPr>
        <w:spacing w:before="200" w:after="0"/>
        <w:keepNext w:val="true"/>
      </w:pPr>
      <w:r>
        <w:rPr>
          <w:b/>
          <w:sz w:val="21"/>
        </w:rPr>
        <w:t>Figure 2</w:t>
      </w:r>
    </w:p>
    <w:p>
      <w:pPr>
        <w:spacing w:after="120"/>
        <w:keepNext w:val="true"/>
      </w:pPr>
      <w:r>
        <w:rPr>
          <w:i/>
          <w:sz w:val="21"/>
        </w:rPr>
        <w:t>UML use case diagram for TDM Insight</w:t>
      </w:r>
    </w:p>
    <w:p>
      <w:pPr>
        <w:spacing w:after="80"/>
        <w:jc w:val="center"/>
      </w:pPr>
      <w:r>
        <w:drawing>
          <wp:inline xmlns:a="http://schemas.openxmlformats.org/drawingml/2006/main" xmlns:pic="http://schemas.openxmlformats.org/drawingml/2006/picture">
            <wp:extent cx="5669280" cy="3637788"/>
            <wp:docPr id="2" name="Picture 2"/>
            <wp:cNvGraphicFramePr>
              <a:graphicFrameLocks noChangeAspect="1"/>
            </wp:cNvGraphicFramePr>
            <a:graphic>
              <a:graphicData uri="http://schemas.openxmlformats.org/drawingml/2006/picture">
                <pic:pic>
                  <pic:nvPicPr>
                    <pic:cNvPr id="0" name="fig02-usecase.png"/>
                    <pic:cNvPicPr/>
                  </pic:nvPicPr>
                  <pic:blipFill>
                    <a:blip r:embed="rId13"/>
                    <a:stretch>
                      <a:fillRect/>
                    </a:stretch>
                  </pic:blipFill>
                  <pic:spPr>
                    <a:xfrm>
                      <a:off x="0" y="0"/>
                      <a:ext cx="5669280" cy="3637788"/>
                    </a:xfrm>
                    <a:prstGeom prst="rect"/>
                  </pic:spPr>
                </pic:pic>
              </a:graphicData>
            </a:graphic>
          </wp:inline>
        </w:drawing>
      </w:r>
    </w:p>
    <w:p>
      <w:pPr>
        <w:spacing w:after="280"/>
      </w:pPr>
      <w:r>
        <w:rPr>
          <w:i/>
          <w:sz w:val="18"/>
        </w:rPr>
        <w:t xml:space="preserve">Note. </w:t>
      </w:r>
      <w:r>
        <w:rPr>
          <w:color w:val="5A6B7F"/>
          <w:sz w:val="18"/>
        </w:rPr>
        <w:t>Amber ellipses are sub-use-cases invoked by the system rather than started directly by the user. Actors outside the boundary constitute the system environment.</w:t>
      </w:r>
    </w:p>
    <w:p>
      <w:pPr>
        <w:pStyle w:val="Heading2"/>
      </w:pPr>
      <w:r>
        <w:t>7.3 Detailed Use Case Specification</w:t>
      </w:r>
    </w:p>
    <w:p>
      <w:pPr>
        <w:spacing w:before="240" w:after="0"/>
        <w:keepNext w:val="true"/>
      </w:pPr>
      <w:r>
        <w:rPr>
          <w:b/>
          <w:sz w:val="21"/>
        </w:rPr>
        <w:t>Table 11</w:t>
      </w:r>
    </w:p>
    <w:p>
      <w:pPr>
        <w:spacing w:after="100"/>
        <w:keepNext w:val="true"/>
      </w:pPr>
      <w:r>
        <w:rPr>
          <w:i/>
          <w:sz w:val="21"/>
        </w:rPr>
        <w:t>Use case specification — UC-06 Run TDM Calculation</w:t>
      </w:r>
    </w:p>
    <w:tbl>
      <w:tblPr>
        <w:tblStyle w:val="TableGrid"/>
        <w:tblW w:type="auto" w:w="0"/>
        <w:jc w:val="center"/>
        <w:tblLayout w:type="fixed"/>
        <w:tblLook w:firstColumn="1" w:firstRow="1" w:lastColumn="0" w:lastRow="0" w:noHBand="0" w:noVBand="1" w:val="04A0"/>
        <w:tblLayout w:type="fixed"/>
      </w:tblPr>
      <w:tblGrid>
        <w:gridCol w:w="4513"/>
        <w:gridCol w:w="4513"/>
      </w:tblGrid>
      <w:tr>
        <w:trPr>
          <w:tblHeader w:val="true"/>
        </w:trPr>
        <w:tc>
          <w:tcPr>
            <w:tcW w:type="dxa" w:w="2044"/>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Field</w:t>
            </w:r>
          </w:p>
        </w:tc>
        <w:tc>
          <w:tcPr>
            <w:tcW w:type="dxa" w:w="6982"/>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Content</w:t>
            </w:r>
          </w:p>
        </w:tc>
      </w:tr>
      <w:tr>
        <w:tc>
          <w:tcPr>
            <w:tcW w:type="dxa" w:w="2044"/>
            <w:tcBorders>
              <w:top w:val="nil" w:sz="6" w:color="C7D6E5"/>
              <w:bottom w:val="single" w:sz="6" w:color="C7D6E5"/>
              <w:left w:val="nil" w:sz="6" w:color="C7D6E5"/>
              <w:right w:val="nil" w:sz="6" w:color="C7D6E5"/>
            </w:tcBorders>
          </w:tcPr>
          <w:p>
            <w:pPr>
              <w:spacing w:after="40" w:before="40" w:line="252" w:lineRule="auto"/>
            </w:pPr>
            <w:r>
              <w:rPr>
                <w:sz w:val="18"/>
              </w:rPr>
              <w:t>Identifier</w:t>
            </w:r>
          </w:p>
        </w:tc>
        <w:tc>
          <w:tcPr>
            <w:tcW w:type="dxa" w:w="6982"/>
            <w:tcBorders>
              <w:top w:val="nil" w:sz="6" w:color="C7D6E5"/>
              <w:bottom w:val="single" w:sz="6" w:color="C7D6E5"/>
              <w:left w:val="nil" w:sz="6" w:color="C7D6E5"/>
              <w:right w:val="nil" w:sz="6" w:color="C7D6E5"/>
            </w:tcBorders>
          </w:tcPr>
          <w:p>
            <w:pPr>
              <w:spacing w:after="40" w:before="40" w:line="252" w:lineRule="auto"/>
            </w:pPr>
            <w:r>
              <w:rPr>
                <w:sz w:val="18"/>
              </w:rPr>
              <w:t>UC-06</w:t>
            </w:r>
          </w:p>
        </w:tc>
      </w:tr>
      <w:tr>
        <w:tc>
          <w:tcPr>
            <w:tcW w:type="dxa" w:w="2044"/>
            <w:tcBorders>
              <w:top w:val="nil" w:sz="6" w:color="C7D6E5"/>
              <w:bottom w:val="single" w:sz="6" w:color="C7D6E5"/>
              <w:left w:val="nil" w:sz="6" w:color="C7D6E5"/>
              <w:right w:val="nil" w:sz="6" w:color="C7D6E5"/>
            </w:tcBorders>
          </w:tcPr>
          <w:p>
            <w:pPr>
              <w:spacing w:after="40" w:before="40" w:line="252" w:lineRule="auto"/>
            </w:pPr>
            <w:r>
              <w:rPr>
                <w:sz w:val="18"/>
              </w:rPr>
              <w:t>Primary actor</w:t>
            </w:r>
          </w:p>
        </w:tc>
        <w:tc>
          <w:tcPr>
            <w:tcW w:type="dxa" w:w="6982"/>
            <w:tcBorders>
              <w:top w:val="nil" w:sz="6" w:color="C7D6E5"/>
              <w:bottom w:val="single" w:sz="6" w:color="C7D6E5"/>
              <w:left w:val="nil" w:sz="6" w:color="C7D6E5"/>
              <w:right w:val="nil" w:sz="6" w:color="C7D6E5"/>
            </w:tcBorders>
          </w:tcPr>
          <w:p>
            <w:pPr>
              <w:spacing w:after="40" w:before="40" w:line="252" w:lineRule="auto"/>
            </w:pPr>
            <w:r>
              <w:rPr>
                <w:sz w:val="18"/>
              </w:rPr>
              <w:t>Clinical pharmacist / pharmacy student</w:t>
            </w:r>
          </w:p>
        </w:tc>
      </w:tr>
      <w:tr>
        <w:tc>
          <w:tcPr>
            <w:tcW w:type="dxa" w:w="2044"/>
            <w:tcBorders>
              <w:top w:val="nil" w:sz="6" w:color="C7D6E5"/>
              <w:bottom w:val="single" w:sz="6" w:color="C7D6E5"/>
              <w:left w:val="nil" w:sz="6" w:color="C7D6E5"/>
              <w:right w:val="nil" w:sz="6" w:color="C7D6E5"/>
            </w:tcBorders>
          </w:tcPr>
          <w:p>
            <w:pPr>
              <w:spacing w:after="40" w:before="40" w:line="252" w:lineRule="auto"/>
            </w:pPr>
            <w:r>
              <w:rPr>
                <w:sz w:val="18"/>
              </w:rPr>
              <w:t>Secondary actors</w:t>
            </w:r>
          </w:p>
        </w:tc>
        <w:tc>
          <w:tcPr>
            <w:tcW w:type="dxa" w:w="6982"/>
            <w:tcBorders>
              <w:top w:val="nil" w:sz="6" w:color="C7D6E5"/>
              <w:bottom w:val="single" w:sz="6" w:color="C7D6E5"/>
              <w:left w:val="nil" w:sz="6" w:color="C7D6E5"/>
              <w:right w:val="nil" w:sz="6" w:color="C7D6E5"/>
            </w:tcBorders>
          </w:tcPr>
          <w:p>
            <w:pPr>
              <w:spacing w:after="40" w:before="40" w:line="252" w:lineRule="auto"/>
            </w:pPr>
            <w:r>
              <w:rPr>
                <w:sz w:val="18"/>
              </w:rPr>
              <w:t>Supabase (through the «include» relationship to UC-13)</w:t>
            </w:r>
          </w:p>
        </w:tc>
      </w:tr>
      <w:tr>
        <w:tc>
          <w:tcPr>
            <w:tcW w:type="dxa" w:w="2044"/>
            <w:tcBorders>
              <w:top w:val="nil" w:sz="6" w:color="C7D6E5"/>
              <w:bottom w:val="single" w:sz="6" w:color="C7D6E5"/>
              <w:left w:val="nil" w:sz="6" w:color="C7D6E5"/>
              <w:right w:val="nil" w:sz="6" w:color="C7D6E5"/>
            </w:tcBorders>
          </w:tcPr>
          <w:p>
            <w:pPr>
              <w:spacing w:after="40" w:before="40" w:line="252" w:lineRule="auto"/>
            </w:pPr>
            <w:r>
              <w:rPr>
                <w:sz w:val="18"/>
              </w:rPr>
              <w:t>Goal</w:t>
            </w:r>
          </w:p>
        </w:tc>
        <w:tc>
          <w:tcPr>
            <w:tcW w:type="dxa" w:w="6982"/>
            <w:tcBorders>
              <w:top w:val="nil" w:sz="6" w:color="C7D6E5"/>
              <w:bottom w:val="single" w:sz="6" w:color="C7D6E5"/>
              <w:left w:val="nil" w:sz="6" w:color="C7D6E5"/>
              <w:right w:val="nil" w:sz="6" w:color="C7D6E5"/>
            </w:tcBorders>
          </w:tcPr>
          <w:p>
            <w:pPr>
              <w:spacing w:after="40" w:before="40" w:line="252" w:lineRule="auto"/>
            </w:pPr>
            <w:r>
              <w:rPr>
                <w:sz w:val="18"/>
              </w:rPr>
              <w:t>Obtain AUC₂₄, the full pharmacokinetic parameter set and a dose recommendation for a fictional case.</w:t>
            </w:r>
          </w:p>
        </w:tc>
      </w:tr>
      <w:tr>
        <w:tc>
          <w:tcPr>
            <w:tcW w:type="dxa" w:w="2044"/>
            <w:tcBorders>
              <w:top w:val="nil" w:sz="6" w:color="C7D6E5"/>
              <w:bottom w:val="single" w:sz="6" w:color="C7D6E5"/>
              <w:left w:val="nil" w:sz="6" w:color="C7D6E5"/>
              <w:right w:val="nil" w:sz="6" w:color="C7D6E5"/>
            </w:tcBorders>
          </w:tcPr>
          <w:p>
            <w:pPr>
              <w:spacing w:after="40" w:before="40" w:line="252" w:lineRule="auto"/>
            </w:pPr>
            <w:r>
              <w:rPr>
                <w:sz w:val="18"/>
              </w:rPr>
              <w:t>Preconditions</w:t>
            </w:r>
          </w:p>
        </w:tc>
        <w:tc>
          <w:tcPr>
            <w:tcW w:type="dxa" w:w="6982"/>
            <w:tcBorders>
              <w:top w:val="nil" w:sz="6" w:color="C7D6E5"/>
              <w:bottom w:val="single" w:sz="6" w:color="C7D6E5"/>
              <w:left w:val="nil" w:sz="6" w:color="C7D6E5"/>
              <w:right w:val="nil" w:sz="6" w:color="C7D6E5"/>
            </w:tcBorders>
          </w:tcPr>
          <w:p>
            <w:pPr>
              <w:spacing w:after="40" w:before="40" w:line="252" w:lineRule="auto"/>
            </w:pPr>
            <w:r>
              <w:rPr>
                <w:sz w:val="18"/>
              </w:rPr>
              <w:t xml:space="preserve">A workflow has been selected; all fields that workflow requires have been entered; </w:t>
            </w:r>
            <w:r>
              <w:rPr>
                <w:rFonts w:ascii="Consolas" w:hAnsi="Consolas"/>
                <w:sz w:val="17"/>
              </w:rPr>
              <w:t>ValidationReport.isValid</w:t>
            </w:r>
            <w:r>
              <w:rPr>
                <w:sz w:val="18"/>
              </w:rPr>
              <w:t xml:space="preserve"> is true, so the Review screen's Run control is enabled.</w:t>
            </w:r>
          </w:p>
        </w:tc>
      </w:tr>
      <w:tr>
        <w:tc>
          <w:tcPr>
            <w:tcW w:type="dxa" w:w="2044"/>
            <w:tcBorders>
              <w:top w:val="nil" w:sz="6" w:color="C7D6E5"/>
              <w:bottom w:val="single" w:sz="6" w:color="C7D6E5"/>
              <w:left w:val="nil" w:sz="6" w:color="C7D6E5"/>
              <w:right w:val="nil" w:sz="6" w:color="C7D6E5"/>
            </w:tcBorders>
          </w:tcPr>
          <w:p>
            <w:pPr>
              <w:spacing w:after="40" w:before="40" w:line="252" w:lineRule="auto"/>
            </w:pPr>
            <w:r>
              <w:rPr>
                <w:sz w:val="18"/>
              </w:rPr>
              <w:t>Main success scenario</w:t>
            </w:r>
          </w:p>
        </w:tc>
        <w:tc>
          <w:tcPr>
            <w:tcW w:type="dxa" w:w="6982"/>
            <w:tcBorders>
              <w:top w:val="nil" w:sz="6" w:color="C7D6E5"/>
              <w:bottom w:val="single" w:sz="6" w:color="C7D6E5"/>
              <w:left w:val="nil" w:sz="6" w:color="C7D6E5"/>
              <w:right w:val="nil" w:sz="6" w:color="C7D6E5"/>
            </w:tcBorders>
          </w:tcPr>
          <w:p>
            <w:pPr>
              <w:spacing w:after="40" w:before="40" w:line="252" w:lineRule="auto"/>
            </w:pPr>
            <w:r>
              <w:rPr>
                <w:sz w:val="18"/>
              </w:rPr>
              <w:t xml:space="preserve">1. The pharmacist reviews the summarised inputs on </w:t>
            </w:r>
            <w:r>
              <w:rPr>
                <w:rFonts w:ascii="Consolas" w:hAnsi="Consolas"/>
                <w:sz w:val="17"/>
              </w:rPr>
              <w:t>ReviewScreen</w:t>
            </w:r>
            <w:r>
              <w:rPr>
                <w:sz w:val="18"/>
              </w:rPr>
              <w:t>.</w:t>
              <w:br/>
              <w:t>2. The pharmacist taps Run calculation.</w:t>
              <w:br/>
              <w:t xml:space="preserve">3. </w:t>
            </w:r>
            <w:r>
              <w:rPr>
                <w:rFonts w:ascii="Consolas" w:hAnsi="Consolas"/>
                <w:sz w:val="17"/>
              </w:rPr>
              <w:t>CaseViewModel.runCalculation()</w:t>
            </w:r>
            <w:r>
              <w:rPr>
                <w:sz w:val="18"/>
              </w:rPr>
              <w:t xml:space="preserve"> re-runs </w:t>
            </w:r>
            <w:r>
              <w:rPr>
                <w:rFonts w:ascii="Consolas" w:hAnsi="Consolas"/>
                <w:sz w:val="17"/>
              </w:rPr>
              <w:t>validate()</w:t>
            </w:r>
            <w:r>
              <w:rPr>
                <w:sz w:val="18"/>
              </w:rPr>
              <w:t xml:space="preserve"> as a second line of defence.</w:t>
              <w:br/>
              <w:t xml:space="preserve">4. The matching </w:t>
            </w:r>
            <w:r>
              <w:rPr>
                <w:rFonts w:ascii="Consolas" w:hAnsi="Consolas"/>
                <w:sz w:val="17"/>
              </w:rPr>
              <w:t>VancoEngine</w:t>
            </w:r>
            <w:r>
              <w:rPr>
                <w:sz w:val="18"/>
              </w:rPr>
              <w:t xml:space="preserve"> function is invoked inside </w:t>
            </w:r>
            <w:r>
              <w:rPr>
                <w:rFonts w:ascii="Consolas" w:hAnsi="Consolas"/>
                <w:sz w:val="17"/>
              </w:rPr>
              <w:t>viewModelScope</w:t>
            </w:r>
            <w:r>
              <w:rPr>
                <w:sz w:val="18"/>
              </w:rPr>
              <w:t>.</w:t>
              <w:br/>
              <w:t xml:space="preserve">5. The engine validates again, fits the model and returns </w:t>
            </w:r>
            <w:r>
              <w:rPr>
                <w:rFonts w:ascii="Consolas" w:hAnsi="Consolas"/>
                <w:sz w:val="17"/>
              </w:rPr>
              <w:t>CalculationResult.Success(PkResults)</w:t>
            </w:r>
            <w:r>
              <w:rPr>
                <w:sz w:val="18"/>
              </w:rPr>
              <w:t>.</w:t>
              <w:br/>
              <w:t xml:space="preserve">6. </w:t>
            </w:r>
            <w:r>
              <w:rPr>
                <w:rFonts w:ascii="Consolas" w:hAnsi="Consolas"/>
                <w:sz w:val="17"/>
              </w:rPr>
              <w:t>CalculatingScreen</w:t>
            </w:r>
            <w:r>
              <w:rPr>
                <w:sz w:val="18"/>
              </w:rPr>
              <w:t xml:space="preserve"> observes the new state and navigates to </w:t>
            </w:r>
            <w:r>
              <w:rPr>
                <w:rFonts w:ascii="Consolas" w:hAnsi="Consolas"/>
                <w:sz w:val="17"/>
              </w:rPr>
              <w:t>ResultsScreen</w:t>
            </w:r>
            <w:r>
              <w:rPr>
                <w:sz w:val="18"/>
              </w:rPr>
              <w:t>.</w:t>
              <w:br/>
              <w:t>7. AUC₂₄ is drawn on the ring gauge with an in-target or out-of-target verdict chip.</w:t>
              <w:br/>
              <w:t xml:space="preserve">8. In a detached coroutine, </w:t>
            </w:r>
            <w:r>
              <w:rPr>
                <w:rFonts w:ascii="Consolas" w:hAnsi="Consolas"/>
                <w:sz w:val="17"/>
              </w:rPr>
              <w:t>SupabaseRepository.saveCase()</w:t>
            </w:r>
            <w:r>
              <w:rPr>
                <w:sz w:val="18"/>
              </w:rPr>
              <w:t xml:space="preserve"> inserts the row (UC-13).</w:t>
            </w:r>
          </w:p>
        </w:tc>
      </w:tr>
      <w:tr>
        <w:tc>
          <w:tcPr>
            <w:tcW w:type="dxa" w:w="2044"/>
            <w:tcBorders>
              <w:top w:val="nil" w:sz="6" w:color="C7D6E5"/>
              <w:bottom w:val="single" w:sz="6" w:color="C7D6E5"/>
              <w:left w:val="nil" w:sz="6" w:color="C7D6E5"/>
              <w:right w:val="nil" w:sz="6" w:color="C7D6E5"/>
            </w:tcBorders>
          </w:tcPr>
          <w:p>
            <w:pPr>
              <w:spacing w:after="40" w:before="40" w:line="252" w:lineRule="auto"/>
            </w:pPr>
            <w:r>
              <w:rPr>
                <w:sz w:val="18"/>
              </w:rPr>
              <w:t>Alternative flow A — validation fails</w:t>
            </w:r>
          </w:p>
        </w:tc>
        <w:tc>
          <w:tcPr>
            <w:tcW w:type="dxa" w:w="6982"/>
            <w:tcBorders>
              <w:top w:val="nil" w:sz="6" w:color="C7D6E5"/>
              <w:bottom w:val="single" w:sz="6" w:color="C7D6E5"/>
              <w:left w:val="nil" w:sz="6" w:color="C7D6E5"/>
              <w:right w:val="nil" w:sz="6" w:color="C7D6E5"/>
            </w:tcBorders>
          </w:tcPr>
          <w:p>
            <w:pPr>
              <w:spacing w:after="40" w:before="40" w:line="252" w:lineRule="auto"/>
            </w:pPr>
            <w:r>
              <w:rPr>
                <w:sz w:val="18"/>
              </w:rPr>
              <w:t xml:space="preserve">At step 3, if </w:t>
            </w:r>
            <w:r>
              <w:rPr>
                <w:rFonts w:ascii="Consolas" w:hAnsi="Consolas"/>
                <w:sz w:val="17"/>
              </w:rPr>
              <w:t>report.isValid</w:t>
            </w:r>
            <w:r>
              <w:rPr>
                <w:sz w:val="18"/>
              </w:rPr>
              <w:t xml:space="preserve"> is false the method returns immediately. No engine call is made and the error banner remains visible on the input form.</w:t>
            </w:r>
          </w:p>
        </w:tc>
      </w:tr>
      <w:tr>
        <w:tc>
          <w:tcPr>
            <w:tcW w:type="dxa" w:w="2044"/>
            <w:tcBorders>
              <w:top w:val="nil" w:sz="6" w:color="C7D6E5"/>
              <w:bottom w:val="single" w:sz="6" w:color="C7D6E5"/>
              <w:left w:val="nil" w:sz="6" w:color="C7D6E5"/>
              <w:right w:val="nil" w:sz="6" w:color="C7D6E5"/>
            </w:tcBorders>
          </w:tcPr>
          <w:p>
            <w:pPr>
              <w:spacing w:after="40" w:before="40" w:line="252" w:lineRule="auto"/>
            </w:pPr>
            <w:r>
              <w:rPr>
                <w:sz w:val="18"/>
              </w:rPr>
              <w:t>Alternative flow B — engine failure</w:t>
            </w:r>
          </w:p>
        </w:tc>
        <w:tc>
          <w:tcPr>
            <w:tcW w:type="dxa" w:w="6982"/>
            <w:tcBorders>
              <w:top w:val="nil" w:sz="6" w:color="C7D6E5"/>
              <w:bottom w:val="single" w:sz="6" w:color="C7D6E5"/>
              <w:left w:val="nil" w:sz="6" w:color="C7D6E5"/>
              <w:right w:val="nil" w:sz="6" w:color="C7D6E5"/>
            </w:tcBorders>
          </w:tcPr>
          <w:p>
            <w:pPr>
              <w:spacing w:after="40" w:before="40" w:line="252" w:lineRule="auto"/>
            </w:pPr>
            <w:r>
              <w:rPr>
                <w:sz w:val="18"/>
              </w:rPr>
              <w:t xml:space="preserve">At step 5, if a guard trips the engine returns </w:t>
            </w:r>
            <w:r>
              <w:rPr>
                <w:rFonts w:ascii="Consolas" w:hAnsi="Consolas"/>
                <w:sz w:val="17"/>
              </w:rPr>
              <w:t>CalculationResult.Failure(message)</w:t>
            </w:r>
            <w:r>
              <w:rPr>
                <w:sz w:val="18"/>
              </w:rPr>
              <w:t xml:space="preserve">. </w:t>
            </w:r>
            <w:r>
              <w:rPr>
                <w:rFonts w:ascii="Consolas" w:hAnsi="Consolas"/>
                <w:sz w:val="17"/>
              </w:rPr>
              <w:t>CalculatingScreen</w:t>
            </w:r>
            <w:r>
              <w:rPr>
                <w:sz w:val="18"/>
              </w:rPr>
              <w:t xml:space="preserve"> navigates to </w:t>
            </w:r>
            <w:r>
              <w:rPr>
                <w:rFonts w:ascii="Consolas" w:hAnsi="Consolas"/>
                <w:sz w:val="17"/>
              </w:rPr>
              <w:t>ErrorScreen</w:t>
            </w:r>
            <w:r>
              <w:rPr>
                <w:sz w:val="18"/>
              </w:rPr>
              <w:t>, which shows a plain-language line and the technical message.</w:t>
            </w:r>
          </w:p>
        </w:tc>
      </w:tr>
      <w:tr>
        <w:tc>
          <w:tcPr>
            <w:tcW w:type="dxa" w:w="2044"/>
            <w:tcBorders>
              <w:top w:val="nil" w:sz="6" w:color="C7D6E5"/>
              <w:bottom w:val="single" w:sz="6" w:color="C7D6E5"/>
              <w:left w:val="nil" w:sz="6" w:color="C7D6E5"/>
              <w:right w:val="nil" w:sz="6" w:color="C7D6E5"/>
            </w:tcBorders>
          </w:tcPr>
          <w:p>
            <w:pPr>
              <w:spacing w:after="40" w:before="40" w:line="252" w:lineRule="auto"/>
            </w:pPr>
            <w:r>
              <w:rPr>
                <w:sz w:val="18"/>
              </w:rPr>
              <w:t>Alternative flow C — persistence failure</w:t>
            </w:r>
          </w:p>
        </w:tc>
        <w:tc>
          <w:tcPr>
            <w:tcW w:type="dxa" w:w="6982"/>
            <w:tcBorders>
              <w:top w:val="nil" w:sz="6" w:color="C7D6E5"/>
              <w:bottom w:val="single" w:sz="6" w:color="C7D6E5"/>
              <w:left w:val="nil" w:sz="6" w:color="C7D6E5"/>
              <w:right w:val="nil" w:sz="6" w:color="C7D6E5"/>
            </w:tcBorders>
          </w:tcPr>
          <w:p>
            <w:pPr>
              <w:spacing w:after="40" w:before="40" w:line="252" w:lineRule="auto"/>
            </w:pPr>
            <w:r>
              <w:rPr>
                <w:sz w:val="18"/>
              </w:rPr>
              <w:t xml:space="preserve">At step 8, any exception is caught inside </w:t>
            </w:r>
            <w:r>
              <w:rPr>
                <w:rFonts w:ascii="Consolas" w:hAnsi="Consolas"/>
                <w:sz w:val="17"/>
              </w:rPr>
              <w:t>SupabaseRepository</w:t>
            </w:r>
            <w:r>
              <w:rPr>
                <w:sz w:val="18"/>
              </w:rPr>
              <w:t xml:space="preserve"> and logged at warning level. The displayed result is unaffected; the case simply does not appear in history.</w:t>
            </w:r>
          </w:p>
        </w:tc>
      </w:tr>
      <w:tr>
        <w:tc>
          <w:tcPr>
            <w:tcW w:type="dxa" w:w="2044"/>
            <w:tcBorders>
              <w:top w:val="nil" w:sz="6" w:color="C7D6E5"/>
              <w:bottom w:val="single" w:sz="6" w:color="C7D6E5"/>
              <w:left w:val="nil" w:sz="6" w:color="C7D6E5"/>
              <w:right w:val="nil" w:sz="6" w:color="C7D6E5"/>
            </w:tcBorders>
          </w:tcPr>
          <w:p>
            <w:pPr>
              <w:spacing w:after="40" w:before="40" w:line="252" w:lineRule="auto"/>
            </w:pPr>
            <w:r>
              <w:rPr>
                <w:sz w:val="18"/>
              </w:rPr>
              <w:t>Postconditions</w:t>
            </w:r>
          </w:p>
        </w:tc>
        <w:tc>
          <w:tcPr>
            <w:tcW w:type="dxa" w:w="6982"/>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CaseUiState.result</w:t>
            </w:r>
            <w:r>
              <w:rPr>
                <w:sz w:val="18"/>
              </w:rPr>
              <w:t xml:space="preserve"> holds a </w:t>
            </w:r>
            <w:r>
              <w:rPr>
                <w:rFonts w:ascii="Consolas" w:hAnsi="Consolas"/>
                <w:sz w:val="17"/>
              </w:rPr>
              <w:t>Success</w:t>
            </w:r>
            <w:r>
              <w:rPr>
                <w:sz w:val="18"/>
              </w:rPr>
              <w:t xml:space="preserve">; on the success path a new row exists in the </w:t>
            </w:r>
            <w:r>
              <w:rPr>
                <w:rFonts w:ascii="Consolas" w:hAnsi="Consolas"/>
                <w:sz w:val="17"/>
              </w:rPr>
              <w:t>cases</w:t>
            </w:r>
            <w:r>
              <w:rPr>
                <w:sz w:val="18"/>
              </w:rPr>
              <w:t xml:space="preserve"> table, and the </w:t>
            </w:r>
            <w:r>
              <w:rPr>
                <w:rFonts w:ascii="Consolas" w:hAnsi="Consolas"/>
                <w:sz w:val="17"/>
              </w:rPr>
              <w:t>trg_ensure_user_profile</w:t>
            </w:r>
            <w:r>
              <w:rPr>
                <w:sz w:val="18"/>
              </w:rPr>
              <w:t xml:space="preserve"> trigger has created a </w:t>
            </w:r>
            <w:r>
              <w:rPr>
                <w:rFonts w:ascii="Consolas" w:hAnsi="Consolas"/>
                <w:sz w:val="17"/>
              </w:rPr>
              <w:t>user_profiles</w:t>
            </w:r>
            <w:r>
              <w:rPr>
                <w:sz w:val="18"/>
              </w:rPr>
              <w:t xml:space="preserve"> row if none existed.</w:t>
            </w:r>
          </w:p>
        </w:tc>
      </w:tr>
    </w:tbl>
    <w:p>
      <w:pPr>
        <w:spacing w:after="120"/>
      </w:pPr>
    </w:p>
    <w:p>
      <w:pPr>
        <w:pStyle w:val="Heading1"/>
      </w:pPr>
      <w:r>
        <w:t>8. Component and Package Structure</w:t>
      </w:r>
    </w:p>
    <w:p>
      <w:pPr>
        <w:spacing w:after="160"/>
      </w:pPr>
      <w:r>
        <w:t xml:space="preserve">The main source set contains twenty-five Kotlin files under </w:t>
      </w:r>
      <w:r>
        <w:rPr>
          <w:rFonts w:ascii="Consolas" w:hAnsi="Consolas"/>
          <w:sz w:val="19"/>
        </w:rPr>
        <w:t>com.aiu.tdminsight</w:t>
      </w:r>
      <w:r>
        <w:t xml:space="preserve">, grouped into six top-level areas — </w:t>
      </w:r>
      <w:r>
        <w:rPr>
          <w:rFonts w:ascii="Consolas" w:hAnsi="Consolas"/>
          <w:sz w:val="19"/>
        </w:rPr>
        <w:t>ui</w:t>
      </w:r>
      <w:r>
        <w:t xml:space="preserve">, </w:t>
      </w:r>
      <w:r>
        <w:rPr>
          <w:rFonts w:ascii="Consolas" w:hAnsi="Consolas"/>
          <w:sz w:val="19"/>
        </w:rPr>
        <w:t>viewmodel</w:t>
      </w:r>
      <w:r>
        <w:t xml:space="preserve">, </w:t>
      </w:r>
      <w:r>
        <w:rPr>
          <w:rFonts w:ascii="Consolas" w:hAnsi="Consolas"/>
          <w:sz w:val="19"/>
        </w:rPr>
        <w:t>domain</w:t>
      </w:r>
      <w:r>
        <w:t xml:space="preserve">, </w:t>
      </w:r>
      <w:r>
        <w:rPr>
          <w:rFonts w:ascii="Consolas" w:hAnsi="Consolas"/>
          <w:sz w:val="19"/>
        </w:rPr>
        <w:t>data</w:t>
      </w:r>
      <w:r>
        <w:t xml:space="preserve">, </w:t>
      </w:r>
      <w:r>
        <w:rPr>
          <w:rFonts w:ascii="Consolas" w:hAnsi="Consolas"/>
          <w:sz w:val="19"/>
        </w:rPr>
        <w:t>auth</w:t>
      </w:r>
      <w:r>
        <w:t xml:space="preserve"> and the application root — plus two test classes. Figure 3 shows the components and their «use» dependencies, including the test source set.</w:t>
      </w:r>
    </w:p>
    <w:p>
      <w:pPr>
        <w:spacing w:before="200" w:after="0"/>
        <w:keepNext w:val="true"/>
      </w:pPr>
      <w:r>
        <w:rPr>
          <w:b/>
          <w:sz w:val="21"/>
        </w:rPr>
        <w:t>Figure 3</w:t>
      </w:r>
    </w:p>
    <w:p>
      <w:pPr>
        <w:spacing w:after="120"/>
        <w:keepNext w:val="true"/>
      </w:pPr>
      <w:r>
        <w:rPr>
          <w:i/>
          <w:sz w:val="21"/>
        </w:rPr>
        <w:t>Component and package structure</w:t>
      </w:r>
    </w:p>
    <w:p>
      <w:pPr>
        <w:spacing w:after="80"/>
        <w:jc w:val="center"/>
      </w:pPr>
      <w:r>
        <w:drawing>
          <wp:inline xmlns:a="http://schemas.openxmlformats.org/drawingml/2006/main" xmlns:pic="http://schemas.openxmlformats.org/drawingml/2006/picture">
            <wp:extent cx="5669280" cy="3584448"/>
            <wp:docPr id="3" name="Picture 3"/>
            <wp:cNvGraphicFramePr>
              <a:graphicFrameLocks noChangeAspect="1"/>
            </wp:cNvGraphicFramePr>
            <a:graphic>
              <a:graphicData uri="http://schemas.openxmlformats.org/drawingml/2006/picture">
                <pic:pic>
                  <pic:nvPicPr>
                    <pic:cNvPr id="0" name="fig03-components.png"/>
                    <pic:cNvPicPr/>
                  </pic:nvPicPr>
                  <pic:blipFill>
                    <a:blip r:embed="rId14"/>
                    <a:stretch>
                      <a:fillRect/>
                    </a:stretch>
                  </pic:blipFill>
                  <pic:spPr>
                    <a:xfrm>
                      <a:off x="0" y="0"/>
                      <a:ext cx="5669280" cy="3584448"/>
                    </a:xfrm>
                    <a:prstGeom prst="rect"/>
                  </pic:spPr>
                </pic:pic>
              </a:graphicData>
            </a:graphic>
          </wp:inline>
        </w:drawing>
      </w:r>
    </w:p>
    <w:p>
      <w:pPr>
        <w:spacing w:after="280"/>
      </w:pPr>
      <w:r>
        <w:rPr>
          <w:i/>
          <w:sz w:val="18"/>
        </w:rPr>
        <w:t xml:space="preserve">Note. </w:t>
      </w:r>
      <w:r>
        <w:rPr>
          <w:color w:val="5A6B7F"/>
          <w:sz w:val="18"/>
        </w:rPr>
        <w:t>Dashed open arrows are «use» dependencies. No arrow enters the domain layer from the data or presentation layers, which is what makes the engine testable in isolation.</w:t>
      </w:r>
    </w:p>
    <w:p>
      <w:pPr>
        <w:spacing w:after="160"/>
      </w:pPr>
      <w:r>
        <w:t xml:space="preserve">The dependency direction visible in Figure 3 is the architectural invariant of the project. </w:t>
      </w:r>
      <w:r>
        <w:rPr>
          <w:rFonts w:ascii="Consolas" w:hAnsi="Consolas"/>
          <w:sz w:val="19"/>
        </w:rPr>
        <w:t>VancoEngine</w:t>
      </w:r>
      <w:r>
        <w:t xml:space="preserve"> and </w:t>
      </w:r>
      <w:r>
        <w:rPr>
          <w:rFonts w:ascii="Consolas" w:hAnsi="Consolas"/>
          <w:sz w:val="19"/>
        </w:rPr>
        <w:t>InputValidator</w:t>
      </w:r>
      <w:r>
        <w:t xml:space="preserve"> depend only on </w:t>
      </w:r>
      <w:r>
        <w:rPr>
          <w:rFonts w:ascii="Consolas" w:hAnsi="Consolas"/>
          <w:sz w:val="19"/>
        </w:rPr>
        <w:t>data.model</w:t>
      </w:r>
      <w:r>
        <w:t xml:space="preserve">, and both are depended upon by </w:t>
      </w:r>
      <w:r>
        <w:rPr>
          <w:rFonts w:ascii="Consolas" w:hAnsi="Consolas"/>
          <w:sz w:val="19"/>
        </w:rPr>
        <w:t>CaseViewModel</w:t>
      </w:r>
      <w:r>
        <w:t xml:space="preserve"> and by the test source set. Neither depends on </w:t>
      </w:r>
      <w:r>
        <w:rPr>
          <w:rFonts w:ascii="Consolas" w:hAnsi="Consolas"/>
          <w:sz w:val="19"/>
        </w:rPr>
        <w:t>ui</w:t>
      </w:r>
      <w:r>
        <w:t xml:space="preserve">, </w:t>
      </w:r>
      <w:r>
        <w:rPr>
          <w:rFonts w:ascii="Consolas" w:hAnsi="Consolas"/>
          <w:sz w:val="19"/>
        </w:rPr>
        <w:t>auth</w:t>
      </w:r>
      <w:r>
        <w:t xml:space="preserve"> or </w:t>
      </w:r>
      <w:r>
        <w:rPr>
          <w:rFonts w:ascii="Consolas" w:hAnsi="Consolas"/>
          <w:sz w:val="19"/>
        </w:rPr>
        <w:t>data.supabase</w:t>
      </w:r>
      <w:r>
        <w:t>. Removing the entire networking stack from the project would leave the calculation path compiling and its tests passing.</w:t>
      </w:r>
    </w:p>
    <w:p>
      <w:pPr>
        <w:pStyle w:val="Heading1"/>
      </w:pPr>
      <w:r>
        <w:t>9. Behavioural Models</w:t>
      </w:r>
    </w:p>
    <w:p>
      <w:pPr>
        <w:pStyle w:val="Heading2"/>
      </w:pPr>
      <w:r>
        <w:t>9.1 Activity Diagram — Application Entry and Authentication</w:t>
      </w:r>
    </w:p>
    <w:p>
      <w:pPr>
        <w:spacing w:after="160"/>
      </w:pPr>
      <w:r>
        <w:rPr>
          <w:rFonts w:ascii="Consolas" w:hAnsi="Consolas"/>
          <w:sz w:val="19"/>
        </w:rPr>
        <w:t>MainActivity</w:t>
      </w:r>
      <w:r>
        <w:t xml:space="preserve"> implements a gate with eight ordered branches. The splash screen is always shown first for 1.8 seconds. The first-launch disclaimer is then shown until it is accepted. If Clerk is not configured the gate is skipped altogether and the navigation graph starts. Otherwise a saved session is restored from SharedPreferences if one exists, and a login or sign-up screen is presented if not. A fresh sign-in or sign-up shows the welcome screen exactly once, because </w:t>
      </w:r>
      <w:r>
        <w:rPr>
          <w:rFonts w:ascii="Consolas" w:hAnsi="Consolas"/>
          <w:sz w:val="19"/>
        </w:rPr>
        <w:t>AuthViewModel</w:t>
      </w:r>
      <w:r>
        <w:t xml:space="preserve"> sets a </w:t>
      </w:r>
      <w:r>
        <w:rPr>
          <w:rFonts w:ascii="Consolas" w:hAnsi="Consolas"/>
          <w:sz w:val="19"/>
        </w:rPr>
        <w:t>freshLogin</w:t>
      </w:r>
      <w:r>
        <w:t xml:space="preserve"> flag that a session restore does not set and that the welcome screen's Continue button consumes.</w:t>
      </w:r>
    </w:p>
    <w:p>
      <w:pPr>
        <w:spacing w:before="200" w:after="0"/>
        <w:keepNext w:val="true"/>
      </w:pPr>
      <w:r>
        <w:rPr>
          <w:b/>
          <w:sz w:val="21"/>
        </w:rPr>
        <w:t>Figure 4</w:t>
      </w:r>
    </w:p>
    <w:p>
      <w:pPr>
        <w:spacing w:after="120"/>
        <w:keepNext w:val="true"/>
      </w:pPr>
      <w:r>
        <w:rPr>
          <w:i/>
          <w:sz w:val="21"/>
        </w:rPr>
        <w:t>Activity diagram — application entry and authentication</w:t>
      </w:r>
    </w:p>
    <w:p>
      <w:pPr>
        <w:spacing w:after="80"/>
        <w:jc w:val="center"/>
      </w:pPr>
      <w:r>
        <w:drawing>
          <wp:inline xmlns:a="http://schemas.openxmlformats.org/drawingml/2006/main" xmlns:pic="http://schemas.openxmlformats.org/drawingml/2006/picture">
            <wp:extent cx="5669280" cy="3767891"/>
            <wp:docPr id="4" name="Picture 4"/>
            <wp:cNvGraphicFramePr>
              <a:graphicFrameLocks noChangeAspect="1"/>
            </wp:cNvGraphicFramePr>
            <a:graphic>
              <a:graphicData uri="http://schemas.openxmlformats.org/drawingml/2006/picture">
                <pic:pic>
                  <pic:nvPicPr>
                    <pic:cNvPr id="0" name="fig04-activity-auth.png"/>
                    <pic:cNvPicPr/>
                  </pic:nvPicPr>
                  <pic:blipFill>
                    <a:blip r:embed="rId15"/>
                    <a:stretch>
                      <a:fillRect/>
                    </a:stretch>
                  </pic:blipFill>
                  <pic:spPr>
                    <a:xfrm>
                      <a:off x="0" y="0"/>
                      <a:ext cx="5669280" cy="3767891"/>
                    </a:xfrm>
                    <a:prstGeom prst="rect"/>
                  </pic:spPr>
                </pic:pic>
              </a:graphicData>
            </a:graphic>
          </wp:inline>
        </w:drawing>
      </w:r>
    </w:p>
    <w:p>
      <w:pPr>
        <w:spacing w:after="280"/>
      </w:pPr>
      <w:r>
        <w:rPr>
          <w:i/>
          <w:sz w:val="18"/>
        </w:rPr>
        <w:t xml:space="preserve">Note. </w:t>
      </w:r>
      <w:r>
        <w:rPr>
          <w:color w:val="5A6B7F"/>
          <w:sz w:val="18"/>
        </w:rPr>
        <w:t>Traced from the `when` block in `MainActivity.onCreate`, `AuthViewModel`, `AuthRepository` and `ClerkAuthManager.signIn`.</w:t>
      </w:r>
    </w:p>
    <w:p>
      <w:pPr>
        <w:pStyle w:val="Heading2"/>
      </w:pPr>
      <w:r>
        <w:t>9.2 Activity Diagram — The Five-Step Calculation Workflow</w:t>
      </w:r>
    </w:p>
    <w:p>
      <w:pPr>
        <w:spacing w:after="160"/>
      </w:pPr>
      <w:r>
        <w:t xml:space="preserve">The calculation wizard is the application's principal flow. Its most important structural property is the decision node after step three: the selected workflow determines which field groups step four renders, and therefore which validators run and which engine function is ultimately called. Validation is not a gate at the end of the form; it re-runs on every state change through a </w:t>
      </w:r>
      <w:r>
        <w:rPr>
          <w:rFonts w:ascii="Consolas" w:hAnsi="Consolas"/>
          <w:sz w:val="19"/>
        </w:rPr>
        <w:t>LaunchedEffect</w:t>
      </w:r>
      <w:r>
        <w:t xml:space="preserve"> keyed on the patient, dosing and sample state objects.</w:t>
      </w:r>
    </w:p>
    <w:p>
      <w:pPr>
        <w:spacing w:before="200" w:after="0"/>
        <w:keepNext w:val="true"/>
      </w:pPr>
      <w:r>
        <w:rPr>
          <w:b/>
          <w:sz w:val="21"/>
        </w:rPr>
        <w:t>Figure 5</w:t>
      </w:r>
    </w:p>
    <w:p>
      <w:pPr>
        <w:spacing w:after="120"/>
        <w:keepNext w:val="true"/>
      </w:pPr>
      <w:r>
        <w:rPr>
          <w:i/>
          <w:sz w:val="21"/>
        </w:rPr>
        <w:t>Activity diagram — the five-step TDM calculation workflow</w:t>
      </w:r>
    </w:p>
    <w:p>
      <w:pPr>
        <w:spacing w:after="80"/>
        <w:jc w:val="center"/>
      </w:pPr>
      <w:r>
        <w:drawing>
          <wp:inline xmlns:a="http://schemas.openxmlformats.org/drawingml/2006/main" xmlns:pic="http://schemas.openxmlformats.org/drawingml/2006/picture">
            <wp:extent cx="5669280" cy="3950208"/>
            <wp:docPr id="5" name="Picture 5"/>
            <wp:cNvGraphicFramePr>
              <a:graphicFrameLocks noChangeAspect="1"/>
            </wp:cNvGraphicFramePr>
            <a:graphic>
              <a:graphicData uri="http://schemas.openxmlformats.org/drawingml/2006/picture">
                <pic:pic>
                  <pic:nvPicPr>
                    <pic:cNvPr id="0" name="fig05-activity-calculation.png"/>
                    <pic:cNvPicPr/>
                  </pic:nvPicPr>
                  <pic:blipFill>
                    <a:blip r:embed="rId16"/>
                    <a:stretch>
                      <a:fillRect/>
                    </a:stretch>
                  </pic:blipFill>
                  <pic:spPr>
                    <a:xfrm>
                      <a:off x="0" y="0"/>
                      <a:ext cx="5669280" cy="3950208"/>
                    </a:xfrm>
                    <a:prstGeom prst="rect"/>
                  </pic:spPr>
                </pic:pic>
              </a:graphicData>
            </a:graphic>
          </wp:inline>
        </w:drawing>
      </w:r>
    </w:p>
    <w:p>
      <w:pPr>
        <w:spacing w:after="280"/>
      </w:pPr>
      <w:r>
        <w:rPr>
          <w:i/>
          <w:sz w:val="18"/>
        </w:rPr>
        <w:t xml:space="preserve">Note. </w:t>
      </w:r>
      <w:r>
        <w:rPr>
          <w:color w:val="5A6B7F"/>
          <w:sz w:val="18"/>
        </w:rPr>
        <w:t>The bar beneath the three workflow branches is a UML merge node: the branches are mutually exclusive and converge on a single input form whose content differs by workflow.</w:t>
      </w:r>
    </w:p>
    <w:p>
      <w:pPr>
        <w:pStyle w:val="Heading2"/>
      </w:pPr>
      <w:r>
        <w:t>9.3 Sequence Diagram — Running and Persisting a Calculation</w:t>
      </w:r>
    </w:p>
    <w:p>
      <w:pPr>
        <w:spacing w:after="160"/>
      </w:pPr>
      <w:r>
        <w:t xml:space="preserve">Figure 6 traces a Pre + Post calculation from the user's tap to the database write. Two design decisions are visible in the message ordering. First, validation happens </w:t>
      </w:r>
      <w:r>
        <w:rPr>
          <w:b/>
        </w:rPr>
        <w:t>before</w:t>
      </w:r>
      <w:r>
        <w:t xml:space="preserve"> the engine is called and again inside it, so the engine is never asked to operate on input the user interface has not already cleared. Second, persistence is dispatched in a nested </w:t>
      </w:r>
      <w:r>
        <w:rPr>
          <w:rFonts w:ascii="Consolas" w:hAnsi="Consolas"/>
          <w:sz w:val="19"/>
        </w:rPr>
        <w:t>launch</w:t>
      </w:r>
      <w:r>
        <w:t xml:space="preserve"> after the result has already been written to </w:t>
      </w:r>
      <w:r>
        <w:rPr>
          <w:rFonts w:ascii="Consolas" w:hAnsi="Consolas"/>
          <w:sz w:val="19"/>
        </w:rPr>
        <w:t>uiState</w:t>
      </w:r>
      <w:r>
        <w:t>, so the user sees the AUC₂₄ ring without waiting for the network and a failed insert cannot alter what is displayed.</w:t>
      </w:r>
    </w:p>
    <w:p>
      <w:pPr>
        <w:spacing w:before="200" w:after="0"/>
        <w:keepNext w:val="true"/>
      </w:pPr>
      <w:r>
        <w:rPr>
          <w:b/>
          <w:sz w:val="21"/>
        </w:rPr>
        <w:t>Figure 6</w:t>
      </w:r>
    </w:p>
    <w:p>
      <w:pPr>
        <w:spacing w:after="120"/>
        <w:keepNext w:val="true"/>
      </w:pPr>
      <w:r>
        <w:rPr>
          <w:i/>
          <w:sz w:val="21"/>
        </w:rPr>
        <w:t>Sequence diagram — running and persisting a Pre + Post calculation</w:t>
      </w:r>
    </w:p>
    <w:p>
      <w:pPr>
        <w:spacing w:after="80"/>
        <w:jc w:val="center"/>
      </w:pPr>
      <w:r>
        <w:drawing>
          <wp:inline xmlns:a="http://schemas.openxmlformats.org/drawingml/2006/main" xmlns:pic="http://schemas.openxmlformats.org/drawingml/2006/picture">
            <wp:extent cx="5669280" cy="2968498"/>
            <wp:docPr id="6" name="Picture 6"/>
            <wp:cNvGraphicFramePr>
              <a:graphicFrameLocks noChangeAspect="1"/>
            </wp:cNvGraphicFramePr>
            <a:graphic>
              <a:graphicData uri="http://schemas.openxmlformats.org/drawingml/2006/picture">
                <pic:pic>
                  <pic:nvPicPr>
                    <pic:cNvPr id="0" name="fig06-sequence-calculation.png"/>
                    <pic:cNvPicPr/>
                  </pic:nvPicPr>
                  <pic:blipFill>
                    <a:blip r:embed="rId17"/>
                    <a:stretch>
                      <a:fillRect/>
                    </a:stretch>
                  </pic:blipFill>
                  <pic:spPr>
                    <a:xfrm>
                      <a:off x="0" y="0"/>
                      <a:ext cx="5669280" cy="2968498"/>
                    </a:xfrm>
                    <a:prstGeom prst="rect"/>
                  </pic:spPr>
                </pic:pic>
              </a:graphicData>
            </a:graphic>
          </wp:inline>
        </w:drawing>
      </w:r>
    </w:p>
    <w:p>
      <w:pPr>
        <w:spacing w:after="280"/>
      </w:pPr>
      <w:r>
        <w:rPr>
          <w:i/>
          <w:sz w:val="18"/>
        </w:rPr>
        <w:t xml:space="preserve">Note. </w:t>
      </w:r>
      <w:r>
        <w:rPr>
          <w:color w:val="5A6B7F"/>
          <w:sz w:val="18"/>
        </w:rPr>
        <w:t>Filled arrowheads are synchronous calls; open arrowheads on dashed lines are returns. Traced from `CaseViewModel.runCalculation()`, `VancoEngine.calculatePrePost()` and `SupabaseRepository.saveCase()`.</w:t>
      </w:r>
    </w:p>
    <w:p>
      <w:pPr>
        <w:pStyle w:val="Heading1"/>
      </w:pPr>
      <w:r>
        <w:t>10. Data and Database Architecture</w:t>
      </w:r>
    </w:p>
    <w:p>
      <w:pPr>
        <w:pStyle w:val="Heading2"/>
      </w:pPr>
      <w:r>
        <w:t>10.1 Entity Relationship Model</w:t>
      </w:r>
    </w:p>
    <w:p>
      <w:pPr>
        <w:spacing w:after="160"/>
      </w:pPr>
      <w:r>
        <w:t xml:space="preserve">The schema is deliberately small: two tables, one index, one trigger and five Row Level Security policies. Its shape follows from the domain. A completed calculation is a fact about a moment in time and is never edited, so </w:t>
      </w:r>
      <w:r>
        <w:rPr>
          <w:rFonts w:ascii="Consolas" w:hAnsi="Consolas"/>
          <w:sz w:val="19"/>
        </w:rPr>
        <w:t>cases</w:t>
      </w:r>
      <w:r>
        <w:t xml:space="preserve"> is an append-only table that stores the inputs and the derived parameters side by side. Storing the derived values rather than recomputing them means the history list can be rendered without re-running the engine, and it preserves the audit record even if the engine's constants are later revised.</w:t>
      </w:r>
    </w:p>
    <w:p>
      <w:pPr>
        <w:spacing w:before="200" w:after="0"/>
        <w:keepNext w:val="true"/>
      </w:pPr>
      <w:r>
        <w:rPr>
          <w:b/>
          <w:sz w:val="21"/>
        </w:rPr>
        <w:t>Figure 7</w:t>
      </w:r>
    </w:p>
    <w:p>
      <w:pPr>
        <w:spacing w:after="120"/>
        <w:keepNext w:val="true"/>
      </w:pPr>
      <w:r>
        <w:rPr>
          <w:i/>
          <w:sz w:val="21"/>
        </w:rPr>
        <w:t>Entity relationship diagram and access control</w:t>
      </w:r>
    </w:p>
    <w:p>
      <w:pPr>
        <w:spacing w:after="80"/>
        <w:jc w:val="center"/>
      </w:pPr>
      <w:r>
        <w:drawing>
          <wp:inline xmlns:a="http://schemas.openxmlformats.org/drawingml/2006/main" xmlns:pic="http://schemas.openxmlformats.org/drawingml/2006/picture">
            <wp:extent cx="5669280" cy="3218688"/>
            <wp:docPr id="7" name="Picture 7"/>
            <wp:cNvGraphicFramePr>
              <a:graphicFrameLocks noChangeAspect="1"/>
            </wp:cNvGraphicFramePr>
            <a:graphic>
              <a:graphicData uri="http://schemas.openxmlformats.org/drawingml/2006/picture">
                <pic:pic>
                  <pic:nvPicPr>
                    <pic:cNvPr id="0" name="fig07-erd.png"/>
                    <pic:cNvPicPr/>
                  </pic:nvPicPr>
                  <pic:blipFill>
                    <a:blip r:embed="rId18"/>
                    <a:stretch>
                      <a:fillRect/>
                    </a:stretch>
                  </pic:blipFill>
                  <pic:spPr>
                    <a:xfrm>
                      <a:off x="0" y="0"/>
                      <a:ext cx="5669280" cy="3218688"/>
                    </a:xfrm>
                    <a:prstGeom prst="rect"/>
                  </pic:spPr>
                </pic:pic>
              </a:graphicData>
            </a:graphic>
          </wp:inline>
        </w:drawing>
      </w:r>
    </w:p>
    <w:p>
      <w:pPr>
        <w:spacing w:after="280"/>
      </w:pPr>
      <w:r>
        <w:rPr>
          <w:i/>
          <w:sz w:val="18"/>
        </w:rPr>
        <w:t xml:space="preserve">Note. </w:t>
      </w:r>
      <w:r>
        <w:rPr>
          <w:color w:val="5A6B7F"/>
          <w:sz w:val="18"/>
        </w:rPr>
        <w:t>Columns, types, constraints and policies are taken verbatim from `Kotlin_app/supabase/schema.sql` and `update_v2.sql`.</w:t>
      </w:r>
    </w:p>
    <w:p>
      <w:pPr>
        <w:pStyle w:val="Heading2"/>
      </w:pPr>
      <w:r>
        <w:t>10.2 Table Specifications</w:t>
      </w:r>
    </w:p>
    <w:p>
      <w:pPr>
        <w:spacing w:before="240" w:after="0"/>
        <w:keepNext w:val="true"/>
      </w:pPr>
      <w:r>
        <w:rPr>
          <w:b/>
          <w:sz w:val="21"/>
        </w:rPr>
        <w:t>Table 12</w:t>
      </w:r>
    </w:p>
    <w:p>
      <w:pPr>
        <w:spacing w:after="100"/>
        <w:keepNext w:val="true"/>
      </w:pPr>
      <w:r>
        <w:rPr>
          <w:i/>
          <w:sz w:val="21"/>
        </w:rPr>
        <w:t>The `cases` table</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1249"/>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7"/>
              </w:rPr>
              <w:t>Group</w:t>
            </w:r>
          </w:p>
        </w:tc>
        <w:tc>
          <w:tcPr>
            <w:tcW w:type="dxa" w:w="2611"/>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7"/>
              </w:rPr>
              <w:t>Columns</w:t>
            </w:r>
          </w:p>
        </w:tc>
        <w:tc>
          <w:tcPr>
            <w:tcW w:type="dxa" w:w="2611"/>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7"/>
              </w:rPr>
              <w:t>Type and constraint</w:t>
            </w:r>
          </w:p>
        </w:tc>
        <w:tc>
          <w:tcPr>
            <w:tcW w:type="dxa" w:w="2554"/>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7"/>
              </w:rPr>
              <w:t>Notes</w:t>
            </w:r>
          </w:p>
        </w:tc>
      </w:tr>
      <w:tr>
        <w:tc>
          <w:tcPr>
            <w:tcW w:type="dxa" w:w="1249"/>
            <w:tcBorders>
              <w:top w:val="nil" w:sz="6" w:color="C7D6E5"/>
              <w:bottom w:val="single" w:sz="6" w:color="C7D6E5"/>
              <w:left w:val="nil" w:sz="6" w:color="C7D6E5"/>
              <w:right w:val="nil" w:sz="6" w:color="C7D6E5"/>
            </w:tcBorders>
          </w:tcPr>
          <w:p>
            <w:pPr>
              <w:spacing w:after="40" w:before="40" w:line="252" w:lineRule="auto"/>
            </w:pPr>
            <w:r>
              <w:rPr>
                <w:sz w:val="17"/>
              </w:rPr>
              <w:t>Identity</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id</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uuid</w:t>
            </w:r>
            <w:r>
              <w:rPr>
                <w:sz w:val="17"/>
              </w:rPr>
              <w:t xml:space="preserve">, primary key, </w:t>
            </w:r>
            <w:r>
              <w:rPr>
                <w:rFonts w:ascii="Consolas" w:hAnsi="Consolas"/>
                <w:sz w:val="16"/>
              </w:rPr>
              <w:t>gen_random_uuid()</w:t>
            </w:r>
          </w:p>
        </w:tc>
        <w:tc>
          <w:tcPr>
            <w:tcW w:type="dxa" w:w="2554"/>
            <w:tcBorders>
              <w:top w:val="nil" w:sz="6" w:color="C7D6E5"/>
              <w:bottom w:val="single" w:sz="6" w:color="C7D6E5"/>
              <w:left w:val="nil" w:sz="6" w:color="C7D6E5"/>
              <w:right w:val="nil" w:sz="6" w:color="C7D6E5"/>
            </w:tcBorders>
          </w:tcPr>
          <w:p>
            <w:pPr>
              <w:spacing w:after="40" w:before="40" w:line="252" w:lineRule="auto"/>
            </w:pPr>
            <w:r>
              <w:rPr>
                <w:sz w:val="17"/>
              </w:rPr>
              <w:t>Assigned by PostgreSQL; the client never supplies it.</w:t>
            </w:r>
          </w:p>
        </w:tc>
      </w:tr>
      <w:tr>
        <w:tc>
          <w:tcPr>
            <w:tcW w:type="dxa" w:w="1249"/>
            <w:tcBorders>
              <w:top w:val="nil" w:sz="6" w:color="C7D6E5"/>
              <w:bottom w:val="single" w:sz="6" w:color="C7D6E5"/>
              <w:left w:val="nil" w:sz="6" w:color="C7D6E5"/>
              <w:right w:val="nil" w:sz="6" w:color="C7D6E5"/>
            </w:tcBorders>
          </w:tcPr>
          <w:p>
            <w:pPr>
              <w:spacing w:after="40" w:before="40" w:line="252" w:lineRule="auto"/>
            </w:pP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user_id</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text not null</w:t>
            </w:r>
            <w:r>
              <w:rPr>
                <w:sz w:val="17"/>
              </w:rPr>
              <w:t xml:space="preserve">, default </w:t>
            </w:r>
            <w:r>
              <w:rPr>
                <w:rFonts w:ascii="Consolas" w:hAnsi="Consolas"/>
                <w:sz w:val="16"/>
              </w:rPr>
              <w:t>'anonymous'</w:t>
            </w:r>
          </w:p>
        </w:tc>
        <w:tc>
          <w:tcPr>
            <w:tcW w:type="dxa" w:w="2554"/>
            <w:tcBorders>
              <w:top w:val="nil" w:sz="6" w:color="C7D6E5"/>
              <w:bottom w:val="single" w:sz="6" w:color="C7D6E5"/>
              <w:left w:val="nil" w:sz="6" w:color="C7D6E5"/>
              <w:right w:val="nil" w:sz="6" w:color="C7D6E5"/>
            </w:tcBorders>
          </w:tcPr>
          <w:p>
            <w:pPr>
              <w:spacing w:after="40" w:before="40" w:line="252" w:lineRule="auto"/>
            </w:pPr>
            <w:r>
              <w:rPr>
                <w:sz w:val="17"/>
              </w:rPr>
              <w:t xml:space="preserve">The Clerk user id. Falls back to </w:t>
            </w:r>
            <w:r>
              <w:rPr>
                <w:rFonts w:ascii="Consolas" w:hAnsi="Consolas"/>
                <w:sz w:val="16"/>
              </w:rPr>
              <w:t>'anonymous'</w:t>
            </w:r>
            <w:r>
              <w:rPr>
                <w:sz w:val="17"/>
              </w:rPr>
              <w:t xml:space="preserve"> when no session exists.</w:t>
            </w:r>
          </w:p>
        </w:tc>
      </w:tr>
      <w:tr>
        <w:tc>
          <w:tcPr>
            <w:tcW w:type="dxa" w:w="1249"/>
            <w:tcBorders>
              <w:top w:val="nil" w:sz="6" w:color="C7D6E5"/>
              <w:bottom w:val="single" w:sz="6" w:color="C7D6E5"/>
              <w:left w:val="nil" w:sz="6" w:color="C7D6E5"/>
              <w:right w:val="nil" w:sz="6" w:color="C7D6E5"/>
            </w:tcBorders>
          </w:tcPr>
          <w:p>
            <w:pPr>
              <w:spacing w:after="40" w:before="40" w:line="252" w:lineRule="auto"/>
            </w:pP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created_at</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timestamptz not null default now()</w:t>
            </w:r>
          </w:p>
        </w:tc>
        <w:tc>
          <w:tcPr>
            <w:tcW w:type="dxa" w:w="2554"/>
            <w:tcBorders>
              <w:top w:val="nil" w:sz="6" w:color="C7D6E5"/>
              <w:bottom w:val="single" w:sz="6" w:color="C7D6E5"/>
              <w:left w:val="nil" w:sz="6" w:color="C7D6E5"/>
              <w:right w:val="nil" w:sz="6" w:color="C7D6E5"/>
            </w:tcBorders>
          </w:tcPr>
          <w:p>
            <w:pPr>
              <w:spacing w:after="40" w:before="40" w:line="252" w:lineRule="auto"/>
            </w:pPr>
            <w:r>
              <w:rPr>
                <w:sz w:val="17"/>
              </w:rPr>
              <w:t>Server clock; used for ordering the history list.</w:t>
            </w:r>
          </w:p>
        </w:tc>
      </w:tr>
      <w:tr>
        <w:tc>
          <w:tcPr>
            <w:tcW w:type="dxa" w:w="1249"/>
            <w:tcBorders>
              <w:top w:val="nil" w:sz="6" w:color="C7D6E5"/>
              <w:bottom w:val="single" w:sz="6" w:color="C7D6E5"/>
              <w:left w:val="nil" w:sz="6" w:color="C7D6E5"/>
              <w:right w:val="nil" w:sz="6" w:color="C7D6E5"/>
            </w:tcBorders>
          </w:tcPr>
          <w:p>
            <w:pPr>
              <w:spacing w:after="40" w:before="40" w:line="252" w:lineRule="auto"/>
            </w:pPr>
            <w:r>
              <w:rPr>
                <w:sz w:val="17"/>
              </w:rPr>
              <w:t>Case</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case_label</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text not null</w:t>
            </w:r>
          </w:p>
        </w:tc>
        <w:tc>
          <w:tcPr>
            <w:tcW w:type="dxa" w:w="2554"/>
            <w:tcBorders>
              <w:top w:val="nil" w:sz="6" w:color="C7D6E5"/>
              <w:bottom w:val="single" w:sz="6" w:color="C7D6E5"/>
              <w:left w:val="nil" w:sz="6" w:color="C7D6E5"/>
              <w:right w:val="nil" w:sz="6" w:color="C7D6E5"/>
            </w:tcBorders>
          </w:tcPr>
          <w:p>
            <w:pPr>
              <w:spacing w:after="40" w:before="40" w:line="252" w:lineRule="auto"/>
            </w:pPr>
            <w:r>
              <w:rPr>
                <w:sz w:val="17"/>
              </w:rPr>
              <w:t xml:space="preserve">The user's fictional case identifier, or a generated </w:t>
            </w:r>
            <w:r>
              <w:rPr>
                <w:rFonts w:ascii="Consolas" w:hAnsi="Consolas"/>
                <w:sz w:val="16"/>
              </w:rPr>
              <w:t>Case-&lt;epoch&gt;</w:t>
            </w:r>
            <w:r>
              <w:rPr>
                <w:sz w:val="17"/>
              </w:rPr>
              <w:t xml:space="preserve"> label if left blank.</w:t>
            </w:r>
          </w:p>
        </w:tc>
      </w:tr>
      <w:tr>
        <w:tc>
          <w:tcPr>
            <w:tcW w:type="dxa" w:w="1249"/>
            <w:tcBorders>
              <w:top w:val="nil" w:sz="6" w:color="C7D6E5"/>
              <w:bottom w:val="single" w:sz="6" w:color="C7D6E5"/>
              <w:left w:val="nil" w:sz="6" w:color="C7D6E5"/>
              <w:right w:val="nil" w:sz="6" w:color="C7D6E5"/>
            </w:tcBorders>
          </w:tcPr>
          <w:p>
            <w:pPr>
              <w:spacing w:after="40" w:before="40" w:line="252" w:lineRule="auto"/>
            </w:pP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workflow</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text not null</w:t>
            </w:r>
            <w:r>
              <w:rPr>
                <w:sz w:val="17"/>
              </w:rPr>
              <w:t xml:space="preserve">, </w:t>
            </w:r>
            <w:r>
              <w:rPr>
                <w:rFonts w:ascii="Consolas" w:hAnsi="Consolas"/>
                <w:sz w:val="16"/>
              </w:rPr>
              <w:t>CHECK IN ('PRE','POST','PRE_POST')</w:t>
            </w:r>
          </w:p>
        </w:tc>
        <w:tc>
          <w:tcPr>
            <w:tcW w:type="dxa" w:w="2554"/>
            <w:tcBorders>
              <w:top w:val="nil" w:sz="6" w:color="C7D6E5"/>
              <w:bottom w:val="single" w:sz="6" w:color="C7D6E5"/>
              <w:left w:val="nil" w:sz="6" w:color="C7D6E5"/>
              <w:right w:val="nil" w:sz="6" w:color="C7D6E5"/>
            </w:tcBorders>
          </w:tcPr>
          <w:p>
            <w:pPr>
              <w:spacing w:after="40" w:before="40" w:line="252" w:lineRule="auto"/>
            </w:pPr>
            <w:r>
              <w:rPr>
                <w:sz w:val="17"/>
              </w:rPr>
              <w:t xml:space="preserve">Mirrors the </w:t>
            </w:r>
            <w:r>
              <w:rPr>
                <w:rFonts w:ascii="Consolas" w:hAnsi="Consolas"/>
                <w:sz w:val="16"/>
              </w:rPr>
              <w:t>VancoWorkflow</w:t>
            </w:r>
            <w:r>
              <w:rPr>
                <w:sz w:val="17"/>
              </w:rPr>
              <w:t xml:space="preserve"> enumeration.</w:t>
            </w:r>
          </w:p>
        </w:tc>
      </w:tr>
      <w:tr>
        <w:tc>
          <w:tcPr>
            <w:tcW w:type="dxa" w:w="1249"/>
            <w:tcBorders>
              <w:top w:val="nil" w:sz="6" w:color="C7D6E5"/>
              <w:bottom w:val="single" w:sz="6" w:color="C7D6E5"/>
              <w:left w:val="nil" w:sz="6" w:color="C7D6E5"/>
              <w:right w:val="nil" w:sz="6" w:color="C7D6E5"/>
            </w:tcBorders>
          </w:tcPr>
          <w:p>
            <w:pPr>
              <w:spacing w:after="40" w:before="40" w:line="252" w:lineRule="auto"/>
            </w:pPr>
            <w:r>
              <w:rPr>
                <w:sz w:val="17"/>
              </w:rPr>
              <w:t>Demographics</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weight_kg</w:t>
            </w:r>
            <w:r>
              <w:rPr>
                <w:sz w:val="17"/>
              </w:rPr>
              <w:t xml:space="preserve">, </w:t>
            </w:r>
            <w:r>
              <w:rPr>
                <w:rFonts w:ascii="Consolas" w:hAnsi="Consolas"/>
                <w:sz w:val="16"/>
              </w:rPr>
              <w:t>age_years</w:t>
            </w:r>
            <w:r>
              <w:rPr>
                <w:sz w:val="17"/>
              </w:rPr>
              <w:t xml:space="preserve">, </w:t>
            </w:r>
            <w:r>
              <w:rPr>
                <w:rFonts w:ascii="Consolas" w:hAnsi="Consolas"/>
                <w:sz w:val="16"/>
              </w:rPr>
              <w:t>is_male</w:t>
            </w:r>
            <w:r>
              <w:rPr>
                <w:sz w:val="17"/>
              </w:rPr>
              <w:t xml:space="preserve">, </w:t>
            </w:r>
            <w:r>
              <w:rPr>
                <w:rFonts w:ascii="Consolas" w:hAnsi="Consolas"/>
                <w:sz w:val="16"/>
              </w:rPr>
              <w:t>scr_umol_l</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float8</w:t>
            </w:r>
            <w:r>
              <w:rPr>
                <w:sz w:val="17"/>
              </w:rPr>
              <w:t xml:space="preserve">, </w:t>
            </w:r>
            <w:r>
              <w:rPr>
                <w:rFonts w:ascii="Consolas" w:hAnsi="Consolas"/>
                <w:sz w:val="16"/>
              </w:rPr>
              <w:t>int</w:t>
            </w:r>
            <w:r>
              <w:rPr>
                <w:sz w:val="17"/>
              </w:rPr>
              <w:t xml:space="preserve">, </w:t>
            </w:r>
            <w:r>
              <w:rPr>
                <w:rFonts w:ascii="Consolas" w:hAnsi="Consolas"/>
                <w:sz w:val="16"/>
              </w:rPr>
              <w:t>boolean</w:t>
            </w:r>
            <w:r>
              <w:rPr>
                <w:sz w:val="17"/>
              </w:rPr>
              <w:t xml:space="preserve">, </w:t>
            </w:r>
            <w:r>
              <w:rPr>
                <w:rFonts w:ascii="Consolas" w:hAnsi="Consolas"/>
                <w:sz w:val="16"/>
              </w:rPr>
              <w:t>float8</w:t>
            </w:r>
            <w:r>
              <w:rPr>
                <w:sz w:val="17"/>
              </w:rPr>
              <w:t xml:space="preserve"> — all </w:t>
            </w:r>
            <w:r>
              <w:rPr>
                <w:rFonts w:ascii="Consolas" w:hAnsi="Consolas"/>
                <w:sz w:val="16"/>
              </w:rPr>
              <w:t>not null</w:t>
            </w:r>
          </w:p>
        </w:tc>
        <w:tc>
          <w:tcPr>
            <w:tcW w:type="dxa" w:w="2554"/>
            <w:tcBorders>
              <w:top w:val="nil" w:sz="6" w:color="C7D6E5"/>
              <w:bottom w:val="single" w:sz="6" w:color="C7D6E5"/>
              <w:left w:val="nil" w:sz="6" w:color="C7D6E5"/>
              <w:right w:val="nil" w:sz="6" w:color="C7D6E5"/>
            </w:tcBorders>
          </w:tcPr>
          <w:p>
            <w:pPr>
              <w:spacing w:after="40" w:before="40" w:line="252" w:lineRule="auto"/>
            </w:pPr>
            <w:r>
              <w:rPr>
                <w:sz w:val="17"/>
              </w:rPr>
              <w:t>Height is captured by the UI but is not persisted.</w:t>
            </w:r>
          </w:p>
        </w:tc>
      </w:tr>
      <w:tr>
        <w:tc>
          <w:tcPr>
            <w:tcW w:type="dxa" w:w="1249"/>
            <w:tcBorders>
              <w:top w:val="nil" w:sz="6" w:color="C7D6E5"/>
              <w:bottom w:val="single" w:sz="6" w:color="C7D6E5"/>
              <w:left w:val="nil" w:sz="6" w:color="C7D6E5"/>
              <w:right w:val="nil" w:sz="6" w:color="C7D6E5"/>
            </w:tcBorders>
          </w:tcPr>
          <w:p>
            <w:pPr>
              <w:spacing w:after="40" w:before="40" w:line="252" w:lineRule="auto"/>
            </w:pPr>
            <w:r>
              <w:rPr>
                <w:sz w:val="17"/>
              </w:rPr>
              <w:t>Regimen</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dose_mg</w:t>
            </w:r>
            <w:r>
              <w:rPr>
                <w:sz w:val="17"/>
              </w:rPr>
              <w:t xml:space="preserve">, </w:t>
            </w:r>
            <w:r>
              <w:rPr>
                <w:rFonts w:ascii="Consolas" w:hAnsi="Consolas"/>
                <w:sz w:val="16"/>
              </w:rPr>
              <w:t>interval_hours</w:t>
            </w:r>
            <w:r>
              <w:rPr>
                <w:sz w:val="17"/>
              </w:rPr>
              <w:t xml:space="preserve">, </w:t>
            </w:r>
            <w:r>
              <w:rPr>
                <w:rFonts w:ascii="Consolas" w:hAnsi="Consolas"/>
                <w:sz w:val="16"/>
              </w:rPr>
              <w:t>infusion_duration_hours</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float8 not null</w:t>
            </w:r>
          </w:p>
        </w:tc>
        <w:tc>
          <w:tcPr>
            <w:tcW w:type="dxa" w:w="2554"/>
            <w:tcBorders>
              <w:top w:val="nil" w:sz="6" w:color="C7D6E5"/>
              <w:bottom w:val="single" w:sz="6" w:color="C7D6E5"/>
              <w:left w:val="nil" w:sz="6" w:color="C7D6E5"/>
              <w:right w:val="nil" w:sz="6" w:color="C7D6E5"/>
            </w:tcBorders>
          </w:tcPr>
          <w:p>
            <w:pPr>
              <w:spacing w:after="40" w:before="40" w:line="252" w:lineRule="auto"/>
            </w:pPr>
            <w:r>
              <w:rPr>
                <w:sz w:val="17"/>
              </w:rPr>
              <w:t>The regimen as prescribed.</w:t>
            </w:r>
          </w:p>
        </w:tc>
      </w:tr>
      <w:tr>
        <w:tc>
          <w:tcPr>
            <w:tcW w:type="dxa" w:w="1249"/>
            <w:tcBorders>
              <w:top w:val="nil" w:sz="6" w:color="C7D6E5"/>
              <w:bottom w:val="single" w:sz="6" w:color="C7D6E5"/>
              <w:left w:val="nil" w:sz="6" w:color="C7D6E5"/>
              <w:right w:val="nil" w:sz="6" w:color="C7D6E5"/>
            </w:tcBorders>
          </w:tcPr>
          <w:p>
            <w:pPr>
              <w:spacing w:after="40" w:before="40" w:line="252" w:lineRule="auto"/>
            </w:pPr>
            <w:r>
              <w:rPr>
                <w:sz w:val="17"/>
              </w:rPr>
              <w:t>Samples</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pre_conc_mg_l</w:t>
            </w:r>
            <w:r>
              <w:rPr>
                <w:sz w:val="17"/>
              </w:rPr>
              <w:t xml:space="preserve">, </w:t>
            </w:r>
            <w:r>
              <w:rPr>
                <w:rFonts w:ascii="Consolas" w:hAnsi="Consolas"/>
                <w:sz w:val="16"/>
              </w:rPr>
              <w:t>pre_time_h</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float8</w:t>
            </w:r>
            <w:r>
              <w:rPr>
                <w:sz w:val="17"/>
              </w:rPr>
              <w:t>, nullable</w:t>
            </w:r>
          </w:p>
        </w:tc>
        <w:tc>
          <w:tcPr>
            <w:tcW w:type="dxa" w:w="2554"/>
            <w:tcBorders>
              <w:top w:val="nil" w:sz="6" w:color="C7D6E5"/>
              <w:bottom w:val="single" w:sz="6" w:color="C7D6E5"/>
              <w:left w:val="nil" w:sz="6" w:color="C7D6E5"/>
              <w:right w:val="nil" w:sz="6" w:color="C7D6E5"/>
            </w:tcBorders>
          </w:tcPr>
          <w:p>
            <w:pPr>
              <w:spacing w:after="40" w:before="40" w:line="252" w:lineRule="auto"/>
            </w:pPr>
            <w:r>
              <w:rPr>
                <w:sz w:val="17"/>
              </w:rPr>
              <w:t>Null for the POST workflow.</w:t>
            </w:r>
          </w:p>
        </w:tc>
      </w:tr>
      <w:tr>
        <w:tc>
          <w:tcPr>
            <w:tcW w:type="dxa" w:w="1249"/>
            <w:tcBorders>
              <w:top w:val="nil" w:sz="6" w:color="C7D6E5"/>
              <w:bottom w:val="single" w:sz="6" w:color="C7D6E5"/>
              <w:left w:val="nil" w:sz="6" w:color="C7D6E5"/>
              <w:right w:val="nil" w:sz="6" w:color="C7D6E5"/>
            </w:tcBorders>
          </w:tcPr>
          <w:p>
            <w:pPr>
              <w:spacing w:after="40" w:before="40" w:line="252" w:lineRule="auto"/>
            </w:pP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post_conc_mg_l</w:t>
            </w:r>
            <w:r>
              <w:rPr>
                <w:sz w:val="17"/>
              </w:rPr>
              <w:t xml:space="preserve">, </w:t>
            </w:r>
            <w:r>
              <w:rPr>
                <w:rFonts w:ascii="Consolas" w:hAnsi="Consolas"/>
                <w:sz w:val="16"/>
              </w:rPr>
              <w:t>post_time_h</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float8</w:t>
            </w:r>
            <w:r>
              <w:rPr>
                <w:sz w:val="17"/>
              </w:rPr>
              <w:t>, nullable</w:t>
            </w:r>
          </w:p>
        </w:tc>
        <w:tc>
          <w:tcPr>
            <w:tcW w:type="dxa" w:w="2554"/>
            <w:tcBorders>
              <w:top w:val="nil" w:sz="6" w:color="C7D6E5"/>
              <w:bottom w:val="single" w:sz="6" w:color="C7D6E5"/>
              <w:left w:val="nil" w:sz="6" w:color="C7D6E5"/>
              <w:right w:val="nil" w:sz="6" w:color="C7D6E5"/>
            </w:tcBorders>
          </w:tcPr>
          <w:p>
            <w:pPr>
              <w:spacing w:after="40" w:before="40" w:line="252" w:lineRule="auto"/>
            </w:pPr>
            <w:r>
              <w:rPr>
                <w:sz w:val="17"/>
              </w:rPr>
              <w:t>Null for the PRE workflow.</w:t>
            </w:r>
          </w:p>
        </w:tc>
      </w:tr>
      <w:tr>
        <w:tc>
          <w:tcPr>
            <w:tcW w:type="dxa" w:w="1249"/>
            <w:tcBorders>
              <w:top w:val="nil" w:sz="6" w:color="C7D6E5"/>
              <w:bottom w:val="single" w:sz="6" w:color="C7D6E5"/>
              <w:left w:val="nil" w:sz="6" w:color="C7D6E5"/>
              <w:right w:val="nil" w:sz="6" w:color="C7D6E5"/>
            </w:tcBorders>
          </w:tcPr>
          <w:p>
            <w:pPr>
              <w:spacing w:after="40" w:before="40" w:line="252" w:lineRule="auto"/>
            </w:pPr>
            <w:r>
              <w:rPr>
                <w:sz w:val="17"/>
              </w:rPr>
              <w:t>Derived</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ke_per_hour</w:t>
            </w:r>
            <w:r>
              <w:rPr>
                <w:sz w:val="17"/>
              </w:rPr>
              <w:t xml:space="preserve">, </w:t>
            </w:r>
            <w:r>
              <w:rPr>
                <w:rFonts w:ascii="Consolas" w:hAnsi="Consolas"/>
                <w:sz w:val="16"/>
              </w:rPr>
              <w:t>half_life_hours</w:t>
            </w:r>
            <w:r>
              <w:rPr>
                <w:sz w:val="17"/>
              </w:rPr>
              <w:t xml:space="preserve">, </w:t>
            </w:r>
            <w:r>
              <w:rPr>
                <w:rFonts w:ascii="Consolas" w:hAnsi="Consolas"/>
                <w:sz w:val="16"/>
              </w:rPr>
              <w:t>vd_l</w:t>
            </w:r>
            <w:r>
              <w:rPr>
                <w:sz w:val="17"/>
              </w:rPr>
              <w:t xml:space="preserve">, </w:t>
            </w:r>
            <w:r>
              <w:rPr>
                <w:rFonts w:ascii="Consolas" w:hAnsi="Consolas"/>
                <w:sz w:val="16"/>
              </w:rPr>
              <w:t>vd_l_per_kg</w:t>
            </w:r>
            <w:r>
              <w:rPr>
                <w:sz w:val="17"/>
              </w:rPr>
              <w:t xml:space="preserve">, </w:t>
            </w:r>
            <w:r>
              <w:rPr>
                <w:rFonts w:ascii="Consolas" w:hAnsi="Consolas"/>
                <w:sz w:val="16"/>
              </w:rPr>
              <w:t>clearance_l_per_hour</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float8</w:t>
            </w:r>
            <w:r>
              <w:rPr>
                <w:sz w:val="17"/>
              </w:rPr>
              <w:t>, nullable</w:t>
            </w:r>
          </w:p>
        </w:tc>
        <w:tc>
          <w:tcPr>
            <w:tcW w:type="dxa" w:w="2554"/>
            <w:tcBorders>
              <w:top w:val="nil" w:sz="6" w:color="C7D6E5"/>
              <w:bottom w:val="single" w:sz="6" w:color="C7D6E5"/>
              <w:left w:val="nil" w:sz="6" w:color="C7D6E5"/>
              <w:right w:val="nil" w:sz="6" w:color="C7D6E5"/>
            </w:tcBorders>
          </w:tcPr>
          <w:p>
            <w:pPr>
              <w:spacing w:after="40" w:before="40" w:line="252" w:lineRule="auto"/>
            </w:pPr>
            <w:r>
              <w:rPr>
                <w:sz w:val="17"/>
              </w:rPr>
              <w:t>The intermediate pharmacokinetic parameters.</w:t>
            </w:r>
          </w:p>
        </w:tc>
      </w:tr>
      <w:tr>
        <w:tc>
          <w:tcPr>
            <w:tcW w:type="dxa" w:w="1249"/>
            <w:tcBorders>
              <w:top w:val="nil" w:sz="6" w:color="C7D6E5"/>
              <w:bottom w:val="single" w:sz="6" w:color="C7D6E5"/>
              <w:left w:val="nil" w:sz="6" w:color="C7D6E5"/>
              <w:right w:val="nil" w:sz="6" w:color="C7D6E5"/>
            </w:tcBorders>
          </w:tcPr>
          <w:p>
            <w:pPr>
              <w:spacing w:after="40" w:before="40" w:line="252" w:lineRule="auto"/>
            </w:pP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auc24</w:t>
            </w:r>
            <w:r>
              <w:rPr>
                <w:sz w:val="17"/>
              </w:rPr>
              <w:t xml:space="preserve">, </w:t>
            </w:r>
            <w:r>
              <w:rPr>
                <w:rFonts w:ascii="Consolas" w:hAnsi="Consolas"/>
                <w:sz w:val="16"/>
              </w:rPr>
              <w:t>recommended_dose_mg</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float8</w:t>
            </w:r>
            <w:r>
              <w:rPr>
                <w:sz w:val="17"/>
              </w:rPr>
              <w:t>, nullable</w:t>
            </w:r>
          </w:p>
        </w:tc>
        <w:tc>
          <w:tcPr>
            <w:tcW w:type="dxa" w:w="2554"/>
            <w:tcBorders>
              <w:top w:val="nil" w:sz="6" w:color="C7D6E5"/>
              <w:bottom w:val="single" w:sz="6" w:color="C7D6E5"/>
              <w:left w:val="nil" w:sz="6" w:color="C7D6E5"/>
              <w:right w:val="nil" w:sz="6" w:color="C7D6E5"/>
            </w:tcBorders>
          </w:tcPr>
          <w:p>
            <w:pPr>
              <w:spacing w:after="40" w:before="40" w:line="252" w:lineRule="auto"/>
            </w:pPr>
            <w:r>
              <w:rPr>
                <w:sz w:val="17"/>
              </w:rPr>
              <w:t>The primary outputs. Target band 400–600 mg·h/L.</w:t>
            </w:r>
          </w:p>
        </w:tc>
      </w:tr>
      <w:tr>
        <w:tc>
          <w:tcPr>
            <w:tcW w:type="dxa" w:w="1249"/>
            <w:tcBorders>
              <w:top w:val="nil" w:sz="6" w:color="C7D6E5"/>
              <w:bottom w:val="single" w:sz="6" w:color="C7D6E5"/>
              <w:left w:val="nil" w:sz="6" w:color="C7D6E5"/>
              <w:right w:val="nil" w:sz="6" w:color="C7D6E5"/>
            </w:tcBorders>
          </w:tcPr>
          <w:p>
            <w:pPr>
              <w:spacing w:after="40" w:before="40" w:line="252" w:lineRule="auto"/>
            </w:pP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c_min</w:t>
            </w:r>
            <w:r>
              <w:rPr>
                <w:sz w:val="17"/>
              </w:rPr>
              <w:t xml:space="preserve">, </w:t>
            </w:r>
            <w:r>
              <w:rPr>
                <w:rFonts w:ascii="Consolas" w:hAnsi="Consolas"/>
                <w:sz w:val="16"/>
              </w:rPr>
              <w:t>c_max</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float8</w:t>
            </w:r>
            <w:r>
              <w:rPr>
                <w:sz w:val="17"/>
              </w:rPr>
              <w:t>, nullable</w:t>
            </w:r>
          </w:p>
        </w:tc>
        <w:tc>
          <w:tcPr>
            <w:tcW w:type="dxa" w:w="2554"/>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6"/>
              </w:rPr>
              <w:t>c_max</w:t>
            </w:r>
            <w:r>
              <w:rPr>
                <w:sz w:val="17"/>
              </w:rPr>
              <w:t xml:space="preserve"> is null for the PRE workflow, which returns no projected peak.</w:t>
            </w:r>
          </w:p>
        </w:tc>
      </w:tr>
    </w:tbl>
    <w:p>
      <w:pPr>
        <w:spacing w:before="80" w:after="280"/>
      </w:pPr>
      <w:r>
        <w:rPr>
          <w:i/>
          <w:sz w:val="18"/>
        </w:rPr>
        <w:t xml:space="preserve">Note. </w:t>
      </w:r>
      <w:r>
        <w:rPr>
          <w:color w:val="5A6B7F"/>
          <w:sz w:val="18"/>
        </w:rPr>
        <w:t>Index `cases_user_created_idx (user_id, created_at DESC)` supports the history query directly.</w:t>
      </w:r>
    </w:p>
    <w:p>
      <w:pPr>
        <w:spacing w:before="240" w:after="0"/>
        <w:keepNext w:val="true"/>
      </w:pPr>
      <w:r>
        <w:rPr>
          <w:b/>
          <w:sz w:val="21"/>
        </w:rPr>
        <w:t>Table 13</w:t>
      </w:r>
    </w:p>
    <w:p>
      <w:pPr>
        <w:spacing w:after="100"/>
        <w:keepNext w:val="true"/>
      </w:pPr>
      <w:r>
        <w:rPr>
          <w:i/>
          <w:sz w:val="21"/>
        </w:rPr>
        <w:t>The `user_profiles` table</w:t>
      </w:r>
    </w:p>
    <w:tbl>
      <w:tblPr>
        <w:tblStyle w:val="TableGrid"/>
        <w:tblW w:type="auto" w:w="0"/>
        <w:jc w:val="center"/>
        <w:tblLayout w:type="fixed"/>
        <w:tblLook w:firstColumn="1" w:firstRow="1" w:lastColumn="0" w:lastRow="0" w:noHBand="0" w:noVBand="1" w:val="04A0"/>
        <w:tblLayout w:type="fixed"/>
      </w:tblPr>
      <w:tblGrid>
        <w:gridCol w:w="3009"/>
        <w:gridCol w:w="3009"/>
        <w:gridCol w:w="3009"/>
      </w:tblGrid>
      <w:tr>
        <w:trPr>
          <w:tblHeader w:val="true"/>
        </w:trPr>
        <w:tc>
          <w:tcPr>
            <w:tcW w:type="dxa" w:w="1930"/>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Column</w:t>
            </w:r>
          </w:p>
        </w:tc>
        <w:tc>
          <w:tcPr>
            <w:tcW w:type="dxa" w:w="2611"/>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Type</w:t>
            </w:r>
          </w:p>
        </w:tc>
        <w:tc>
          <w:tcPr>
            <w:tcW w:type="dxa" w:w="4484"/>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Notes</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user_id</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text</w:t>
            </w:r>
            <w:r>
              <w:rPr>
                <w:sz w:val="18"/>
              </w:rPr>
              <w:t>, primary key</w:t>
            </w:r>
          </w:p>
        </w:tc>
        <w:tc>
          <w:tcPr>
            <w:tcW w:type="dxa" w:w="4484"/>
            <w:tcBorders>
              <w:top w:val="nil" w:sz="6" w:color="C7D6E5"/>
              <w:bottom w:val="single" w:sz="6" w:color="C7D6E5"/>
              <w:left w:val="nil" w:sz="6" w:color="C7D6E5"/>
              <w:right w:val="nil" w:sz="6" w:color="C7D6E5"/>
            </w:tcBorders>
          </w:tcPr>
          <w:p>
            <w:pPr>
              <w:spacing w:after="40" w:before="40" w:line="252" w:lineRule="auto"/>
            </w:pPr>
            <w:r>
              <w:rPr>
                <w:sz w:val="18"/>
              </w:rPr>
              <w:t xml:space="preserve">The Clerk user id; the join key to </w:t>
            </w:r>
            <w:r>
              <w:rPr>
                <w:rFonts w:ascii="Consolas" w:hAnsi="Consolas"/>
                <w:sz w:val="17"/>
              </w:rPr>
              <w:t>cases</w:t>
            </w:r>
            <w:r>
              <w:rPr>
                <w:sz w:val="18"/>
              </w:rPr>
              <w:t>.</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display_name</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text</w:t>
            </w:r>
            <w:r>
              <w:rPr>
                <w:sz w:val="18"/>
              </w:rPr>
              <w:t>, nullable</w:t>
            </w:r>
          </w:p>
        </w:tc>
        <w:tc>
          <w:tcPr>
            <w:tcW w:type="dxa" w:w="4484"/>
            <w:tcBorders>
              <w:top w:val="nil" w:sz="6" w:color="C7D6E5"/>
              <w:bottom w:val="single" w:sz="6" w:color="C7D6E5"/>
              <w:left w:val="nil" w:sz="6" w:color="C7D6E5"/>
              <w:right w:val="nil" w:sz="6" w:color="C7D6E5"/>
            </w:tcBorders>
          </w:tcPr>
          <w:p>
            <w:pPr>
              <w:spacing w:after="40" w:before="40" w:line="252" w:lineRule="auto"/>
            </w:pPr>
            <w:r>
              <w:rPr>
                <w:sz w:val="18"/>
              </w:rPr>
              <w:t>Not written by the application.</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institution</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text</w:t>
            </w:r>
            <w:r>
              <w:rPr>
                <w:sz w:val="18"/>
              </w:rPr>
              <w:t>, nullable</w:t>
            </w:r>
          </w:p>
        </w:tc>
        <w:tc>
          <w:tcPr>
            <w:tcW w:type="dxa" w:w="4484"/>
            <w:tcBorders>
              <w:top w:val="nil" w:sz="6" w:color="C7D6E5"/>
              <w:bottom w:val="single" w:sz="6" w:color="C7D6E5"/>
              <w:left w:val="nil" w:sz="6" w:color="C7D6E5"/>
              <w:right w:val="nil" w:sz="6" w:color="C7D6E5"/>
            </w:tcBorders>
          </w:tcPr>
          <w:p>
            <w:pPr>
              <w:spacing w:after="40" w:before="40" w:line="252" w:lineRule="auto"/>
            </w:pPr>
            <w:r>
              <w:rPr>
                <w:sz w:val="18"/>
              </w:rPr>
              <w:t>Not written by the application.</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department</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text</w:t>
            </w:r>
            <w:r>
              <w:rPr>
                <w:sz w:val="18"/>
              </w:rPr>
              <w:t>, nullable</w:t>
            </w:r>
          </w:p>
        </w:tc>
        <w:tc>
          <w:tcPr>
            <w:tcW w:type="dxa" w:w="4484"/>
            <w:tcBorders>
              <w:top w:val="nil" w:sz="6" w:color="C7D6E5"/>
              <w:bottom w:val="single" w:sz="6" w:color="C7D6E5"/>
              <w:left w:val="nil" w:sz="6" w:color="C7D6E5"/>
              <w:right w:val="nil" w:sz="6" w:color="C7D6E5"/>
            </w:tcBorders>
          </w:tcPr>
          <w:p>
            <w:pPr>
              <w:spacing w:after="40" w:before="40" w:line="252" w:lineRule="auto"/>
            </w:pPr>
            <w:r>
              <w:rPr>
                <w:sz w:val="18"/>
              </w:rPr>
              <w:t>Not written by the application.</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role</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text</w:t>
            </w:r>
            <w:r>
              <w:rPr>
                <w:sz w:val="18"/>
              </w:rPr>
              <w:t xml:space="preserve">, default </w:t>
            </w:r>
            <w:r>
              <w:rPr>
                <w:rFonts w:ascii="Consolas" w:hAnsi="Consolas"/>
                <w:sz w:val="17"/>
              </w:rPr>
              <w:t>'student'</w:t>
            </w:r>
          </w:p>
        </w:tc>
        <w:tc>
          <w:tcPr>
            <w:tcW w:type="dxa" w:w="4484"/>
            <w:tcBorders>
              <w:top w:val="nil" w:sz="6" w:color="C7D6E5"/>
              <w:bottom w:val="single" w:sz="6" w:color="C7D6E5"/>
              <w:left w:val="nil" w:sz="6" w:color="C7D6E5"/>
              <w:right w:val="nil" w:sz="6" w:color="C7D6E5"/>
            </w:tcBorders>
          </w:tcPr>
          <w:p>
            <w:pPr>
              <w:spacing w:after="40" w:before="40" w:line="252" w:lineRule="auto"/>
            </w:pPr>
            <w:r>
              <w:rPr>
                <w:sz w:val="18"/>
              </w:rPr>
              <w:t>Intended values: student, pharmacist, doctor.</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created_at</w:t>
            </w:r>
            <w:r>
              <w:rPr>
                <w:sz w:val="18"/>
              </w:rPr>
              <w:t xml:space="preserve">, </w:t>
            </w:r>
            <w:r>
              <w:rPr>
                <w:rFonts w:ascii="Consolas" w:hAnsi="Consolas"/>
                <w:sz w:val="17"/>
              </w:rPr>
              <w:t>updated_at</w:t>
            </w:r>
          </w:p>
        </w:tc>
        <w:tc>
          <w:tcPr>
            <w:tcW w:type="dxa" w:w="261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timestamptz not null default now()</w:t>
            </w:r>
          </w:p>
        </w:tc>
        <w:tc>
          <w:tcPr>
            <w:tcW w:type="dxa" w:w="4484"/>
            <w:tcBorders>
              <w:top w:val="nil" w:sz="6" w:color="C7D6E5"/>
              <w:bottom w:val="single" w:sz="6" w:color="C7D6E5"/>
              <w:left w:val="nil" w:sz="6" w:color="C7D6E5"/>
              <w:right w:val="nil" w:sz="6" w:color="C7D6E5"/>
            </w:tcBorders>
          </w:tcPr>
          <w:p>
            <w:pPr>
              <w:spacing w:after="40" w:before="40" w:line="252" w:lineRule="auto"/>
            </w:pPr>
            <w:r>
              <w:rPr>
                <w:sz w:val="18"/>
              </w:rPr>
              <w:t>Set by the trigger on first insert.</w:t>
            </w:r>
          </w:p>
        </w:tc>
      </w:tr>
    </w:tbl>
    <w:p>
      <w:pPr>
        <w:spacing w:before="80" w:after="280"/>
      </w:pPr>
      <w:r>
        <w:rPr>
          <w:i/>
          <w:sz w:val="18"/>
        </w:rPr>
        <w:t xml:space="preserve">Note. </w:t>
      </w:r>
      <w:r>
        <w:rPr>
          <w:color w:val="5A6B7F"/>
          <w:sz w:val="18"/>
        </w:rPr>
        <w:t>The Android client never writes to this table directly. Rows are created by the `ensure_user_profile()` trigger, which fires after each insert into `cases` and performs an `ON CONFLICT DO NOTHING` insert of a minimal profile. The remaining columns are provisioned for a future profile screen.</w:t>
      </w:r>
    </w:p>
    <w:p>
      <w:pPr>
        <w:pStyle w:val="Heading2"/>
      </w:pPr>
      <w:r>
        <w:t>10.3 Access Control</w:t>
      </w:r>
    </w:p>
    <w:p>
      <w:pPr>
        <w:spacing w:after="160"/>
      </w:pPr>
      <w:r>
        <w:t xml:space="preserve">Row Level Security is enabled on both tables. The policies that are currently active are the permissive fallback pair defined in </w:t>
      </w:r>
      <w:r>
        <w:rPr>
          <w:rFonts w:ascii="Consolas" w:hAnsi="Consolas"/>
          <w:sz w:val="19"/>
        </w:rPr>
        <w:t>update_v2.sql</w:t>
      </w:r>
      <w:r>
        <w:t xml:space="preserve">: </w:t>
      </w:r>
      <w:r>
        <w:rPr>
          <w:rFonts w:ascii="Consolas" w:hAnsi="Consolas"/>
          <w:sz w:val="19"/>
        </w:rPr>
        <w:t>anon_read_all</w:t>
      </w:r>
      <w:r>
        <w:t xml:space="preserve">, a </w:t>
      </w:r>
      <w:r>
        <w:rPr>
          <w:rFonts w:ascii="Consolas" w:hAnsi="Consolas"/>
          <w:sz w:val="19"/>
        </w:rPr>
        <w:t>SELECT</w:t>
      </w:r>
      <w:r>
        <w:t xml:space="preserve"> policy </w:t>
      </w:r>
      <w:r>
        <w:rPr>
          <w:rFonts w:ascii="Consolas" w:hAnsi="Consolas"/>
          <w:sz w:val="19"/>
        </w:rPr>
        <w:t>using (true)</w:t>
      </w:r>
      <w:r>
        <w:t xml:space="preserve">, and </w:t>
      </w:r>
      <w:r>
        <w:rPr>
          <w:rFonts w:ascii="Consolas" w:hAnsi="Consolas"/>
          <w:sz w:val="19"/>
        </w:rPr>
        <w:t>anon_insert</w:t>
      </w:r>
      <w:r>
        <w:t xml:space="preserve">, an </w:t>
      </w:r>
      <w:r>
        <w:rPr>
          <w:rFonts w:ascii="Consolas" w:hAnsi="Consolas"/>
          <w:sz w:val="19"/>
        </w:rPr>
        <w:t>INSERT</w:t>
      </w:r>
      <w:r>
        <w:t xml:space="preserve"> policy </w:t>
      </w:r>
      <w:r>
        <w:rPr>
          <w:rFonts w:ascii="Consolas" w:hAnsi="Consolas"/>
          <w:sz w:val="19"/>
        </w:rPr>
        <w:t>with check (true)</w:t>
      </w:r>
      <w:r>
        <w:t xml:space="preserve">. The per-user policies that key on the Clerk subject claim — </w:t>
      </w:r>
      <w:r>
        <w:rPr>
          <w:rFonts w:ascii="Consolas" w:hAnsi="Consolas"/>
          <w:sz w:val="19"/>
        </w:rPr>
        <w:t>user_id = current_setting('request.jwt.claims', true)::json-&gt;&gt;'sub'</w:t>
      </w:r>
      <w:r>
        <w:t xml:space="preserve"> — are written into the same migration but are left commented out, because they require a JWT template named </w:t>
      </w:r>
      <w:r>
        <w:rPr>
          <w:rFonts w:ascii="Consolas" w:hAnsi="Consolas"/>
          <w:sz w:val="19"/>
        </w:rPr>
        <w:t>supabase</w:t>
      </w:r>
      <w:r>
        <w:t xml:space="preserve"> to be configured in the Clerk dashboard.</w:t>
      </w:r>
    </w:p>
    <w:p>
      <w:pPr>
        <w:spacing w:after="160"/>
      </w:pPr>
      <w:r>
        <w:t xml:space="preserve">The practical consequence must be stated plainly. Data isolation between users is presently enforced at the query level rather than by the database: </w:t>
      </w:r>
      <w:r>
        <w:rPr>
          <w:rFonts w:ascii="Consolas" w:hAnsi="Consolas"/>
          <w:sz w:val="19"/>
        </w:rPr>
        <w:t>loadRecentCases()</w:t>
      </w:r>
      <w:r>
        <w:t xml:space="preserve"> always applies </w:t>
      </w:r>
      <w:r>
        <w:rPr>
          <w:rFonts w:ascii="Consolas" w:hAnsi="Consolas"/>
          <w:sz w:val="19"/>
        </w:rPr>
        <w:t>eq("user_id", userId)</w:t>
      </w:r>
      <w:r>
        <w:t>, so a user sees only their own cases through the application. It is not enforced against a caller who holds the anon key and issues their own PostgREST request. This is acceptable for an academic prototype that stores only fictional data, and it is recorded as a known limitation in Section 21. Enabling the commented policies is the single step that closes it.</w:t>
      </w:r>
    </w:p>
    <w:p>
      <w:pPr>
        <w:spacing w:after="160"/>
      </w:pPr>
      <w:r>
        <w:t xml:space="preserve">Two properties of the design do hold unconditionally. Only the Supabase </w:t>
      </w:r>
      <w:r>
        <w:rPr>
          <w:i/>
        </w:rPr>
        <w:t>anon</w:t>
      </w:r>
      <w:r>
        <w:t xml:space="preserve"> key is compiled into the application; the </w:t>
      </w:r>
      <w:r>
        <w:rPr>
          <w:rFonts w:ascii="Consolas" w:hAnsi="Consolas"/>
          <w:sz w:val="19"/>
        </w:rPr>
        <w:t>service_role</w:t>
      </w:r>
      <w:r>
        <w:t xml:space="preserve"> key, which bypasses Row Level Security, is never present in the client. And the application issues only </w:t>
      </w:r>
      <w:r>
        <w:rPr>
          <w:rFonts w:ascii="Consolas" w:hAnsi="Consolas"/>
          <w:sz w:val="19"/>
        </w:rPr>
        <w:t>INSERT</w:t>
      </w:r>
      <w:r>
        <w:t xml:space="preserve"> and </w:t>
      </w:r>
      <w:r>
        <w:rPr>
          <w:rFonts w:ascii="Consolas" w:hAnsi="Consolas"/>
          <w:sz w:val="19"/>
        </w:rPr>
        <w:t>SELECT</w:t>
      </w:r>
      <w:r>
        <w:t>; there is no code path from the Android client that can update or delete a saved case, which is what makes the history an audit record rather than a mutable list.</w:t>
      </w:r>
    </w:p>
    <w:p>
      <w:pPr>
        <w:pStyle w:val="Heading1"/>
      </w:pPr>
      <w:r>
        <w:t>11. Frontend, Backend and Data Flow</w:t>
      </w:r>
    </w:p>
    <w:p>
      <w:pPr>
        <w:spacing w:after="160"/>
      </w:pPr>
      <w:r>
        <w:t>Three distinct paths carry data through the system, and it is worth separating them because they have different reliability characteristics.</w:t>
      </w:r>
    </w:p>
    <w:p>
      <w:pPr>
        <w:pStyle w:val="ListBullet"/>
        <w:spacing w:after="60" w:line="288" w:lineRule="auto"/>
        <w:ind w:left="397"/>
      </w:pPr>
      <w:r>
        <w:rPr>
          <w:b/>
        </w:rPr>
        <w:t>The calculation path is synchronous and entirely on-device.</w:t>
      </w:r>
      <w:r>
        <w:t xml:space="preserve"> A user action updates </w:t>
      </w:r>
      <w:r>
        <w:rPr>
          <w:rFonts w:ascii="Consolas" w:hAnsi="Consolas"/>
          <w:sz w:val="19"/>
        </w:rPr>
        <w:t>CaseUiState</w:t>
      </w:r>
      <w:r>
        <w:t>, validation runs, the engine computes, and the result flows back to the Results screen. No network call participates. This is the path that must never fail.</w:t>
      </w:r>
    </w:p>
    <w:p>
      <w:pPr>
        <w:pStyle w:val="ListBullet"/>
        <w:spacing w:after="60" w:line="288" w:lineRule="auto"/>
        <w:ind w:left="397"/>
      </w:pPr>
      <w:r>
        <w:rPr>
          <w:b/>
        </w:rPr>
        <w:t>The persistence path is asynchronous and best-effort.</w:t>
      </w:r>
      <w:r>
        <w:t xml:space="preserve"> It branches off the calculation path only on success, runs in a detached coroutine, and swallows its own failures.</w:t>
      </w:r>
    </w:p>
    <w:p>
      <w:pPr>
        <w:pStyle w:val="ListBullet"/>
        <w:spacing w:after="60" w:line="288" w:lineRule="auto"/>
        <w:ind w:left="397"/>
      </w:pPr>
      <w:r>
        <w:rPr>
          <w:b/>
        </w:rPr>
        <w:t>The history path is a read.</w:t>
      </w:r>
      <w:r>
        <w:t xml:space="preserve"> </w:t>
      </w:r>
      <w:r>
        <w:rPr>
          <w:rFonts w:ascii="Consolas" w:hAnsi="Consolas"/>
          <w:sz w:val="19"/>
        </w:rPr>
        <w:t>HistoryViewModel.load()</w:t>
      </w:r>
      <w:r>
        <w:t xml:space="preserve"> asks the repository for the user's twenty most recent rows; any failure yields an empty list, which the UI renders as an empty state rather than an error.</w:t>
      </w:r>
    </w:p>
    <w:p>
      <w:pPr>
        <w:spacing w:before="200" w:after="0"/>
        <w:keepNext w:val="true"/>
      </w:pPr>
      <w:r>
        <w:rPr>
          <w:b/>
          <w:sz w:val="21"/>
        </w:rPr>
        <w:t>Figure 8</w:t>
      </w:r>
    </w:p>
    <w:p>
      <w:pPr>
        <w:spacing w:after="120"/>
        <w:keepNext w:val="true"/>
      </w:pPr>
      <w:r>
        <w:rPr>
          <w:i/>
          <w:sz w:val="21"/>
        </w:rPr>
        <w:t>End-to-end data flow</w:t>
      </w:r>
    </w:p>
    <w:p>
      <w:pPr>
        <w:spacing w:after="80"/>
        <w:jc w:val="center"/>
      </w:pPr>
      <w:r>
        <w:drawing>
          <wp:inline xmlns:a="http://schemas.openxmlformats.org/drawingml/2006/main" xmlns:pic="http://schemas.openxmlformats.org/drawingml/2006/picture">
            <wp:extent cx="5669280" cy="2487168"/>
            <wp:docPr id="8" name="Picture 8"/>
            <wp:cNvGraphicFramePr>
              <a:graphicFrameLocks noChangeAspect="1"/>
            </wp:cNvGraphicFramePr>
            <a:graphic>
              <a:graphicData uri="http://schemas.openxmlformats.org/drawingml/2006/picture">
                <pic:pic>
                  <pic:nvPicPr>
                    <pic:cNvPr id="0" name="fig08-dataflow.png"/>
                    <pic:cNvPicPr/>
                  </pic:nvPicPr>
                  <pic:blipFill>
                    <a:blip r:embed="rId19"/>
                    <a:stretch>
                      <a:fillRect/>
                    </a:stretch>
                  </pic:blipFill>
                  <pic:spPr>
                    <a:xfrm>
                      <a:off x="0" y="0"/>
                      <a:ext cx="5669280" cy="2487168"/>
                    </a:xfrm>
                    <a:prstGeom prst="rect"/>
                  </pic:spPr>
                </pic:pic>
              </a:graphicData>
            </a:graphic>
          </wp:inline>
        </w:drawing>
      </w:r>
    </w:p>
    <w:p>
      <w:pPr>
        <w:spacing w:after="280"/>
      </w:pPr>
      <w:r>
        <w:rPr>
          <w:i/>
          <w:sz w:val="18"/>
        </w:rPr>
        <w:t xml:space="preserve">Note. </w:t>
      </w:r>
      <w:r>
        <w:rPr>
          <w:color w:val="5A6B7F"/>
          <w:sz w:val="18"/>
        </w:rPr>
        <w:t>Paths traced through `CaseViewModel`, `VancoEngine`, `SupabaseRepository` and `HistoryViewModel`.</w:t>
      </w:r>
    </w:p>
    <w:p>
      <w:pPr>
        <w:spacing w:after="160"/>
      </w:pPr>
      <w:r>
        <w:t xml:space="preserve">Expressed as the case study expresses it, the core loop is </w:t>
      </w:r>
      <w:r>
        <w:rPr>
          <w:rFonts w:ascii="Consolas" w:hAnsi="Consolas"/>
          <w:sz w:val="19"/>
        </w:rPr>
        <w:t>UI → Input State → Validation → TDM Calculation Engine → Result Model → Results UI</w:t>
      </w:r>
      <w:r>
        <w:t>, with a database write hanging off the end of it. The important architectural point is that the arrow into the database is one-way and optional.</w:t>
      </w:r>
    </w:p>
    <w:p>
      <w:pPr>
        <w:pStyle w:val="Heading1"/>
      </w:pPr>
      <w:r>
        <w:t>12. Navigation and Screen Map</w:t>
      </w:r>
    </w:p>
    <w:p>
      <w:pPr>
        <w:spacing w:after="160"/>
      </w:pPr>
      <w:r>
        <w:t xml:space="preserve">The application has eighteen distinct screens. Five of them — splash, first-launch disclaimer, login, sign-up and welcome — are hosted directly by </w:t>
      </w:r>
      <w:r>
        <w:rPr>
          <w:rFonts w:ascii="Consolas" w:hAnsi="Consolas"/>
          <w:sz w:val="19"/>
        </w:rPr>
        <w:t>MainActivity</w:t>
      </w:r>
      <w:r>
        <w:t xml:space="preserve"> and sit outside the navigation graph, because they are gates rather than destinations. The remaining thirteen are registered as routes in </w:t>
      </w:r>
      <w:r>
        <w:rPr>
          <w:rFonts w:ascii="Consolas" w:hAnsi="Consolas"/>
          <w:sz w:val="19"/>
        </w:rPr>
        <w:t>TdmNavGraph</w:t>
      </w:r>
      <w:r>
        <w:t xml:space="preserve">, whose start destination is </w:t>
      </w:r>
      <w:r>
        <w:rPr>
          <w:rFonts w:ascii="Consolas" w:hAnsi="Consolas"/>
          <w:sz w:val="19"/>
        </w:rPr>
        <w:t>Routes.HOME</w:t>
      </w:r>
      <w:r>
        <w:t xml:space="preserve">. Only one route is parameterised: </w:t>
      </w:r>
      <w:r>
        <w:rPr>
          <w:rFonts w:ascii="Consolas" w:hAnsi="Consolas"/>
          <w:sz w:val="19"/>
        </w:rPr>
        <w:t>input_form/{workflow}</w:t>
      </w:r>
      <w:r>
        <w:t xml:space="preserve">, which carries the lower-cased workflow name as a </w:t>
      </w:r>
      <w:r>
        <w:rPr>
          <w:rFonts w:ascii="Consolas" w:hAnsi="Consolas"/>
          <w:sz w:val="19"/>
        </w:rPr>
        <w:t>NavType.StringType</w:t>
      </w:r>
      <w:r>
        <w:t xml:space="preserve"> argument.</w:t>
      </w:r>
    </w:p>
    <w:p>
      <w:pPr>
        <w:spacing w:before="200" w:after="0"/>
        <w:keepNext w:val="true"/>
      </w:pPr>
      <w:r>
        <w:rPr>
          <w:b/>
          <w:sz w:val="21"/>
        </w:rPr>
        <w:t>Figure 9</w:t>
      </w:r>
    </w:p>
    <w:p>
      <w:pPr>
        <w:spacing w:after="120"/>
        <w:keepNext w:val="true"/>
      </w:pPr>
      <w:r>
        <w:rPr>
          <w:i/>
          <w:sz w:val="21"/>
        </w:rPr>
        <w:t>Screen map and navigation graph</w:t>
      </w:r>
    </w:p>
    <w:p>
      <w:pPr>
        <w:spacing w:after="80"/>
        <w:jc w:val="center"/>
      </w:pPr>
      <w:r>
        <w:drawing>
          <wp:inline xmlns:a="http://schemas.openxmlformats.org/drawingml/2006/main" xmlns:pic="http://schemas.openxmlformats.org/drawingml/2006/picture">
            <wp:extent cx="5669280" cy="3741725"/>
            <wp:docPr id="9" name="Picture 9"/>
            <wp:cNvGraphicFramePr>
              <a:graphicFrameLocks noChangeAspect="1"/>
            </wp:cNvGraphicFramePr>
            <a:graphic>
              <a:graphicData uri="http://schemas.openxmlformats.org/drawingml/2006/picture">
                <pic:pic>
                  <pic:nvPicPr>
                    <pic:cNvPr id="0" name="fig09-navigation.png"/>
                    <pic:cNvPicPr/>
                  </pic:nvPicPr>
                  <pic:blipFill>
                    <a:blip r:embed="rId20"/>
                    <a:stretch>
                      <a:fillRect/>
                    </a:stretch>
                  </pic:blipFill>
                  <pic:spPr>
                    <a:xfrm>
                      <a:off x="0" y="0"/>
                      <a:ext cx="5669280" cy="3741725"/>
                    </a:xfrm>
                    <a:prstGeom prst="rect"/>
                  </pic:spPr>
                </pic:pic>
              </a:graphicData>
            </a:graphic>
          </wp:inline>
        </w:drawing>
      </w:r>
    </w:p>
    <w:p>
      <w:pPr>
        <w:spacing w:after="280"/>
      </w:pPr>
      <w:r>
        <w:rPr>
          <w:i/>
          <w:sz w:val="18"/>
        </w:rPr>
        <w:t xml:space="preserve">Note. </w:t>
      </w:r>
      <w:r>
        <w:rPr>
          <w:color w:val="5A6B7F"/>
          <w:sz w:val="18"/>
        </w:rPr>
        <w:t>Routes and transitions taken from `NavGraph.kt` and the `navigate()` calls in `Screens.kt`.</w:t>
      </w:r>
    </w:p>
    <w:p>
      <w:pPr>
        <w:spacing w:after="160"/>
      </w:pPr>
      <w:r>
        <w:t xml:space="preserve">Two navigation behaviours are worth drawing out. </w:t>
      </w:r>
      <w:r>
        <w:rPr>
          <w:rFonts w:ascii="Consolas" w:hAnsi="Consolas"/>
          <w:sz w:val="19"/>
        </w:rPr>
        <w:t>CalculatingScreen</w:t>
      </w:r>
      <w:r>
        <w:t xml:space="preserve"> has no user control at all: a </w:t>
      </w:r>
      <w:r>
        <w:rPr>
          <w:rFonts w:ascii="Consolas" w:hAnsi="Consolas"/>
          <w:sz w:val="19"/>
        </w:rPr>
        <w:t>LaunchedEffect</w:t>
      </w:r>
      <w:r>
        <w:t xml:space="preserve"> keyed on </w:t>
      </w:r>
      <w:r>
        <w:rPr>
          <w:rFonts w:ascii="Consolas" w:hAnsi="Consolas"/>
          <w:sz w:val="19"/>
        </w:rPr>
        <w:t>s.result</w:t>
      </w:r>
      <w:r>
        <w:t xml:space="preserve"> navigates to </w:t>
      </w:r>
      <w:r>
        <w:rPr>
          <w:rFonts w:ascii="Consolas" w:hAnsi="Consolas"/>
          <w:sz w:val="19"/>
        </w:rPr>
        <w:t>ResultsScreen</w:t>
      </w:r>
      <w:r>
        <w:t xml:space="preserve"> on success or </w:t>
      </w:r>
      <w:r>
        <w:rPr>
          <w:rFonts w:ascii="Consolas" w:hAnsi="Consolas"/>
          <w:sz w:val="19"/>
        </w:rPr>
        <w:t>ErrorScreen</w:t>
      </w:r>
      <w:r>
        <w:t xml:space="preserve"> on failure, in both cases with </w:t>
      </w:r>
      <w:r>
        <w:rPr>
          <w:rFonts w:ascii="Consolas" w:hAnsi="Consolas"/>
          <w:sz w:val="19"/>
        </w:rPr>
        <w:t>popUpTo(Routes.CALCULATING) { inclusive = true }</w:t>
      </w:r>
      <w:r>
        <w:t xml:space="preserve"> so the transient screen cannot be reached by pressing back. And the shared </w:t>
      </w:r>
      <w:r>
        <w:rPr>
          <w:rFonts w:ascii="Consolas" w:hAnsi="Consolas"/>
          <w:sz w:val="19"/>
        </w:rPr>
        <w:t>CaseViewModel</w:t>
      </w:r>
      <w:r>
        <w:t xml:space="preserve"> is obtained once inside </w:t>
      </w:r>
      <w:r>
        <w:rPr>
          <w:rFonts w:ascii="Consolas" w:hAnsi="Consolas"/>
          <w:sz w:val="19"/>
        </w:rPr>
        <w:t>TdmNavGraph</w:t>
      </w:r>
      <w:r>
        <w:t xml:space="preserve"> and passed to every wizard destination, which is what allows the user to navigate backwards through the five steps without losing entered values.</w:t>
      </w:r>
    </w:p>
    <w:p>
      <w:pPr>
        <w:pStyle w:val="Heading1"/>
      </w:pPr>
      <w:r>
        <w:t>13. Domain Class Model</w:t>
      </w:r>
    </w:p>
    <w:p>
      <w:pPr>
        <w:spacing w:after="160"/>
      </w:pPr>
      <w:r>
        <w:t xml:space="preserve">The domain model is expressed almost entirely in immutable Kotlin data classes, with sealed classes used wherever a value can be one of a fixed set of shapes. This is a deliberate use of the type system to prevent whole categories of error: because </w:t>
      </w:r>
      <w:r>
        <w:rPr>
          <w:rFonts w:ascii="Consolas" w:hAnsi="Consolas"/>
          <w:sz w:val="19"/>
        </w:rPr>
        <w:t>CalculationResult</w:t>
      </w:r>
      <w:r>
        <w:t xml:space="preserve"> is a sealed class with exactly </w:t>
      </w:r>
      <w:r>
        <w:rPr>
          <w:rFonts w:ascii="Consolas" w:hAnsi="Consolas"/>
          <w:sz w:val="19"/>
        </w:rPr>
        <w:t>Success</w:t>
      </w:r>
      <w:r>
        <w:t xml:space="preserve"> and </w:t>
      </w:r>
      <w:r>
        <w:rPr>
          <w:rFonts w:ascii="Consolas" w:hAnsi="Consolas"/>
          <w:sz w:val="19"/>
        </w:rPr>
        <w:t>Failure</w:t>
      </w:r>
      <w:r>
        <w:t xml:space="preserve"> variants, the compiler forces every caller to handle failure, and no null check or exception handler is needed at the call site.</w:t>
      </w:r>
    </w:p>
    <w:p>
      <w:pPr>
        <w:spacing w:before="200" w:after="0"/>
        <w:keepNext w:val="true"/>
      </w:pPr>
      <w:r>
        <w:rPr>
          <w:b/>
          <w:sz w:val="21"/>
        </w:rPr>
        <w:t>Figure 10</w:t>
      </w:r>
    </w:p>
    <w:p>
      <w:pPr>
        <w:spacing w:after="120"/>
        <w:keepNext w:val="true"/>
      </w:pPr>
      <w:r>
        <w:rPr>
          <w:i/>
          <w:sz w:val="21"/>
        </w:rPr>
        <w:t>Domain class diagram</w:t>
      </w:r>
    </w:p>
    <w:p>
      <w:pPr>
        <w:spacing w:after="80"/>
        <w:jc w:val="center"/>
      </w:pPr>
      <w:r>
        <w:drawing>
          <wp:inline xmlns:a="http://schemas.openxmlformats.org/drawingml/2006/main" xmlns:pic="http://schemas.openxmlformats.org/drawingml/2006/picture">
            <wp:extent cx="5669280" cy="3584448"/>
            <wp:docPr id="10" name="Picture 10"/>
            <wp:cNvGraphicFramePr>
              <a:graphicFrameLocks noChangeAspect="1"/>
            </wp:cNvGraphicFramePr>
            <a:graphic>
              <a:graphicData uri="http://schemas.openxmlformats.org/drawingml/2006/picture">
                <pic:pic>
                  <pic:nvPicPr>
                    <pic:cNvPr id="0" name="fig10-classes.png"/>
                    <pic:cNvPicPr/>
                  </pic:nvPicPr>
                  <pic:blipFill>
                    <a:blip r:embed="rId21"/>
                    <a:stretch>
                      <a:fillRect/>
                    </a:stretch>
                  </pic:blipFill>
                  <pic:spPr>
                    <a:xfrm>
                      <a:off x="0" y="0"/>
                      <a:ext cx="5669280" cy="3584448"/>
                    </a:xfrm>
                    <a:prstGeom prst="rect"/>
                  </pic:spPr>
                </pic:pic>
              </a:graphicData>
            </a:graphic>
          </wp:inline>
        </w:drawing>
      </w:r>
    </w:p>
    <w:p>
      <w:pPr>
        <w:spacing w:after="280"/>
      </w:pPr>
      <w:r>
        <w:rPr>
          <w:i/>
          <w:sz w:val="18"/>
        </w:rPr>
        <w:t xml:space="preserve">Note. </w:t>
      </w:r>
      <w:r>
        <w:rPr>
          <w:color w:val="5A6B7F"/>
          <w:sz w:val="18"/>
        </w:rPr>
        <w:t>Classes, members and constants are taken verbatim from `data/model`, `data/validation` and `domain/engine`. The grey enumeration `Auc24Verdict` is declared but not yet referenced; `ResultsScreen` currently derives the verdict inline from the 400–600 band.</w:t>
      </w:r>
    </w:p>
    <w:p>
      <w:pPr>
        <w:spacing w:after="160"/>
      </w:pPr>
      <w:r>
        <w:t xml:space="preserve">Every field of </w:t>
      </w:r>
      <w:r>
        <w:rPr>
          <w:rFonts w:ascii="Consolas" w:hAnsi="Consolas"/>
          <w:sz w:val="19"/>
        </w:rPr>
        <w:t>PkResults</w:t>
      </w:r>
      <w:r>
        <w:t xml:space="preserve"> is nullable, which is not laziness but a faithful representation of the domain: the Pre workflow produces no projected peak, so </w:t>
      </w:r>
      <w:r>
        <w:rPr>
          <w:rFonts w:ascii="Consolas" w:hAnsi="Consolas"/>
          <w:sz w:val="19"/>
        </w:rPr>
        <w:t>cmax</w:t>
      </w:r>
      <w:r>
        <w:t xml:space="preserve"> is genuinely absent rather than zero. The Results screen renders an em dash for any null parameter instead of a misleading numeral.</w:t>
      </w:r>
    </w:p>
    <w:p>
      <w:pPr>
        <w:pStyle w:val="Heading1"/>
      </w:pPr>
      <w:r>
        <w:t>14. Input Validation</w:t>
      </w:r>
    </w:p>
    <w:p>
      <w:pPr>
        <w:spacing w:after="160"/>
      </w:pPr>
      <w:r>
        <w:t xml:space="preserve">The case study is explicit that validation must go beyond checking whether a field is empty, and that the user interface must distinguish an error from information that merely requires review. TDM Insight satisfies both by making the distinction part of the return type rather than a rendering decision: </w:t>
      </w:r>
      <w:r>
        <w:rPr>
          <w:rFonts w:ascii="Consolas" w:hAnsi="Consolas"/>
          <w:sz w:val="19"/>
        </w:rPr>
        <w:t>InputValidator</w:t>
      </w:r>
      <w:r>
        <w:t xml:space="preserve"> returns a </w:t>
      </w:r>
      <w:r>
        <w:rPr>
          <w:rFonts w:ascii="Consolas" w:hAnsi="Consolas"/>
          <w:sz w:val="19"/>
        </w:rPr>
        <w:t>ValidationReport</w:t>
      </w:r>
      <w:r>
        <w:t xml:space="preserve"> holding a list of </w:t>
      </w:r>
      <w:r>
        <w:rPr>
          <w:rFonts w:ascii="Consolas" w:hAnsi="Consolas"/>
          <w:sz w:val="19"/>
        </w:rPr>
        <w:t>FieldResult.Error</w:t>
      </w:r>
      <w:r>
        <w:t xml:space="preserve"> and a separate list of </w:t>
      </w:r>
      <w:r>
        <w:rPr>
          <w:rFonts w:ascii="Consolas" w:hAnsi="Consolas"/>
          <w:sz w:val="19"/>
        </w:rPr>
        <w:t>FieldResult.Warning</w:t>
      </w:r>
      <w:r>
        <w:t xml:space="preserve">, and </w:t>
      </w:r>
      <w:r>
        <w:rPr>
          <w:rFonts w:ascii="Consolas" w:hAnsi="Consolas"/>
          <w:sz w:val="19"/>
        </w:rPr>
        <w:t>isValid</w:t>
      </w:r>
      <w:r>
        <w:t xml:space="preserve"> is defined as </w:t>
      </w:r>
      <w:r>
        <w:rPr>
          <w:rFonts w:ascii="Consolas" w:hAnsi="Consolas"/>
          <w:sz w:val="19"/>
        </w:rPr>
        <w:t>errors.isEmpty()</w:t>
      </w:r>
      <w:r>
        <w:t>. Warnings therefore cannot accidentally block a calculation, and errors cannot accidentally be rendered as advisory.</w:t>
      </w:r>
    </w:p>
    <w:p>
      <w:pPr>
        <w:spacing w:before="200" w:after="0"/>
        <w:keepNext w:val="true"/>
      </w:pPr>
      <w:r>
        <w:rPr>
          <w:b/>
          <w:sz w:val="21"/>
        </w:rPr>
        <w:t>Figure 11</w:t>
      </w:r>
    </w:p>
    <w:p>
      <w:pPr>
        <w:spacing w:after="120"/>
        <w:keepNext w:val="true"/>
      </w:pPr>
      <w:r>
        <w:rPr>
          <w:i/>
          <w:sz w:val="21"/>
        </w:rPr>
        <w:t>Two-tier validation model</w:t>
      </w:r>
    </w:p>
    <w:p>
      <w:pPr>
        <w:spacing w:after="80"/>
        <w:jc w:val="center"/>
      </w:pPr>
      <w:r>
        <w:drawing>
          <wp:inline xmlns:a="http://schemas.openxmlformats.org/drawingml/2006/main" xmlns:pic="http://schemas.openxmlformats.org/drawingml/2006/picture">
            <wp:extent cx="5669280" cy="2670048"/>
            <wp:docPr id="11" name="Picture 11"/>
            <wp:cNvGraphicFramePr>
              <a:graphicFrameLocks noChangeAspect="1"/>
            </wp:cNvGraphicFramePr>
            <a:graphic>
              <a:graphicData uri="http://schemas.openxmlformats.org/drawingml/2006/picture">
                <pic:pic>
                  <pic:nvPicPr>
                    <pic:cNvPr id="0" name="fig11-validation.png"/>
                    <pic:cNvPicPr/>
                  </pic:nvPicPr>
                  <pic:blipFill>
                    <a:blip r:embed="rId22"/>
                    <a:stretch>
                      <a:fillRect/>
                    </a:stretch>
                  </pic:blipFill>
                  <pic:spPr>
                    <a:xfrm>
                      <a:off x="0" y="0"/>
                      <a:ext cx="5669280" cy="2670048"/>
                    </a:xfrm>
                    <a:prstGeom prst="rect"/>
                  </pic:spPr>
                </pic:pic>
              </a:graphicData>
            </a:graphic>
          </wp:inline>
        </w:drawing>
      </w:r>
    </w:p>
    <w:p>
      <w:pPr>
        <w:spacing w:after="280"/>
      </w:pPr>
      <w:r>
        <w:rPr>
          <w:i/>
          <w:sz w:val="18"/>
        </w:rPr>
        <w:t xml:space="preserve">Note. </w:t>
      </w:r>
      <w:r>
        <w:rPr>
          <w:color w:val="5A6B7F"/>
          <w:sz w:val="18"/>
        </w:rPr>
        <w:t>Thresholds read directly from `data/validation/InputValidator.kt`.</w:t>
      </w:r>
    </w:p>
    <w:p>
      <w:pPr>
        <w:spacing w:before="240" w:after="0"/>
        <w:keepNext w:val="true"/>
      </w:pPr>
      <w:r>
        <w:rPr>
          <w:b/>
          <w:sz w:val="21"/>
        </w:rPr>
        <w:t>Table 14</w:t>
      </w:r>
    </w:p>
    <w:p>
      <w:pPr>
        <w:spacing w:after="100"/>
        <w:keepNext w:val="true"/>
      </w:pPr>
      <w:r>
        <w:rPr>
          <w:i/>
          <w:sz w:val="21"/>
        </w:rPr>
        <w:t>Validation rules as implemented</w:t>
      </w:r>
    </w:p>
    <w:tbl>
      <w:tblPr>
        <w:tblStyle w:val="TableGrid"/>
        <w:tblW w:type="auto" w:w="0"/>
        <w:jc w:val="center"/>
        <w:tblLayout w:type="fixed"/>
        <w:tblLook w:firstColumn="1" w:firstRow="1" w:lastColumn="0" w:lastRow="0" w:noHBand="0" w:noVBand="1" w:val="04A0"/>
        <w:tblLayout w:type="fixed"/>
      </w:tblPr>
      <w:tblGrid>
        <w:gridCol w:w="3009"/>
        <w:gridCol w:w="3009"/>
        <w:gridCol w:w="3009"/>
      </w:tblGrid>
      <w:tr>
        <w:trPr>
          <w:tblHeader w:val="true"/>
        </w:trPr>
        <w:tc>
          <w:tcPr>
            <w:tcW w:type="dxa" w:w="1362"/>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Category</w:t>
            </w:r>
          </w:p>
        </w:tc>
        <w:tc>
          <w:tcPr>
            <w:tcW w:type="dxa" w:w="5393"/>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Rule</w:t>
            </w:r>
          </w:p>
        </w:tc>
        <w:tc>
          <w:tcPr>
            <w:tcW w:type="dxa" w:w="2271"/>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Outcome</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Range</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Weight outside 20–250 kg</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Error</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Range</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Age outside 16–110 years</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Error</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Range</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Serum creatinine outside 20–1200 µmol/L</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Error</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Range</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Dose outside 100–4000 mg</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Error</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Range</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Dosing interval outside 4–72 h</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Error</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Range</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Infusion duration outside 0.25–6 h</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Error</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Range</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Pre-dose concentration outside 0.1–80 mg/L</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Error</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Range</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Post-dose concentration outside 0.1–120 mg/L</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Error</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Advisory</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Weight above 200 kg</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Warning — “please review”</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Advisory</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Serum creatinine above 200 µmol/L</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Warning — marked renal impairment</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Advisory</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Single dose above 2000 mg</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Warning — unusually high</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Advisory</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Trough above 25 mg/L</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Warning — above the usual 10–20 mg/L range</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Advisory</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Peak above 60 mg/L</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Warning — verify the assay result</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Cross-field</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Infusion duration is not shorter than the dosing interval</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Error</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Cross-field</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Pre-dose sample time exceeds the dosing interval τ</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Error</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Cross-field</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Post-dose sample time falls inside the infusion</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Error</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Cross-field</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In Pre + Post, the pre-dose sample is not drawn later than the post-dose sample</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Error</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Math safety</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Either concentration is not strictly positive</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 xml:space="preserve">Error — protects </w:t>
            </w:r>
            <w:r>
              <w:rPr>
                <w:rFonts w:ascii="Consolas" w:hAnsi="Consolas"/>
                <w:sz w:val="17"/>
              </w:rPr>
              <w:t>ln()</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Math safety</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Pre-dose concentration is not less than post-dose</w:t>
            </w:r>
          </w:p>
        </w:tc>
        <w:tc>
          <w:tcPr>
            <w:tcW w:type="dxa" w:w="2271"/>
            <w:tcBorders>
              <w:top w:val="nil" w:sz="6" w:color="C7D6E5"/>
              <w:bottom w:val="single" w:sz="6" w:color="C7D6E5"/>
              <w:left w:val="nil" w:sz="6" w:color="C7D6E5"/>
              <w:right w:val="nil" w:sz="6" w:color="C7D6E5"/>
            </w:tcBorders>
          </w:tcPr>
          <w:p>
            <w:pPr>
              <w:spacing w:after="40" w:before="40" w:line="252" w:lineRule="auto"/>
            </w:pPr>
            <w:r>
              <w:rPr>
                <w:sz w:val="18"/>
              </w:rPr>
              <w:t>Warning — result may be unreliable</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Math safety</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Any derived ke, Vd, CL, Δt or interval is non-finite or non-positive</w:t>
            </w:r>
          </w:p>
        </w:tc>
        <w:tc>
          <w:tcPr>
            <w:tcW w:type="dxa" w:w="227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ArithmeticException</w:t>
            </w:r>
            <w:r>
              <w:rPr>
                <w:sz w:val="18"/>
              </w:rPr>
              <w:t xml:space="preserve"> caught → </w:t>
            </w:r>
            <w:r>
              <w:rPr>
                <w:rFonts w:ascii="Consolas" w:hAnsi="Consolas"/>
                <w:sz w:val="17"/>
              </w:rPr>
              <w:t>Failure</w:t>
            </w:r>
          </w:p>
        </w:tc>
      </w:tr>
      <w:tr>
        <w:tc>
          <w:tcPr>
            <w:tcW w:type="dxa" w:w="1362"/>
            <w:tcBorders>
              <w:top w:val="nil" w:sz="6" w:color="C7D6E5"/>
              <w:bottom w:val="single" w:sz="6" w:color="C7D6E5"/>
              <w:left w:val="nil" w:sz="6" w:color="C7D6E5"/>
              <w:right w:val="nil" w:sz="6" w:color="C7D6E5"/>
            </w:tcBorders>
          </w:tcPr>
          <w:p>
            <w:pPr>
              <w:spacing w:after="40" w:before="40" w:line="252" w:lineRule="auto"/>
            </w:pPr>
            <w:r>
              <w:rPr>
                <w:sz w:val="18"/>
              </w:rPr>
              <w:t>Math safety</w:t>
            </w:r>
          </w:p>
        </w:tc>
        <w:tc>
          <w:tcPr>
            <w:tcW w:type="dxa" w:w="5393"/>
            <w:tcBorders>
              <w:top w:val="nil" w:sz="6" w:color="C7D6E5"/>
              <w:bottom w:val="single" w:sz="6" w:color="C7D6E5"/>
              <w:left w:val="nil" w:sz="6" w:color="C7D6E5"/>
              <w:right w:val="nil" w:sz="6" w:color="C7D6E5"/>
            </w:tcBorders>
          </w:tcPr>
          <w:p>
            <w:pPr>
              <w:spacing w:after="40" w:before="40" w:line="252" w:lineRule="auto"/>
            </w:pPr>
            <w:r>
              <w:rPr>
                <w:sz w:val="18"/>
              </w:rPr>
              <w:t>Newton–Raphson does not converge within 50 iterations</w:t>
            </w:r>
          </w:p>
        </w:tc>
        <w:tc>
          <w:tcPr>
            <w:tcW w:type="dxa" w:w="2271"/>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Failure</w:t>
            </w:r>
            <w:r>
              <w:rPr>
                <w:sz w:val="18"/>
              </w:rPr>
              <w:t xml:space="preserve"> with a specific message</w:t>
            </w:r>
          </w:p>
        </w:tc>
      </w:tr>
    </w:tbl>
    <w:p>
      <w:pPr>
        <w:spacing w:after="120"/>
      </w:pPr>
    </w:p>
    <w:p>
      <w:pPr>
        <w:spacing w:after="160"/>
      </w:pPr>
      <w:r>
        <w:t xml:space="preserve">The cross-field timing rule deserves comment because it is the one most often got wrong on paper. Both sample times are expressed as hours after the start of the same dose. In a Pre + Post case the peak is drawn early in the interval and the trough late, so </w:t>
      </w:r>
      <w:r>
        <w:rPr>
          <w:rFonts w:ascii="Consolas" w:hAnsi="Consolas"/>
          <w:sz w:val="19"/>
        </w:rPr>
        <w:t>tpre</w:t>
      </w:r>
      <w:r>
        <w:t xml:space="preserve"> must be greater than </w:t>
      </w:r>
      <w:r>
        <w:rPr>
          <w:rFonts w:ascii="Consolas" w:hAnsi="Consolas"/>
          <w:sz w:val="19"/>
        </w:rPr>
        <w:t>tpost</w:t>
      </w:r>
      <w:r>
        <w:t xml:space="preserve">. If the pharmacist transposes them, </w:t>
      </w:r>
      <w:r>
        <w:rPr>
          <w:rFonts w:ascii="Consolas" w:hAnsi="Consolas"/>
          <w:sz w:val="19"/>
        </w:rPr>
        <w:t>validateTimingRelation</w:t>
      </w:r>
      <w:r>
        <w:t xml:space="preserve"> blocks the calculation with the message “Pre-dose sample must be drawn later in the interval than the post-dose sample”, rather than allowing the engine to produce a negative elimination rate constant.</w:t>
      </w:r>
    </w:p>
    <w:p>
      <w:pPr>
        <w:pStyle w:val="Heading1"/>
      </w:pPr>
      <w:r>
        <w:t>15. Authentication, Session Management and Security</w:t>
      </w:r>
    </w:p>
    <w:p>
      <w:pPr>
        <w:pStyle w:val="Heading2"/>
      </w:pPr>
      <w:r>
        <w:t>15.1 Registration and Sign-In</w:t>
      </w:r>
    </w:p>
    <w:p>
      <w:pPr>
        <w:spacing w:after="160"/>
      </w:pPr>
      <w:r>
        <w:t xml:space="preserve">Authentication is implemented against Clerk's Frontend API over plain REST rather than through the Clerk Android SDK. </w:t>
      </w:r>
      <w:r>
        <w:rPr>
          <w:rFonts w:ascii="Consolas" w:hAnsi="Consolas"/>
          <w:sz w:val="19"/>
        </w:rPr>
        <w:t>ClerkAuthManager</w:t>
      </w:r>
      <w:r>
        <w:t xml:space="preserve"> derives the Frontend API host by base64-decoding the portion of the publishable key that follows the </w:t>
      </w:r>
      <w:r>
        <w:rPr>
          <w:rFonts w:ascii="Consolas" w:hAnsi="Consolas"/>
          <w:sz w:val="19"/>
        </w:rPr>
        <w:t>pk_test_</w:t>
      </w:r>
      <w:r>
        <w:t xml:space="preserve"> or </w:t>
      </w:r>
      <w:r>
        <w:rPr>
          <w:rFonts w:ascii="Consolas" w:hAnsi="Consolas"/>
          <w:sz w:val="19"/>
        </w:rPr>
        <w:t>pk_live_</w:t>
      </w:r>
      <w:r>
        <w:t xml:space="preserve"> prefix, then posts a form body to </w:t>
      </w:r>
      <w:r>
        <w:rPr>
          <w:rFonts w:ascii="Consolas" w:hAnsi="Consolas"/>
          <w:sz w:val="19"/>
        </w:rPr>
        <w:t>/v1/client/sign_ins</w:t>
      </w:r>
      <w:r>
        <w:t xml:space="preserve"> or </w:t>
      </w:r>
      <w:r>
        <w:rPr>
          <w:rFonts w:ascii="Consolas" w:hAnsi="Consolas"/>
          <w:sz w:val="19"/>
        </w:rPr>
        <w:t>/v1/client/sign_ups</w:t>
      </w:r>
      <w:r>
        <w:t xml:space="preserve"> with an </w:t>
      </w:r>
      <w:r>
        <w:rPr>
          <w:rFonts w:ascii="Consolas" w:hAnsi="Consolas"/>
          <w:sz w:val="19"/>
        </w:rPr>
        <w:t>x-publishable-key</w:t>
      </w:r>
      <w:r>
        <w:t xml:space="preserve"> header. A response whose </w:t>
      </w:r>
      <w:r>
        <w:rPr>
          <w:rFonts w:ascii="Consolas" w:hAnsi="Consolas"/>
          <w:sz w:val="19"/>
        </w:rPr>
        <w:t>status</w:t>
      </w:r>
      <w:r>
        <w:t xml:space="preserve"> is </w:t>
      </w:r>
      <w:r>
        <w:rPr>
          <w:rFonts w:ascii="Consolas" w:hAnsi="Consolas"/>
          <w:sz w:val="19"/>
        </w:rPr>
        <w:t>complete</w:t>
      </w:r>
      <w:r>
        <w:t xml:space="preserve"> yields the session JWT, the user id, the session id and the primary email address; any other status, and any </w:t>
      </w:r>
      <w:r>
        <w:rPr>
          <w:rFonts w:ascii="Consolas" w:hAnsi="Consolas"/>
          <w:sz w:val="19"/>
        </w:rPr>
        <w:t>ClientRequestException</w:t>
      </w:r>
      <w:r>
        <w:t xml:space="preserve">, is converted into a </w:t>
      </w:r>
      <w:r>
        <w:rPr>
          <w:rFonts w:ascii="Consolas" w:hAnsi="Consolas"/>
          <w:sz w:val="19"/>
        </w:rPr>
        <w:t>ClerkResult.Failure</w:t>
      </w:r>
      <w:r>
        <w:t xml:space="preserve"> carrying Clerk's own </w:t>
      </w:r>
      <w:r>
        <w:rPr>
          <w:rFonts w:ascii="Consolas" w:hAnsi="Consolas"/>
          <w:sz w:val="19"/>
        </w:rPr>
        <w:t>long_message</w:t>
      </w:r>
      <w:r>
        <w:t xml:space="preserve"> where one is available, so the user sees the service's wording rather than a generic string.</w:t>
      </w:r>
    </w:p>
    <w:p>
      <w:pPr>
        <w:spacing w:after="160"/>
      </w:pPr>
      <w:r>
        <w:t>The choice to call REST directly rather than adopt the SDK was made so that every network interaction is visible in the project's own source. That is a defensible trade-off for an assessed academic project in which each student must be able to explain the authentication flow in a technical viva, and it avoids a dependency whose behaviour would otherwise be opaque.</w:t>
      </w:r>
    </w:p>
    <w:p>
      <w:pPr>
        <w:pStyle w:val="Heading2"/>
      </w:pPr>
      <w:r>
        <w:t>15.2 Session Persistence</w:t>
      </w:r>
    </w:p>
    <w:p>
      <w:pPr>
        <w:spacing w:after="160"/>
      </w:pPr>
      <w:r>
        <w:rPr>
          <w:rFonts w:ascii="Consolas" w:hAnsi="Consolas"/>
          <w:sz w:val="19"/>
        </w:rPr>
        <w:t>AuthRepository</w:t>
      </w:r>
      <w:r>
        <w:t xml:space="preserve"> writes the user id, email, session token and session id into private SharedPreferences under the name </w:t>
      </w:r>
      <w:r>
        <w:rPr>
          <w:rFonts w:ascii="Consolas" w:hAnsi="Consolas"/>
          <w:sz w:val="19"/>
        </w:rPr>
        <w:t>tdm_auth</w:t>
      </w:r>
      <w:r>
        <w:t xml:space="preserve">. </w:t>
      </w:r>
      <w:r>
        <w:rPr>
          <w:rFonts w:ascii="Consolas" w:hAnsi="Consolas"/>
          <w:sz w:val="19"/>
        </w:rPr>
        <w:t>savedSession()</w:t>
      </w:r>
      <w:r>
        <w:t xml:space="preserve"> reconstitutes an </w:t>
      </w:r>
      <w:r>
        <w:rPr>
          <w:rFonts w:ascii="Consolas" w:hAnsi="Consolas"/>
          <w:sz w:val="19"/>
        </w:rPr>
        <w:t>AuthState.Authenticated</w:t>
      </w:r>
      <w:r>
        <w:t xml:space="preserve"> from those four values on the next launch, which is what allows </w:t>
      </w:r>
      <w:r>
        <w:rPr>
          <w:rFonts w:ascii="Consolas" w:hAnsi="Consolas"/>
          <w:sz w:val="19"/>
        </w:rPr>
        <w:t>MainActivity</w:t>
      </w:r>
      <w:r>
        <w:t xml:space="preserve"> to skip the login screen. </w:t>
      </w:r>
      <w:r>
        <w:rPr>
          <w:rFonts w:ascii="Consolas" w:hAnsi="Consolas"/>
          <w:sz w:val="19"/>
        </w:rPr>
        <w:t>signOut()</w:t>
      </w:r>
      <w:r>
        <w:t xml:space="preserve"> clears the whole preference file. </w:t>
      </w:r>
      <w:r>
        <w:rPr>
          <w:rFonts w:ascii="Consolas" w:hAnsi="Consolas"/>
          <w:sz w:val="19"/>
        </w:rPr>
        <w:t>getSupabaseToken()</w:t>
      </w:r>
      <w:r>
        <w:t xml:space="preserve"> first attempts a refresh through Clerk's </w:t>
      </w:r>
      <w:r>
        <w:rPr>
          <w:rFonts w:ascii="Consolas" w:hAnsi="Consolas"/>
          <w:sz w:val="19"/>
        </w:rPr>
        <w:t>/tokens/supabase</w:t>
      </w:r>
      <w:r>
        <w:t xml:space="preserve"> template endpoint and falls back to the stored token; this is the hook that would supply the JWT once per-user Row Level Security is enabled.</w:t>
      </w:r>
    </w:p>
    <w:p>
      <w:pPr>
        <w:pStyle w:val="Heading2"/>
      </w:pPr>
      <w:r>
        <w:t>15.3 Credential Management</w:t>
      </w:r>
    </w:p>
    <w:p>
      <w:pPr>
        <w:spacing w:after="160"/>
      </w:pPr>
      <w:r>
        <w:t xml:space="preserve">No credential is committed to the repository. Three values — the Clerk publishable key, the Supabase project URL and the Supabase anon key — are read from a git-ignored </w:t>
      </w:r>
      <w:r>
        <w:rPr>
          <w:rFonts w:ascii="Consolas" w:hAnsi="Consolas"/>
          <w:sz w:val="19"/>
        </w:rPr>
        <w:t>local.properties</w:t>
      </w:r>
      <w:r>
        <w:t xml:space="preserve"> at build time by </w:t>
      </w:r>
      <w:r>
        <w:rPr>
          <w:rFonts w:ascii="Consolas" w:hAnsi="Consolas"/>
          <w:sz w:val="19"/>
        </w:rPr>
        <w:t>build.gradle.kts</w:t>
      </w:r>
      <w:r>
        <w:t xml:space="preserve"> and injected as </w:t>
      </w:r>
      <w:r>
        <w:rPr>
          <w:rFonts w:ascii="Consolas" w:hAnsi="Consolas"/>
          <w:sz w:val="19"/>
        </w:rPr>
        <w:t>buildConfigField</w:t>
      </w:r>
      <w:r>
        <w:t xml:space="preserve"> entries. </w:t>
      </w:r>
      <w:r>
        <w:rPr>
          <w:rFonts w:ascii="Consolas" w:hAnsi="Consolas"/>
          <w:sz w:val="19"/>
        </w:rPr>
        <w:t>secrets.defaults.properties</w:t>
      </w:r>
      <w:r>
        <w:t xml:space="preserve"> is committed as a template with placeholder values so a new developer knows exactly which keys to supply.</w:t>
      </w:r>
    </w:p>
    <w:p>
      <w:pPr>
        <w:spacing w:before="200" w:after="0"/>
        <w:keepNext w:val="true"/>
      </w:pPr>
      <w:r>
        <w:rPr>
          <w:b/>
          <w:sz w:val="21"/>
        </w:rPr>
        <w:t>Figure 12</w:t>
      </w:r>
    </w:p>
    <w:p>
      <w:pPr>
        <w:spacing w:after="120"/>
        <w:keepNext w:val="true"/>
      </w:pPr>
      <w:r>
        <w:rPr>
          <w:i/>
          <w:sz w:val="21"/>
        </w:rPr>
        <w:t>Credential and security model</w:t>
      </w:r>
    </w:p>
    <w:p>
      <w:pPr>
        <w:spacing w:after="80"/>
        <w:jc w:val="center"/>
      </w:pPr>
      <w:r>
        <w:drawing>
          <wp:inline xmlns:a="http://schemas.openxmlformats.org/drawingml/2006/main" xmlns:pic="http://schemas.openxmlformats.org/drawingml/2006/picture">
            <wp:extent cx="5669280" cy="2670048"/>
            <wp:docPr id="12" name="Picture 12"/>
            <wp:cNvGraphicFramePr>
              <a:graphicFrameLocks noChangeAspect="1"/>
            </wp:cNvGraphicFramePr>
            <a:graphic>
              <a:graphicData uri="http://schemas.openxmlformats.org/drawingml/2006/picture">
                <pic:pic>
                  <pic:nvPicPr>
                    <pic:cNvPr id="0" name="fig12-security.png"/>
                    <pic:cNvPicPr/>
                  </pic:nvPicPr>
                  <pic:blipFill>
                    <a:blip r:embed="rId23"/>
                    <a:stretch>
                      <a:fillRect/>
                    </a:stretch>
                  </pic:blipFill>
                  <pic:spPr>
                    <a:xfrm>
                      <a:off x="0" y="0"/>
                      <a:ext cx="5669280" cy="2670048"/>
                    </a:xfrm>
                    <a:prstGeom prst="rect"/>
                  </pic:spPr>
                </pic:pic>
              </a:graphicData>
            </a:graphic>
          </wp:inline>
        </w:drawing>
      </w:r>
    </w:p>
    <w:p>
      <w:pPr>
        <w:spacing w:after="280"/>
      </w:pPr>
      <w:r>
        <w:rPr>
          <w:i/>
          <w:sz w:val="18"/>
        </w:rPr>
        <w:t xml:space="preserve">Note. </w:t>
      </w:r>
      <w:r>
        <w:rPr>
          <w:color w:val="5A6B7F"/>
          <w:sz w:val="18"/>
        </w:rPr>
        <w:t>Traced from `build.gradle.kts`, `.gitignore`, `secrets.defaults.properties` and `TdmApplication.kt`.</w:t>
      </w:r>
    </w:p>
    <w:p>
      <w:pPr>
        <w:spacing w:after="160"/>
      </w:pPr>
      <w:r>
        <w:t xml:space="preserve">All three injected values are public by design — a Clerk publishable key and a Supabase anon key are both intended to ship inside client applications — so their presence in the APK is not a leak. The keys that would be a leak, the Supabase </w:t>
      </w:r>
      <w:r>
        <w:rPr>
          <w:rFonts w:ascii="Consolas" w:hAnsi="Consolas"/>
          <w:sz w:val="19"/>
        </w:rPr>
        <w:t>service_role</w:t>
      </w:r>
      <w:r>
        <w:t xml:space="preserve"> key and the Clerk secret key, are never referenced anywhere in the project. The application declares a single Android permission, </w:t>
      </w:r>
      <w:r>
        <w:rPr>
          <w:rFonts w:ascii="Consolas" w:hAnsi="Consolas"/>
          <w:sz w:val="19"/>
        </w:rPr>
        <w:t>INTERNET</w:t>
      </w:r>
      <w:r>
        <w:t>; it requests no access to storage, location, camera or contacts.</w:t>
      </w:r>
    </w:p>
    <w:p>
      <w:pPr>
        <w:pStyle w:val="Heading1"/>
      </w:pPr>
      <w:r>
        <w:t>16. The Calculation Engine</w:t>
      </w:r>
    </w:p>
    <w:p>
      <w:pPr>
        <w:spacing w:after="160"/>
      </w:pPr>
      <w:r>
        <w:rPr>
          <w:rFonts w:ascii="Consolas" w:hAnsi="Consolas"/>
          <w:sz w:val="19"/>
        </w:rPr>
        <w:t>VancoEngine</w:t>
      </w:r>
      <w:r>
        <w:t xml:space="preserve"> is a Kotlin </w:t>
      </w:r>
      <w:r>
        <w:rPr>
          <w:rFonts w:ascii="Consolas" w:hAnsi="Consolas"/>
          <w:sz w:val="19"/>
        </w:rPr>
        <w:t>object</w:t>
      </w:r>
      <w:r>
        <w:t xml:space="preserve"> of 276 lines. It declares five named constants, each carrying a source comment, and exposes three public functions returning </w:t>
      </w:r>
      <w:r>
        <w:rPr>
          <w:rFonts w:ascii="Consolas" w:hAnsi="Consolas"/>
          <w:sz w:val="19"/>
        </w:rPr>
        <w:t>CalculationResult</w:t>
      </w:r>
      <w:r>
        <w:t xml:space="preserve">. Every function follows the same shape: validate, compute inside a </w:t>
      </w:r>
      <w:r>
        <w:rPr>
          <w:rFonts w:ascii="Consolas" w:hAnsi="Consolas"/>
          <w:sz w:val="19"/>
        </w:rPr>
        <w:t>try</w:t>
      </w:r>
      <w:r>
        <w:t xml:space="preserve"> block, and convert any </w:t>
      </w:r>
      <w:r>
        <w:rPr>
          <w:rFonts w:ascii="Consolas" w:hAnsi="Consolas"/>
          <w:sz w:val="19"/>
        </w:rPr>
        <w:t>ArithmeticException</w:t>
      </w:r>
      <w:r>
        <w:t xml:space="preserve"> raised by a guard into a </w:t>
      </w:r>
      <w:r>
        <w:rPr>
          <w:rFonts w:ascii="Consolas" w:hAnsi="Consolas"/>
          <w:sz w:val="19"/>
        </w:rPr>
        <w:t>Failure</w:t>
      </w:r>
      <w:r>
        <w:t>.</w:t>
      </w:r>
    </w:p>
    <w:p>
      <w:pPr>
        <w:pStyle w:val="Heading2"/>
      </w:pPr>
      <w:r>
        <w:t>16.1 Named Constants</w:t>
      </w:r>
    </w:p>
    <w:p>
      <w:pPr>
        <w:spacing w:before="120" w:after="160" w:line="264" w:lineRule="auto"/>
        <w:ind w:left="340"/>
        <w:shd w:val="clear" w:color="auto" w:fill="F4F8FD"/>
      </w:pPr>
      <w:r>
        <w:rPr>
          <w:rFonts w:ascii="Consolas" w:hAnsi="Consolas"/>
          <w:color w:val="1E2E40"/>
          <w:sz w:val="18"/>
        </w:rPr>
        <w:t>private const val AUC24_TARGET_LOW    = 400.0   // Rybak et al. (2020)</w:t>
        <w:br/>
      </w:r>
      <w:r>
        <w:rPr>
          <w:rFonts w:ascii="Consolas" w:hAnsi="Consolas"/>
          <w:color w:val="1E2E40"/>
          <w:sz w:val="18"/>
        </w:rPr>
        <w:t>private const val AUC24_TARGET_HIGH   = 600.0   // Rybak et al. (2020)</w:t>
        <w:br/>
      </w:r>
      <w:r>
        <w:rPr>
          <w:rFonts w:ascii="Consolas" w:hAnsi="Consolas"/>
          <w:color w:val="1E2E40"/>
          <w:sz w:val="18"/>
        </w:rPr>
        <w:t>private const val AUC24_TARGET_CENTRE = 500.0   // dose recommendation target</w:t>
        <w:br/>
      </w:r>
      <w:r>
        <w:rPr>
          <w:rFonts w:ascii="Consolas" w:hAnsi="Consolas"/>
          <w:color w:val="1E2E40"/>
          <w:sz w:val="18"/>
        </w:rPr>
        <w:t>private const val POP_VD_L_PER_KG     = 0.7     // population prior, single-point methods</w:t>
        <w:br/>
      </w:r>
      <w:r>
        <w:rPr>
          <w:rFonts w:ascii="Consolas" w:hAnsi="Consolas"/>
          <w:color w:val="1E2E40"/>
          <w:sz w:val="18"/>
        </w:rPr>
        <w:t>private const val CRCL_TO_CL_FACTOR   = 0.06    // CrCl (mL/min) → CL (L/h)</w:t>
      </w:r>
    </w:p>
    <w:p>
      <w:pPr>
        <w:spacing w:after="200"/>
      </w:pPr>
      <w:r>
        <w:rPr>
          <w:i/>
          <w:color w:val="5A6B7F"/>
          <w:sz w:val="17"/>
        </w:rPr>
        <w:t>Clinical constants are named and sourced rather than embedded as literals, as required by Section 7 of PROJECT_RULES.md.</w:t>
      </w:r>
    </w:p>
    <w:p>
      <w:pPr>
        <w:pStyle w:val="Heading2"/>
      </w:pPr>
      <w:r>
        <w:t>16.2 Shared Relationships</w:t>
      </w:r>
    </w:p>
    <w:p>
      <w:pPr>
        <w:spacing w:after="160"/>
      </w:pPr>
      <w:r>
        <w:t>Three relationships are used by all three workflows.</w:t>
      </w:r>
    </w:p>
    <w:p>
      <w:pPr>
        <w:spacing w:before="120" w:after="160" w:line="264" w:lineRule="auto"/>
        <w:ind w:left="340"/>
        <w:shd w:val="clear" w:color="auto" w:fill="F4F8FD"/>
      </w:pPr>
      <w:r>
        <w:rPr>
          <w:rFonts w:ascii="Consolas" w:hAnsi="Consolas"/>
          <w:color w:val="1E2E40"/>
          <w:sz w:val="18"/>
        </w:rPr>
        <w:t>CrCl (mL/min) = ((140 − age) × weight × sexFactor) / (72 × SCr_mg/dL)</w:t>
        <w:br/>
      </w:r>
      <w:r>
        <w:rPr>
          <w:rFonts w:ascii="Consolas" w:hAnsi="Consolas"/>
          <w:color w:val="1E2E40"/>
          <w:sz w:val="18"/>
        </w:rPr>
        <w:t xml:space="preserve">                where SCr_mg/dL = SCr_µmol/L ÷ 88.4 and sexFactor = 1.0 male, 0.85 female</w:t>
        <w:br/>
      </w:r>
      <w:r>
        <w:rPr>
          <w:rFonts w:ascii="Consolas" w:hAnsi="Consolas"/>
          <w:color w:val="1E2E40"/>
          <w:sz w:val="18"/>
        </w:rPr>
        <w:br/>
      </w:r>
      <w:r>
        <w:rPr>
          <w:rFonts w:ascii="Consolas" w:hAnsi="Consolas"/>
          <w:color w:val="1E2E40"/>
          <w:sz w:val="18"/>
        </w:rPr>
        <w:t>AUC24 (mg·h/L) = (Dose ÷ τ) × 24 ÷ CL</w:t>
        <w:br/>
      </w:r>
      <w:r>
        <w:rPr>
          <w:rFonts w:ascii="Consolas" w:hAnsi="Consolas"/>
          <w:color w:val="1E2E40"/>
          <w:sz w:val="18"/>
        </w:rPr>
        <w:br/>
      </w:r>
      <w:r>
        <w:rPr>
          <w:rFonts w:ascii="Consolas" w:hAnsi="Consolas"/>
          <w:color w:val="1E2E40"/>
          <w:sz w:val="18"/>
        </w:rPr>
        <w:t>Recommended dose (mg) = (AUC_target × CL × τ) ÷ 24,  with AUC_target = 500 mg·h/L</w:t>
      </w:r>
    </w:p>
    <w:p>
      <w:pPr>
        <w:spacing w:after="160"/>
      </w:pPr>
      <w:r>
        <w:t>The creatinine clearance relationship is the Cockcroft–Gault equation (Cockcroft &amp; Gault, 1976). The divisor 88.4 converts micromoles per litre to milligrams per decilitre, which is the unit the original equation was published in; the application collects the value in micromoles per litre because that is the unit Malaysian laboratories report.</w:t>
      </w:r>
    </w:p>
    <w:p>
      <w:pPr>
        <w:pStyle w:val="Heading2"/>
      </w:pPr>
      <w:r>
        <w:t>16.3 The Pre-Dose Workflow</w:t>
      </w:r>
    </w:p>
    <w:p>
      <w:pPr>
        <w:spacing w:after="160"/>
      </w:pPr>
      <w:r>
        <w:t>When only a trough is available there is not enough information to fit an individualised volume of distribution, so the engine uses a population prior of 0.7 L/kg and estimates clearance from renal function.</w:t>
      </w:r>
    </w:p>
    <w:p>
      <w:pPr>
        <w:spacing w:before="120" w:after="160" w:line="264" w:lineRule="auto"/>
        <w:ind w:left="340"/>
        <w:shd w:val="clear" w:color="auto" w:fill="F4F8FD"/>
      </w:pPr>
      <w:r>
        <w:rPr>
          <w:rFonts w:ascii="Consolas" w:hAnsi="Consolas"/>
          <w:color w:val="1E2E40"/>
          <w:sz w:val="18"/>
        </w:rPr>
        <w:t>Vd  = 0.7 × weight</w:t>
        <w:br/>
      </w:r>
      <w:r>
        <w:rPr>
          <w:rFonts w:ascii="Consolas" w:hAnsi="Consolas"/>
          <w:color w:val="1E2E40"/>
          <w:sz w:val="18"/>
        </w:rPr>
        <w:t>CL  = CrCl × 0.06</w:t>
        <w:br/>
      </w:r>
      <w:r>
        <w:rPr>
          <w:rFonts w:ascii="Consolas" w:hAnsi="Consolas"/>
          <w:color w:val="1E2E40"/>
          <w:sz w:val="18"/>
        </w:rPr>
        <w:t>ke  = CL ÷ Vd</w:t>
        <w:br/>
      </w:r>
      <w:r>
        <w:rPr>
          <w:rFonts w:ascii="Consolas" w:hAnsi="Consolas"/>
          <w:color w:val="1E2E40"/>
          <w:sz w:val="18"/>
        </w:rPr>
        <w:t>t½  = ln(2) ÷ ke</w:t>
        <w:br/>
      </w:r>
      <w:r>
        <w:rPr>
          <w:rFonts w:ascii="Consolas" w:hAnsi="Consolas"/>
          <w:color w:val="1E2E40"/>
          <w:sz w:val="18"/>
        </w:rPr>
        <w:t>AUC24, recommended dose as above</w:t>
      </w:r>
    </w:p>
    <w:p>
      <w:pPr>
        <w:spacing w:after="160"/>
      </w:pPr>
      <w:r>
        <w:t xml:space="preserve">The measured trough is returned unchanged as </w:t>
      </w:r>
      <w:r>
        <w:rPr>
          <w:rFonts w:ascii="Consolas" w:hAnsi="Consolas"/>
          <w:sz w:val="19"/>
        </w:rPr>
        <w:t>cmin</w:t>
      </w:r>
      <w:r>
        <w:t xml:space="preserve">; no projected peak is produced, so </w:t>
      </w:r>
      <w:r>
        <w:rPr>
          <w:rFonts w:ascii="Consolas" w:hAnsi="Consolas"/>
          <w:sz w:val="19"/>
        </w:rPr>
        <w:t>cmax</w:t>
      </w:r>
      <w:r>
        <w:t xml:space="preserve"> is null. This is the least individualised of the three pathways and the report notes it as such: its accuracy depends entirely on how well the population priors describe the particular patient.</w:t>
      </w:r>
    </w:p>
    <w:p>
      <w:pPr>
        <w:pStyle w:val="Heading2"/>
      </w:pPr>
      <w:r>
        <w:t>16.4 The Post-Dose Workflow</w:t>
      </w:r>
    </w:p>
    <w:p>
      <w:pPr>
        <w:spacing w:after="160"/>
      </w:pPr>
      <w:r>
        <w:t>With a single post-infusion concentration the engine fits the elimination rate constant to a one-compartment constant-rate infusion model by Newton–Raphson iteration (Burden &amp; Faires, 2010), again using the population volume of distribution.</w:t>
      </w:r>
    </w:p>
    <w:p>
      <w:pPr>
        <w:spacing w:before="120" w:after="160" w:line="264" w:lineRule="auto"/>
        <w:ind w:left="340"/>
        <w:shd w:val="clear" w:color="auto" w:fill="F4F8FD"/>
      </w:pPr>
      <w:r>
        <w:rPr>
          <w:rFonts w:ascii="Consolas" w:hAnsi="Consolas"/>
          <w:color w:val="1E2E40"/>
          <w:sz w:val="18"/>
        </w:rPr>
        <w:t>C(t) = (D ÷ (k·Vd·T)) × (1 − e^(−k·T)) × e^(−k·(t − T))</w:t>
        <w:br/>
      </w:r>
      <w:r>
        <w:rPr>
          <w:rFonts w:ascii="Consolas" w:hAnsi="Consolas"/>
          <w:color w:val="1E2E40"/>
          <w:sz w:val="18"/>
        </w:rPr>
        <w:t xml:space="preserve">       T = infusion duration, t = hours after dose start, t ≥ T</w:t>
        <w:br/>
      </w:r>
      <w:r>
        <w:rPr>
          <w:rFonts w:ascii="Consolas" w:hAnsi="Consolas"/>
          <w:color w:val="1E2E40"/>
          <w:sz w:val="18"/>
        </w:rPr>
        <w:br/>
      </w:r>
      <w:r>
        <w:rPr>
          <w:rFonts w:ascii="Consolas" w:hAnsi="Consolas"/>
          <w:color w:val="1E2E40"/>
          <w:sz w:val="18"/>
        </w:rPr>
        <w:t>Solve  f(k) = C_model(k) − C_observed = 0</w:t>
        <w:br/>
      </w:r>
      <w:r>
        <w:rPr>
          <w:rFonts w:ascii="Consolas" w:hAnsi="Consolas"/>
          <w:color w:val="1E2E40"/>
          <w:sz w:val="18"/>
        </w:rPr>
        <w:t xml:space="preserve">       k₀ = 0.3 h⁻¹, closed-form derivative, at most 50 iterations,</w:t>
        <w:br/>
      </w:r>
      <w:r>
        <w:rPr>
          <w:rFonts w:ascii="Consolas" w:hAnsi="Consolas"/>
          <w:color w:val="1E2E40"/>
          <w:sz w:val="18"/>
        </w:rPr>
        <w:t xml:space="preserve">       convergence when |k_{n+1} − k_n| &lt; 1e-8, k floored at 1e-6</w:t>
      </w:r>
    </w:p>
    <w:p>
      <w:pPr>
        <w:spacing w:after="160"/>
      </w:pPr>
      <w:r>
        <w:t xml:space="preserve">Non-convergence returns a </w:t>
      </w:r>
      <w:r>
        <w:rPr>
          <w:rFonts w:ascii="Consolas" w:hAnsi="Consolas"/>
          <w:sz w:val="19"/>
        </w:rPr>
        <w:t>Failure</w:t>
      </w:r>
      <w:r>
        <w:t xml:space="preserve"> whose message names the likely cause. Cmin is projected forward to the end of the dosing interval; the observed concentration is reported as Cmax. A defect in this pathway is documented in Section 18.4.</w:t>
      </w:r>
    </w:p>
    <w:p>
      <w:pPr>
        <w:pStyle w:val="Heading2"/>
      </w:pPr>
      <w:r>
        <w:t>16.5 The Pre + Post Workflow</w:t>
      </w:r>
    </w:p>
    <w:p>
      <w:pPr>
        <w:spacing w:after="160"/>
      </w:pPr>
      <w:r>
        <w:t>When both samples exist the engine can derive both parameters from the patient's own data, which is why this pathway is presented first on the workflow selection screen. It applies Sawchuk–Zaske two-point log-linear regression (Sawchuk &amp; Zaske, 1976).</w:t>
      </w:r>
    </w:p>
    <w:p>
      <w:pPr>
        <w:spacing w:before="120" w:after="160" w:line="264" w:lineRule="auto"/>
        <w:ind w:left="340"/>
        <w:shd w:val="clear" w:color="auto" w:fill="F4F8FD"/>
      </w:pPr>
      <w:r>
        <w:rPr>
          <w:rFonts w:ascii="Consolas" w:hAnsi="Consolas"/>
          <w:color w:val="1E2E40"/>
          <w:sz w:val="18"/>
        </w:rPr>
        <w:t>Δt  = t_pre − t_post                    (both measured from dose start; Δt &gt; 0)</w:t>
        <w:br/>
      </w:r>
      <w:r>
        <w:rPr>
          <w:rFonts w:ascii="Consolas" w:hAnsi="Consolas"/>
          <w:color w:val="1E2E40"/>
          <w:sz w:val="18"/>
        </w:rPr>
        <w:t>ke  = ln(C_peak ÷ C_trough) ÷ Δt</w:t>
        <w:br/>
      </w:r>
      <w:r>
        <w:rPr>
          <w:rFonts w:ascii="Consolas" w:hAnsi="Consolas"/>
          <w:color w:val="1E2E40"/>
          <w:sz w:val="18"/>
        </w:rPr>
        <w:t>t½  = ln(2) ÷ ke</w:t>
        <w:br/>
      </w:r>
      <w:r>
        <w:rPr>
          <w:rFonts w:ascii="Consolas" w:hAnsi="Consolas"/>
          <w:color w:val="1E2E40"/>
          <w:sz w:val="18"/>
        </w:rPr>
        <w:t>Vd  = D × (1 − e^(−ke·T)) ÷ (ke × T × C_peak)</w:t>
        <w:br/>
      </w:r>
      <w:r>
        <w:rPr>
          <w:rFonts w:ascii="Consolas" w:hAnsi="Consolas"/>
          <w:color w:val="1E2E40"/>
          <w:sz w:val="18"/>
        </w:rPr>
        <w:t>CL  = ke × Vd</w:t>
      </w:r>
    </w:p>
    <w:p>
      <w:pPr>
        <w:spacing w:after="160"/>
      </w:pPr>
      <w:r>
        <w:t xml:space="preserve">Both concentrations are returned unchanged as Cmin and Cmax, and </w:t>
      </w:r>
      <w:r>
        <w:rPr>
          <w:rFonts w:ascii="Consolas" w:hAnsi="Consolas"/>
          <w:sz w:val="19"/>
        </w:rPr>
        <w:t>vdLPerKg</w:t>
      </w:r>
      <w:r>
        <w:t xml:space="preserve"> is reported as the derived </w:t>
      </w:r>
      <w:r>
        <w:rPr>
          <w:rFonts w:ascii="Consolas" w:hAnsi="Consolas"/>
          <w:sz w:val="19"/>
        </w:rPr>
        <w:t>Vd ÷ weight</w:t>
      </w:r>
      <w:r>
        <w:t xml:space="preserve"> rather than the 0.7 population figure — a useful clinical signal, since a derived value far from 0.7 L/kg suggests either an unusual patient or a sampling error.</w:t>
      </w:r>
    </w:p>
    <w:p>
      <w:pPr>
        <w:pStyle w:val="Heading2"/>
      </w:pPr>
      <w:r>
        <w:t>16.6 Worked Examples</w:t>
      </w:r>
    </w:p>
    <w:p>
      <w:pPr>
        <w:spacing w:after="160"/>
      </w:pPr>
      <w:r>
        <w:t>Table 15 gives one worked case per workflow, computed with the exact arithmetic the engine performs. All three patients are fictional. Together they exercise all three verdict states.</w:t>
      </w:r>
    </w:p>
    <w:p>
      <w:pPr>
        <w:spacing w:before="240" w:after="0"/>
        <w:keepNext w:val="true"/>
      </w:pPr>
      <w:r>
        <w:rPr>
          <w:b/>
          <w:sz w:val="21"/>
        </w:rPr>
        <w:t>Table 15</w:t>
      </w:r>
    </w:p>
    <w:p>
      <w:pPr>
        <w:spacing w:after="100"/>
        <w:keepNext w:val="true"/>
      </w:pPr>
      <w:r>
        <w:rPr>
          <w:i/>
          <w:sz w:val="21"/>
        </w:rPr>
        <w:t>Worked examples across the three workflows</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1816"/>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r>
          </w:p>
        </w:tc>
        <w:tc>
          <w:tcPr>
            <w:tcW w:type="dxa" w:w="2384"/>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Pre-dose only</w:t>
            </w:r>
          </w:p>
        </w:tc>
        <w:tc>
          <w:tcPr>
            <w:tcW w:type="dxa" w:w="2384"/>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Post-dose only</w:t>
            </w:r>
          </w:p>
        </w:tc>
        <w:tc>
          <w:tcPr>
            <w:tcW w:type="dxa" w:w="2441"/>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Pre + Post</w:t>
            </w:r>
          </w:p>
        </w:tc>
      </w:tr>
      <w:tr>
        <w:tc>
          <w:tcPr>
            <w:tcW w:type="dxa" w:w="1816"/>
            <w:tcBorders>
              <w:top w:val="nil" w:sz="6" w:color="C7D6E5"/>
              <w:bottom w:val="single" w:sz="6" w:color="C7D6E5"/>
              <w:left w:val="nil" w:sz="6" w:color="C7D6E5"/>
              <w:right w:val="nil" w:sz="6" w:color="C7D6E5"/>
            </w:tcBorders>
          </w:tcPr>
          <w:p>
            <w:pPr>
              <w:spacing w:after="40" w:before="40" w:line="252" w:lineRule="auto"/>
            </w:pPr>
            <w:r>
              <w:rPr>
                <w:b/>
                <w:sz w:val="18"/>
              </w:rPr>
              <w:t>Patient</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72 kg, 50 y, male, SCr 88 µmol/L</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70 kg, 60 y, male, SCr 95 µmol/L</w:t>
            </w:r>
          </w:p>
        </w:tc>
        <w:tc>
          <w:tcPr>
            <w:tcW w:type="dxa" w:w="2441"/>
            <w:tcBorders>
              <w:top w:val="nil" w:sz="6" w:color="C7D6E5"/>
              <w:bottom w:val="single" w:sz="6" w:color="C7D6E5"/>
              <w:left w:val="nil" w:sz="6" w:color="C7D6E5"/>
              <w:right w:val="nil" w:sz="6" w:color="C7D6E5"/>
            </w:tcBorders>
          </w:tcPr>
          <w:p>
            <w:pPr>
              <w:spacing w:after="40" w:before="40" w:line="252" w:lineRule="auto"/>
            </w:pPr>
            <w:r>
              <w:rPr>
                <w:sz w:val="18"/>
              </w:rPr>
              <w:t>68 kg, 62 y, male, SCr 98 µmol/L</w:t>
            </w:r>
          </w:p>
        </w:tc>
      </w:tr>
      <w:tr>
        <w:tc>
          <w:tcPr>
            <w:tcW w:type="dxa" w:w="1816"/>
            <w:tcBorders>
              <w:top w:val="nil" w:sz="6" w:color="C7D6E5"/>
              <w:bottom w:val="single" w:sz="6" w:color="C7D6E5"/>
              <w:left w:val="nil" w:sz="6" w:color="C7D6E5"/>
              <w:right w:val="nil" w:sz="6" w:color="C7D6E5"/>
            </w:tcBorders>
          </w:tcPr>
          <w:p>
            <w:pPr>
              <w:spacing w:after="40" w:before="40" w:line="252" w:lineRule="auto"/>
            </w:pPr>
            <w:r>
              <w:rPr>
                <w:b/>
                <w:sz w:val="18"/>
              </w:rPr>
              <w:t>Regimen</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1000 mg every 12 h over 1 h</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1000 mg every 12 h over 1 h</w:t>
            </w:r>
          </w:p>
        </w:tc>
        <w:tc>
          <w:tcPr>
            <w:tcW w:type="dxa" w:w="2441"/>
            <w:tcBorders>
              <w:top w:val="nil" w:sz="6" w:color="C7D6E5"/>
              <w:bottom w:val="single" w:sz="6" w:color="C7D6E5"/>
              <w:left w:val="nil" w:sz="6" w:color="C7D6E5"/>
              <w:right w:val="nil" w:sz="6" w:color="C7D6E5"/>
            </w:tcBorders>
          </w:tcPr>
          <w:p>
            <w:pPr>
              <w:spacing w:after="40" w:before="40" w:line="252" w:lineRule="auto"/>
            </w:pPr>
            <w:r>
              <w:rPr>
                <w:sz w:val="18"/>
              </w:rPr>
              <w:t>1000 mg every 12 h over 1 h</w:t>
            </w:r>
          </w:p>
        </w:tc>
      </w:tr>
      <w:tr>
        <w:tc>
          <w:tcPr>
            <w:tcW w:type="dxa" w:w="1816"/>
            <w:tcBorders>
              <w:top w:val="nil" w:sz="6" w:color="C7D6E5"/>
              <w:bottom w:val="single" w:sz="6" w:color="C7D6E5"/>
              <w:left w:val="nil" w:sz="6" w:color="C7D6E5"/>
              <w:right w:val="nil" w:sz="6" w:color="C7D6E5"/>
            </w:tcBorders>
          </w:tcPr>
          <w:p>
            <w:pPr>
              <w:spacing w:after="40" w:before="40" w:line="252" w:lineRule="auto"/>
            </w:pPr>
            <w:r>
              <w:rPr>
                <w:b/>
                <w:sz w:val="18"/>
              </w:rPr>
              <w:t>Samples</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Trough 10.2 mg/L</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Peak 15.0 mg/L at t = 4 h</w:t>
            </w:r>
          </w:p>
        </w:tc>
        <w:tc>
          <w:tcPr>
            <w:tcW w:type="dxa" w:w="2441"/>
            <w:tcBorders>
              <w:top w:val="nil" w:sz="6" w:color="C7D6E5"/>
              <w:bottom w:val="single" w:sz="6" w:color="C7D6E5"/>
              <w:left w:val="nil" w:sz="6" w:color="C7D6E5"/>
              <w:right w:val="nil" w:sz="6" w:color="C7D6E5"/>
            </w:tcBorders>
          </w:tcPr>
          <w:p>
            <w:pPr>
              <w:spacing w:after="40" w:before="40" w:line="252" w:lineRule="auto"/>
            </w:pPr>
            <w:r>
              <w:rPr>
                <w:sz w:val="18"/>
              </w:rPr>
              <w:t>Peak 26.0 mg/L at t = 2 h; trough 12.5 mg/L at t = 10.5 h</w:t>
            </w:r>
          </w:p>
        </w:tc>
      </w:tr>
      <w:tr>
        <w:tc>
          <w:tcPr>
            <w:tcW w:type="dxa" w:w="1816"/>
            <w:tcBorders>
              <w:top w:val="nil" w:sz="6" w:color="C7D6E5"/>
              <w:bottom w:val="single" w:sz="6" w:color="C7D6E5"/>
              <w:left w:val="nil" w:sz="6" w:color="C7D6E5"/>
              <w:right w:val="nil" w:sz="6" w:color="C7D6E5"/>
            </w:tcBorders>
          </w:tcPr>
          <w:p>
            <w:pPr>
              <w:spacing w:after="40" w:before="40" w:line="252" w:lineRule="auto"/>
            </w:pPr>
            <w:r>
              <w:rPr>
                <w:b/>
                <w:sz w:val="18"/>
              </w:rPr>
              <w:t>Method</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Cockcroft–Gault + population Vd</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Newton–Raphson fit + population Vd</w:t>
            </w:r>
          </w:p>
        </w:tc>
        <w:tc>
          <w:tcPr>
            <w:tcW w:type="dxa" w:w="2441"/>
            <w:tcBorders>
              <w:top w:val="nil" w:sz="6" w:color="C7D6E5"/>
              <w:bottom w:val="single" w:sz="6" w:color="C7D6E5"/>
              <w:left w:val="nil" w:sz="6" w:color="C7D6E5"/>
              <w:right w:val="nil" w:sz="6" w:color="C7D6E5"/>
            </w:tcBorders>
          </w:tcPr>
          <w:p>
            <w:pPr>
              <w:spacing w:after="40" w:before="40" w:line="252" w:lineRule="auto"/>
            </w:pPr>
            <w:r>
              <w:rPr>
                <w:sz w:val="18"/>
              </w:rPr>
              <w:t>Sawchuk–Zaske two-point</w:t>
            </w:r>
          </w:p>
        </w:tc>
      </w:tr>
      <w:tr>
        <w:tc>
          <w:tcPr>
            <w:tcW w:type="dxa" w:w="1816"/>
            <w:tcBorders>
              <w:top w:val="nil" w:sz="6" w:color="C7D6E5"/>
              <w:bottom w:val="single" w:sz="6" w:color="C7D6E5"/>
              <w:left w:val="nil" w:sz="6" w:color="C7D6E5"/>
              <w:right w:val="nil" w:sz="6" w:color="C7D6E5"/>
            </w:tcBorders>
          </w:tcPr>
          <w:p>
            <w:pPr>
              <w:spacing w:after="40" w:before="40" w:line="252" w:lineRule="auto"/>
            </w:pPr>
            <w:r>
              <w:rPr>
                <w:sz w:val="18"/>
              </w:rPr>
              <w:t>CrCl</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90.4 mL/min</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 (not used for ke)</w:t>
            </w:r>
          </w:p>
        </w:tc>
        <w:tc>
          <w:tcPr>
            <w:tcW w:type="dxa" w:w="2441"/>
            <w:tcBorders>
              <w:top w:val="nil" w:sz="6" w:color="C7D6E5"/>
              <w:bottom w:val="single" w:sz="6" w:color="C7D6E5"/>
              <w:left w:val="nil" w:sz="6" w:color="C7D6E5"/>
              <w:right w:val="nil" w:sz="6" w:color="C7D6E5"/>
            </w:tcBorders>
          </w:tcPr>
          <w:p>
            <w:pPr>
              <w:spacing w:after="40" w:before="40" w:line="252" w:lineRule="auto"/>
            </w:pPr>
            <w:r>
              <w:rPr>
                <w:sz w:val="18"/>
              </w:rPr>
              <w:t>— (not used for ke)</w:t>
            </w:r>
          </w:p>
        </w:tc>
      </w:tr>
      <w:tr>
        <w:tc>
          <w:tcPr>
            <w:tcW w:type="dxa" w:w="1816"/>
            <w:tcBorders>
              <w:top w:val="nil" w:sz="6" w:color="C7D6E5"/>
              <w:bottom w:val="single" w:sz="6" w:color="C7D6E5"/>
              <w:left w:val="nil" w:sz="6" w:color="C7D6E5"/>
              <w:right w:val="nil" w:sz="6" w:color="C7D6E5"/>
            </w:tcBorders>
          </w:tcPr>
          <w:p>
            <w:pPr>
              <w:spacing w:after="40" w:before="40" w:line="252" w:lineRule="auto"/>
            </w:pPr>
            <w:r>
              <w:rPr>
                <w:sz w:val="18"/>
              </w:rPr>
              <w:t>ke</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0.1076 h⁻¹</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0.0881 h⁻¹</w:t>
            </w:r>
          </w:p>
        </w:tc>
        <w:tc>
          <w:tcPr>
            <w:tcW w:type="dxa" w:w="2441"/>
            <w:tcBorders>
              <w:top w:val="nil" w:sz="6" w:color="C7D6E5"/>
              <w:bottom w:val="single" w:sz="6" w:color="C7D6E5"/>
              <w:left w:val="nil" w:sz="6" w:color="C7D6E5"/>
              <w:right w:val="nil" w:sz="6" w:color="C7D6E5"/>
            </w:tcBorders>
          </w:tcPr>
          <w:p>
            <w:pPr>
              <w:spacing w:after="40" w:before="40" w:line="252" w:lineRule="auto"/>
            </w:pPr>
            <w:r>
              <w:rPr>
                <w:sz w:val="18"/>
              </w:rPr>
              <w:t>0.0862 h⁻¹</w:t>
            </w:r>
          </w:p>
        </w:tc>
      </w:tr>
      <w:tr>
        <w:tc>
          <w:tcPr>
            <w:tcW w:type="dxa" w:w="1816"/>
            <w:tcBorders>
              <w:top w:val="nil" w:sz="6" w:color="C7D6E5"/>
              <w:bottom w:val="single" w:sz="6" w:color="C7D6E5"/>
              <w:left w:val="nil" w:sz="6" w:color="C7D6E5"/>
              <w:right w:val="nil" w:sz="6" w:color="C7D6E5"/>
            </w:tcBorders>
          </w:tcPr>
          <w:p>
            <w:pPr>
              <w:spacing w:after="40" w:before="40" w:line="252" w:lineRule="auto"/>
            </w:pPr>
            <w:r>
              <w:rPr>
                <w:sz w:val="18"/>
              </w:rPr>
              <w:t>t½</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6.44 h</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7.87 h</w:t>
            </w:r>
          </w:p>
        </w:tc>
        <w:tc>
          <w:tcPr>
            <w:tcW w:type="dxa" w:w="2441"/>
            <w:tcBorders>
              <w:top w:val="nil" w:sz="6" w:color="C7D6E5"/>
              <w:bottom w:val="single" w:sz="6" w:color="C7D6E5"/>
              <w:left w:val="nil" w:sz="6" w:color="C7D6E5"/>
              <w:right w:val="nil" w:sz="6" w:color="C7D6E5"/>
            </w:tcBorders>
          </w:tcPr>
          <w:p>
            <w:pPr>
              <w:spacing w:after="40" w:before="40" w:line="252" w:lineRule="auto"/>
            </w:pPr>
            <w:r>
              <w:rPr>
                <w:sz w:val="18"/>
              </w:rPr>
              <w:t>8.04 h</w:t>
            </w:r>
          </w:p>
        </w:tc>
      </w:tr>
      <w:tr>
        <w:tc>
          <w:tcPr>
            <w:tcW w:type="dxa" w:w="1816"/>
            <w:tcBorders>
              <w:top w:val="nil" w:sz="6" w:color="C7D6E5"/>
              <w:bottom w:val="single" w:sz="6" w:color="C7D6E5"/>
              <w:left w:val="nil" w:sz="6" w:color="C7D6E5"/>
              <w:right w:val="nil" w:sz="6" w:color="C7D6E5"/>
            </w:tcBorders>
          </w:tcPr>
          <w:p>
            <w:pPr>
              <w:spacing w:after="40" w:before="40" w:line="252" w:lineRule="auto"/>
            </w:pPr>
            <w:r>
              <w:rPr>
                <w:sz w:val="18"/>
              </w:rPr>
              <w:t>Vd</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50.4 L (0.70 L/kg, population)</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49.0 L (0.70 L/kg, population)</w:t>
            </w:r>
          </w:p>
        </w:tc>
        <w:tc>
          <w:tcPr>
            <w:tcW w:type="dxa" w:w="2441"/>
            <w:tcBorders>
              <w:top w:val="nil" w:sz="6" w:color="C7D6E5"/>
              <w:bottom w:val="single" w:sz="6" w:color="C7D6E5"/>
              <w:left w:val="nil" w:sz="6" w:color="C7D6E5"/>
              <w:right w:val="nil" w:sz="6" w:color="C7D6E5"/>
            </w:tcBorders>
          </w:tcPr>
          <w:p>
            <w:pPr>
              <w:spacing w:after="40" w:before="40" w:line="252" w:lineRule="auto"/>
            </w:pPr>
            <w:r>
              <w:rPr>
                <w:sz w:val="18"/>
              </w:rPr>
              <w:t>36.9 L (0.54 L/kg, derived)</w:t>
            </w:r>
          </w:p>
        </w:tc>
      </w:tr>
      <w:tr>
        <w:tc>
          <w:tcPr>
            <w:tcW w:type="dxa" w:w="1816"/>
            <w:tcBorders>
              <w:top w:val="nil" w:sz="6" w:color="C7D6E5"/>
              <w:bottom w:val="single" w:sz="6" w:color="C7D6E5"/>
              <w:left w:val="nil" w:sz="6" w:color="C7D6E5"/>
              <w:right w:val="nil" w:sz="6" w:color="C7D6E5"/>
            </w:tcBorders>
          </w:tcPr>
          <w:p>
            <w:pPr>
              <w:spacing w:after="40" w:before="40" w:line="252" w:lineRule="auto"/>
            </w:pPr>
            <w:r>
              <w:rPr>
                <w:sz w:val="18"/>
              </w:rPr>
              <w:t>CL</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5.425 L/h</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4.315 L/h</w:t>
            </w:r>
          </w:p>
        </w:tc>
        <w:tc>
          <w:tcPr>
            <w:tcW w:type="dxa" w:w="2441"/>
            <w:tcBorders>
              <w:top w:val="nil" w:sz="6" w:color="C7D6E5"/>
              <w:bottom w:val="single" w:sz="6" w:color="C7D6E5"/>
              <w:left w:val="nil" w:sz="6" w:color="C7D6E5"/>
              <w:right w:val="nil" w:sz="6" w:color="C7D6E5"/>
            </w:tcBorders>
          </w:tcPr>
          <w:p>
            <w:pPr>
              <w:spacing w:after="40" w:before="40" w:line="252" w:lineRule="auto"/>
            </w:pPr>
            <w:r>
              <w:rPr>
                <w:sz w:val="18"/>
              </w:rPr>
              <w:t>3.175 L/h</w:t>
            </w:r>
          </w:p>
        </w:tc>
      </w:tr>
      <w:tr>
        <w:tc>
          <w:tcPr>
            <w:tcW w:type="dxa" w:w="1816"/>
            <w:tcBorders>
              <w:top w:val="nil" w:sz="6" w:color="C7D6E5"/>
              <w:bottom w:val="single" w:sz="6" w:color="C7D6E5"/>
              <w:left w:val="nil" w:sz="6" w:color="C7D6E5"/>
              <w:right w:val="nil" w:sz="6" w:color="C7D6E5"/>
            </w:tcBorders>
          </w:tcPr>
          <w:p>
            <w:pPr>
              <w:spacing w:after="40" w:before="40" w:line="252" w:lineRule="auto"/>
            </w:pPr>
            <w:r>
              <w:rPr>
                <w:b/>
                <w:sz w:val="18"/>
              </w:rPr>
              <w:t>AUC₂₄</w:t>
            </w:r>
          </w:p>
        </w:tc>
        <w:tc>
          <w:tcPr>
            <w:tcW w:type="dxa" w:w="2384"/>
            <w:tcBorders>
              <w:top w:val="nil" w:sz="6" w:color="C7D6E5"/>
              <w:bottom w:val="single" w:sz="6" w:color="C7D6E5"/>
              <w:left w:val="nil" w:sz="6" w:color="C7D6E5"/>
              <w:right w:val="nil" w:sz="6" w:color="C7D6E5"/>
            </w:tcBorders>
          </w:tcPr>
          <w:p>
            <w:pPr>
              <w:spacing w:after="40" w:before="40" w:line="252" w:lineRule="auto"/>
            </w:pPr>
            <w:r>
              <w:rPr>
                <w:b/>
                <w:sz w:val="18"/>
              </w:rPr>
              <w:t>368.7 mg·h/L</w:t>
            </w:r>
          </w:p>
        </w:tc>
        <w:tc>
          <w:tcPr>
            <w:tcW w:type="dxa" w:w="2384"/>
            <w:tcBorders>
              <w:top w:val="nil" w:sz="6" w:color="C7D6E5"/>
              <w:bottom w:val="single" w:sz="6" w:color="C7D6E5"/>
              <w:left w:val="nil" w:sz="6" w:color="C7D6E5"/>
              <w:right w:val="nil" w:sz="6" w:color="C7D6E5"/>
            </w:tcBorders>
          </w:tcPr>
          <w:p>
            <w:pPr>
              <w:spacing w:after="40" w:before="40" w:line="252" w:lineRule="auto"/>
            </w:pPr>
            <w:r>
              <w:rPr>
                <w:b/>
                <w:sz w:val="18"/>
              </w:rPr>
              <w:t>463.5 mg·h/L</w:t>
            </w:r>
          </w:p>
        </w:tc>
        <w:tc>
          <w:tcPr>
            <w:tcW w:type="dxa" w:w="2441"/>
            <w:tcBorders>
              <w:top w:val="nil" w:sz="6" w:color="C7D6E5"/>
              <w:bottom w:val="single" w:sz="6" w:color="C7D6E5"/>
              <w:left w:val="nil" w:sz="6" w:color="C7D6E5"/>
              <w:right w:val="nil" w:sz="6" w:color="C7D6E5"/>
            </w:tcBorders>
          </w:tcPr>
          <w:p>
            <w:pPr>
              <w:spacing w:after="40" w:before="40" w:line="252" w:lineRule="auto"/>
            </w:pPr>
            <w:r>
              <w:rPr>
                <w:b/>
                <w:sz w:val="18"/>
              </w:rPr>
              <w:t>629.9 mg·h/L</w:t>
            </w:r>
          </w:p>
        </w:tc>
      </w:tr>
      <w:tr>
        <w:tc>
          <w:tcPr>
            <w:tcW w:type="dxa" w:w="1816"/>
            <w:tcBorders>
              <w:top w:val="nil" w:sz="6" w:color="C7D6E5"/>
              <w:bottom w:val="single" w:sz="6" w:color="C7D6E5"/>
              <w:left w:val="nil" w:sz="6" w:color="C7D6E5"/>
              <w:right w:val="nil" w:sz="6" w:color="C7D6E5"/>
            </w:tcBorders>
          </w:tcPr>
          <w:p>
            <w:pPr>
              <w:spacing w:after="40" w:before="40" w:line="252" w:lineRule="auto"/>
            </w:pPr>
            <w:r>
              <w:rPr>
                <w:b/>
                <w:sz w:val="18"/>
              </w:rPr>
              <w:t>Verdict</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Below target</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In target</w:t>
            </w:r>
          </w:p>
        </w:tc>
        <w:tc>
          <w:tcPr>
            <w:tcW w:type="dxa" w:w="2441"/>
            <w:tcBorders>
              <w:top w:val="nil" w:sz="6" w:color="C7D6E5"/>
              <w:bottom w:val="single" w:sz="6" w:color="C7D6E5"/>
              <w:left w:val="nil" w:sz="6" w:color="C7D6E5"/>
              <w:right w:val="nil" w:sz="6" w:color="C7D6E5"/>
            </w:tcBorders>
          </w:tcPr>
          <w:p>
            <w:pPr>
              <w:spacing w:after="40" w:before="40" w:line="252" w:lineRule="auto"/>
            </w:pPr>
            <w:r>
              <w:rPr>
                <w:sz w:val="18"/>
              </w:rPr>
              <w:t>Above target</w:t>
            </w:r>
          </w:p>
        </w:tc>
      </w:tr>
      <w:tr>
        <w:tc>
          <w:tcPr>
            <w:tcW w:type="dxa" w:w="1816"/>
            <w:tcBorders>
              <w:top w:val="nil" w:sz="6" w:color="C7D6E5"/>
              <w:bottom w:val="single" w:sz="6" w:color="C7D6E5"/>
              <w:left w:val="nil" w:sz="6" w:color="C7D6E5"/>
              <w:right w:val="nil" w:sz="6" w:color="C7D6E5"/>
            </w:tcBorders>
          </w:tcPr>
          <w:p>
            <w:pPr>
              <w:spacing w:after="40" w:before="40" w:line="252" w:lineRule="auto"/>
            </w:pPr>
            <w:r>
              <w:rPr>
                <w:sz w:val="18"/>
              </w:rPr>
              <w:t>Recommended dose</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1356 mg every 12 h</w:t>
            </w:r>
          </w:p>
        </w:tc>
        <w:tc>
          <w:tcPr>
            <w:tcW w:type="dxa" w:w="2384"/>
            <w:tcBorders>
              <w:top w:val="nil" w:sz="6" w:color="C7D6E5"/>
              <w:bottom w:val="single" w:sz="6" w:color="C7D6E5"/>
              <w:left w:val="nil" w:sz="6" w:color="C7D6E5"/>
              <w:right w:val="nil" w:sz="6" w:color="C7D6E5"/>
            </w:tcBorders>
          </w:tcPr>
          <w:p>
            <w:pPr>
              <w:spacing w:after="40" w:before="40" w:line="252" w:lineRule="auto"/>
            </w:pPr>
            <w:r>
              <w:rPr>
                <w:sz w:val="18"/>
              </w:rPr>
              <w:t>1079 mg every 12 h</w:t>
            </w:r>
          </w:p>
        </w:tc>
        <w:tc>
          <w:tcPr>
            <w:tcW w:type="dxa" w:w="2441"/>
            <w:tcBorders>
              <w:top w:val="nil" w:sz="6" w:color="C7D6E5"/>
              <w:bottom w:val="single" w:sz="6" w:color="C7D6E5"/>
              <w:left w:val="nil" w:sz="6" w:color="C7D6E5"/>
              <w:right w:val="nil" w:sz="6" w:color="C7D6E5"/>
            </w:tcBorders>
          </w:tcPr>
          <w:p>
            <w:pPr>
              <w:spacing w:after="40" w:before="40" w:line="252" w:lineRule="auto"/>
            </w:pPr>
            <w:r>
              <w:rPr>
                <w:sz w:val="18"/>
              </w:rPr>
              <w:t>794 mg every 12 h</w:t>
            </w:r>
          </w:p>
        </w:tc>
      </w:tr>
    </w:tbl>
    <w:p>
      <w:pPr>
        <w:spacing w:before="80" w:after="280"/>
      </w:pPr>
      <w:r>
        <w:rPr>
          <w:i/>
          <w:sz w:val="18"/>
        </w:rPr>
        <w:t xml:space="preserve">Note. </w:t>
      </w:r>
      <w:r>
        <w:rPr>
          <w:color w:val="5A6B7F"/>
          <w:sz w:val="18"/>
        </w:rPr>
        <w:t>Values were computed by reproducing `VancoEngine`'s arithmetic exactly, including the 88.4 µmol/L-to-mg/dL conversion and the 0.06 clearance factor. The recommended dose in every column is the dose that would centre AUC₂₄ on 500 mg·h/L at the current interval.</w:t>
      </w:r>
    </w:p>
    <w:p>
      <w:pPr>
        <w:spacing w:after="160"/>
      </w:pPr>
      <w:r>
        <w:t>The Pre + Post column illustrates why two samples are preferable. The derived volume of distribution, 0.54 L/kg, is well below the 0.7 L/kg population prior, so the single-point pathways would have overestimated clearance and therefore underestimated exposure for this patient.</w:t>
      </w:r>
    </w:p>
    <w:p>
      <w:pPr>
        <w:pStyle w:val="Heading2"/>
      </w:pPr>
      <w:r>
        <w:t>16.7 Explainability</w:t>
      </w:r>
    </w:p>
    <w:p>
      <w:pPr>
        <w:spacing w:after="160"/>
      </w:pPr>
      <w:r>
        <w:rPr>
          <w:rFonts w:ascii="Consolas" w:hAnsi="Consolas"/>
          <w:sz w:val="19"/>
        </w:rPr>
        <w:t>ExplanationScreen</w:t>
      </w:r>
      <w:r>
        <w:t xml:space="preserve"> renders four numbered phases in the order the case study prescribes: input values, elimination-rate derivation, pharmacokinetic parameters, and final result. The second phase branches on the workflow and prints the actual equation with the patient's own values substituted — for the Pre + Post pathway it prints the ke, half-life and volume-of-distribution derivations step by step, and for the Pre pathway it prints all four Cockcroft–Gault steps with intermediate values. The screen is reached from the Results screen through a card that advertises “4 phases · 8 steps with formulas”.</w:t>
      </w:r>
    </w:p>
    <w:p>
      <w:pPr>
        <w:pStyle w:val="Heading1"/>
      </w:pPr>
      <w:r>
        <w:t>17. User Interface</w:t>
      </w:r>
    </w:p>
    <w:p>
      <w:pPr>
        <w:pStyle w:val="Heading2"/>
      </w:pPr>
      <w:r>
        <w:t>17.1 Design System</w:t>
      </w:r>
    </w:p>
    <w:p>
      <w:pPr>
        <w:spacing w:after="160"/>
      </w:pPr>
      <w:r>
        <w:t xml:space="preserve">The interface is built entirely from Material 3 components themed by two hand-written colour schemes. </w:t>
      </w:r>
      <w:r>
        <w:rPr>
          <w:rFonts w:ascii="Consolas" w:hAnsi="Consolas"/>
          <w:sz w:val="19"/>
        </w:rPr>
        <w:t>Color.kt</w:t>
      </w:r>
      <w:r>
        <w:t xml:space="preserve"> declares light and dark tokens as named constants prefixed </w:t>
      </w:r>
      <w:r>
        <w:rPr>
          <w:rFonts w:ascii="Consolas" w:hAnsi="Consolas"/>
          <w:sz w:val="19"/>
        </w:rPr>
        <w:t>L_</w:t>
      </w:r>
      <w:r>
        <w:t xml:space="preserve"> and </w:t>
      </w:r>
      <w:r>
        <w:rPr>
          <w:rFonts w:ascii="Consolas" w:hAnsi="Consolas"/>
          <w:sz w:val="19"/>
        </w:rPr>
        <w:t>D_</w:t>
      </w:r>
      <w:r>
        <w:t xml:space="preserve">; </w:t>
      </w:r>
      <w:r>
        <w:rPr>
          <w:rFonts w:ascii="Consolas" w:hAnsi="Consolas"/>
          <w:sz w:val="19"/>
        </w:rPr>
        <w:t>Theme.kt</w:t>
      </w:r>
      <w:r>
        <w:t xml:space="preserve"> assembles them into a </w:t>
      </w:r>
      <w:r>
        <w:rPr>
          <w:rFonts w:ascii="Consolas" w:hAnsi="Consolas"/>
          <w:sz w:val="19"/>
        </w:rPr>
        <w:t>lightColorScheme</w:t>
      </w:r>
      <w:r>
        <w:t xml:space="preserve"> and a </w:t>
      </w:r>
      <w:r>
        <w:rPr>
          <w:rFonts w:ascii="Consolas" w:hAnsi="Consolas"/>
          <w:sz w:val="19"/>
        </w:rPr>
        <w:t>darkColorScheme</w:t>
      </w:r>
      <w:r>
        <w:t>. No hexadecimal literal appears inside a screen Composable, with the single exception of the first-launch disclaimer, which deliberately paints its own dark gradient before the theme is relevant. Semantic colour is used consistently: red for a blocking error, amber for an advisory warning, and the primary blue for in-target and affirmative states.</w:t>
      </w:r>
    </w:p>
    <w:p>
      <w:pPr>
        <w:spacing w:after="160"/>
      </w:pPr>
      <w:r>
        <w:t xml:space="preserve">Typography is centralised in </w:t>
      </w:r>
      <w:r>
        <w:rPr>
          <w:rFonts w:ascii="Consolas" w:hAnsi="Consolas"/>
          <w:sz w:val="19"/>
        </w:rPr>
        <w:t>Type.kt</w:t>
      </w:r>
      <w:r>
        <w:t xml:space="preserve">, which also defines four numeric styles — </w:t>
      </w:r>
      <w:r>
        <w:rPr>
          <w:rFonts w:ascii="Consolas" w:hAnsi="Consolas"/>
          <w:sz w:val="19"/>
        </w:rPr>
        <w:t>TdmNumericLarge</w:t>
      </w:r>
      <w:r>
        <w:t xml:space="preserve">, </w:t>
      </w:r>
      <w:r>
        <w:rPr>
          <w:rFonts w:ascii="Consolas" w:hAnsi="Consolas"/>
          <w:sz w:val="19"/>
        </w:rPr>
        <w:t>TdmNumericMedium</w:t>
      </w:r>
      <w:r>
        <w:t xml:space="preserve">, </w:t>
      </w:r>
      <w:r>
        <w:rPr>
          <w:rFonts w:ascii="Consolas" w:hAnsi="Consolas"/>
          <w:sz w:val="19"/>
        </w:rPr>
        <w:t>TdmNumericSmall</w:t>
      </w:r>
      <w:r>
        <w:t xml:space="preserve"> and </w:t>
      </w:r>
      <w:r>
        <w:rPr>
          <w:rFonts w:ascii="Consolas" w:hAnsi="Consolas"/>
          <w:sz w:val="19"/>
        </w:rPr>
        <w:t>TdmNumericMono</w:t>
      </w:r>
      <w:r>
        <w:t>. Using a monospaced style for pharmacokinetic values means digits align in the parameter grid and in the explanation view, which matters when a reader is comparing figures.</w:t>
      </w:r>
    </w:p>
    <w:p>
      <w:pPr>
        <w:pStyle w:val="Heading2"/>
      </w:pPr>
      <w:r>
        <w:t>17.2 The Landing Page</w:t>
      </w:r>
    </w:p>
    <w:p>
      <w:pPr>
        <w:spacing w:after="160"/>
      </w:pPr>
      <w:r>
        <w:t>The public landing page is a React single-page application that presents the product to a visitor who has not yet installed it. It is organised as a hero, a statistics strip, a feature grid, a three-step walkthrough, a platform section, a results section, a testimonial block, an about section, the team, and a download call to action. Figures 13 to 18 are captures of the running site.</w:t>
      </w:r>
    </w:p>
    <w:p>
      <w:pPr>
        <w:spacing w:before="200" w:after="0"/>
        <w:keepNext w:val="true"/>
      </w:pPr>
      <w:r>
        <w:rPr>
          <w:b/>
          <w:sz w:val="21"/>
        </w:rPr>
        <w:t>Figure 13</w:t>
      </w:r>
    </w:p>
    <w:p>
      <w:pPr>
        <w:spacing w:after="120"/>
        <w:keepNext w:val="true"/>
      </w:pPr>
      <w:r>
        <w:rPr>
          <w:i/>
          <w:sz w:val="21"/>
        </w:rPr>
        <w:t>Landing page — hero section</w:t>
      </w:r>
    </w:p>
    <w:p>
      <w:pPr>
        <w:spacing w:after="80"/>
        <w:jc w:val="center"/>
      </w:pPr>
      <w:r>
        <w:drawing>
          <wp:inline xmlns:a="http://schemas.openxmlformats.org/drawingml/2006/main" xmlns:pic="http://schemas.openxmlformats.org/drawingml/2006/picture">
            <wp:extent cx="5669280" cy="3740150"/>
            <wp:docPr id="13" name="Picture 13"/>
            <wp:cNvGraphicFramePr>
              <a:graphicFrameLocks noChangeAspect="1"/>
            </wp:cNvGraphicFramePr>
            <a:graphic>
              <a:graphicData uri="http://schemas.openxmlformats.org/drawingml/2006/picture">
                <pic:pic>
                  <pic:nvPicPr>
                    <pic:cNvPr id="0" name="lp-01-hero.png"/>
                    <pic:cNvPicPr/>
                  </pic:nvPicPr>
                  <pic:blipFill>
                    <a:blip r:embed="rId24"/>
                    <a:stretch>
                      <a:fillRect/>
                    </a:stretch>
                  </pic:blipFill>
                  <pic:spPr>
                    <a:xfrm>
                      <a:off x="0" y="0"/>
                      <a:ext cx="5669280" cy="3740150"/>
                    </a:xfrm>
                    <a:prstGeom prst="rect"/>
                  </pic:spPr>
                </pic:pic>
              </a:graphicData>
            </a:graphic>
          </wp:inline>
        </w:drawing>
      </w:r>
    </w:p>
    <w:p>
      <w:pPr>
        <w:spacing w:after="280"/>
      </w:pPr>
      <w:r>
        <w:rPr>
          <w:i/>
          <w:sz w:val="18"/>
        </w:rPr>
        <w:t xml:space="preserve">Note. </w:t>
      </w:r>
      <w:r>
        <w:rPr>
          <w:color w:val="5A6B7F"/>
          <w:sz w:val="18"/>
        </w:rPr>
        <w:t>The hero states the product proposition, lists the three headline capabilities and offers the APK and source-code links. The phone on the right is an interactive device mockup whose screens can be cycled by the visitor.</w:t>
      </w:r>
    </w:p>
    <w:p>
      <w:pPr>
        <w:spacing w:before="200" w:after="0"/>
        <w:keepNext w:val="true"/>
      </w:pPr>
      <w:r>
        <w:rPr>
          <w:b/>
          <w:sz w:val="21"/>
        </w:rPr>
        <w:t>Figure 14</w:t>
      </w:r>
    </w:p>
    <w:p>
      <w:pPr>
        <w:spacing w:after="120"/>
        <w:keepNext w:val="true"/>
      </w:pPr>
      <w:r>
        <w:rPr>
          <w:i/>
          <w:sz w:val="21"/>
        </w:rPr>
        <w:t>Landing page — feature grid</w:t>
      </w:r>
    </w:p>
    <w:p>
      <w:pPr>
        <w:spacing w:after="80"/>
        <w:jc w:val="center"/>
      </w:pPr>
      <w:r>
        <w:drawing>
          <wp:inline xmlns:a="http://schemas.openxmlformats.org/drawingml/2006/main" xmlns:pic="http://schemas.openxmlformats.org/drawingml/2006/picture">
            <wp:extent cx="5669280" cy="3740150"/>
            <wp:docPr id="14" name="Picture 14"/>
            <wp:cNvGraphicFramePr>
              <a:graphicFrameLocks noChangeAspect="1"/>
            </wp:cNvGraphicFramePr>
            <a:graphic>
              <a:graphicData uri="http://schemas.openxmlformats.org/drawingml/2006/picture">
                <pic:pic>
                  <pic:nvPicPr>
                    <pic:cNvPr id="0" name="lp-02-features.png"/>
                    <pic:cNvPicPr/>
                  </pic:nvPicPr>
                  <pic:blipFill>
                    <a:blip r:embed="rId25"/>
                    <a:stretch>
                      <a:fillRect/>
                    </a:stretch>
                  </pic:blipFill>
                  <pic:spPr>
                    <a:xfrm>
                      <a:off x="0" y="0"/>
                      <a:ext cx="5669280" cy="3740150"/>
                    </a:xfrm>
                    <a:prstGeom prst="rect"/>
                  </pic:spPr>
                </pic:pic>
              </a:graphicData>
            </a:graphic>
          </wp:inline>
        </w:drawing>
      </w:r>
    </w:p>
    <w:p>
      <w:pPr>
        <w:spacing w:after="280"/>
      </w:pPr>
      <w:r>
        <w:rPr>
          <w:i/>
          <w:sz w:val="18"/>
        </w:rPr>
        <w:t xml:space="preserve">Note. </w:t>
      </w:r>
      <w:r>
        <w:rPr>
          <w:color w:val="5A6B7F"/>
          <w:sz w:val="18"/>
        </w:rPr>
        <w:t>Four features: three sampling workflows, the full pharmacokinetic parameter set, the step-by-step explanation, and on-device privacy.</w:t>
      </w:r>
    </w:p>
    <w:p>
      <w:pPr>
        <w:spacing w:before="200" w:after="0"/>
        <w:keepNext w:val="true"/>
      </w:pPr>
      <w:r>
        <w:rPr>
          <w:b/>
          <w:sz w:val="21"/>
        </w:rPr>
        <w:t>Figure 15</w:t>
      </w:r>
    </w:p>
    <w:p>
      <w:pPr>
        <w:spacing w:after="120"/>
        <w:keepNext w:val="true"/>
      </w:pPr>
      <w:r>
        <w:rPr>
          <w:i/>
          <w:sz w:val="21"/>
        </w:rPr>
        <w:t>Landing page — three-step walkthrough</w:t>
      </w:r>
    </w:p>
    <w:p>
      <w:pPr>
        <w:spacing w:after="80"/>
        <w:jc w:val="center"/>
      </w:pPr>
      <w:r>
        <w:drawing>
          <wp:inline xmlns:a="http://schemas.openxmlformats.org/drawingml/2006/main" xmlns:pic="http://schemas.openxmlformats.org/drawingml/2006/picture">
            <wp:extent cx="5669280" cy="3740150"/>
            <wp:docPr id="15" name="Picture 15"/>
            <wp:cNvGraphicFramePr>
              <a:graphicFrameLocks noChangeAspect="1"/>
            </wp:cNvGraphicFramePr>
            <a:graphic>
              <a:graphicData uri="http://schemas.openxmlformats.org/drawingml/2006/picture">
                <pic:pic>
                  <pic:nvPicPr>
                    <pic:cNvPr id="0" name="lp-03-how-it-works.png"/>
                    <pic:cNvPicPr/>
                  </pic:nvPicPr>
                  <pic:blipFill>
                    <a:blip r:embed="rId26"/>
                    <a:stretch>
                      <a:fillRect/>
                    </a:stretch>
                  </pic:blipFill>
                  <pic:spPr>
                    <a:xfrm>
                      <a:off x="0" y="0"/>
                      <a:ext cx="5669280" cy="3740150"/>
                    </a:xfrm>
                    <a:prstGeom prst="rect"/>
                  </pic:spPr>
                </pic:pic>
              </a:graphicData>
            </a:graphic>
          </wp:inline>
        </w:drawing>
      </w:r>
    </w:p>
    <w:p>
      <w:pPr>
        <w:spacing w:after="280"/>
      </w:pPr>
      <w:r>
        <w:rPr>
          <w:i/>
          <w:sz w:val="18"/>
        </w:rPr>
        <w:t xml:space="preserve">Note. </w:t>
      </w:r>
      <w:r>
        <w:rPr>
          <w:color w:val="5A6B7F"/>
          <w:sz w:val="18"/>
        </w:rPr>
        <w:t>Each step pairs prose with a device mockup of the corresponding application screen.</w:t>
      </w:r>
    </w:p>
    <w:p>
      <w:pPr>
        <w:spacing w:before="200" w:after="0"/>
        <w:keepNext w:val="true"/>
      </w:pPr>
      <w:r>
        <w:rPr>
          <w:b/>
          <w:sz w:val="21"/>
        </w:rPr>
        <w:t>Figure 16</w:t>
      </w:r>
    </w:p>
    <w:p>
      <w:pPr>
        <w:spacing w:after="120"/>
        <w:keepNext w:val="true"/>
      </w:pPr>
      <w:r>
        <w:rPr>
          <w:i/>
          <w:sz w:val="21"/>
        </w:rPr>
        <w:t>Landing page — platform section</w:t>
      </w:r>
    </w:p>
    <w:p>
      <w:pPr>
        <w:spacing w:after="80"/>
        <w:jc w:val="center"/>
      </w:pPr>
      <w:r>
        <w:drawing>
          <wp:inline xmlns:a="http://schemas.openxmlformats.org/drawingml/2006/main" xmlns:pic="http://schemas.openxmlformats.org/drawingml/2006/picture">
            <wp:extent cx="5669280" cy="3740150"/>
            <wp:docPr id="16" name="Picture 16"/>
            <wp:cNvGraphicFramePr>
              <a:graphicFrameLocks noChangeAspect="1"/>
            </wp:cNvGraphicFramePr>
            <a:graphic>
              <a:graphicData uri="http://schemas.openxmlformats.org/drawingml/2006/picture">
                <pic:pic>
                  <pic:nvPicPr>
                    <pic:cNvPr id="0" name="lp-04-platform.png"/>
                    <pic:cNvPicPr/>
                  </pic:nvPicPr>
                  <pic:blipFill>
                    <a:blip r:embed="rId27"/>
                    <a:stretch>
                      <a:fillRect/>
                    </a:stretch>
                  </pic:blipFill>
                  <pic:spPr>
                    <a:xfrm>
                      <a:off x="0" y="0"/>
                      <a:ext cx="5669280" cy="3740150"/>
                    </a:xfrm>
                    <a:prstGeom prst="rect"/>
                  </pic:spPr>
                </pic:pic>
              </a:graphicData>
            </a:graphic>
          </wp:inline>
        </w:drawing>
      </w:r>
    </w:p>
    <w:p>
      <w:pPr>
        <w:spacing w:before="200" w:after="0"/>
        <w:keepNext w:val="true"/>
      </w:pPr>
      <w:r>
        <w:rPr>
          <w:b/>
          <w:sz w:val="21"/>
        </w:rPr>
        <w:t>Figure 17</w:t>
      </w:r>
    </w:p>
    <w:p>
      <w:pPr>
        <w:spacing w:after="120"/>
        <w:keepNext w:val="true"/>
      </w:pPr>
      <w:r>
        <w:rPr>
          <w:i/>
          <w:sz w:val="21"/>
        </w:rPr>
        <w:t>Landing page — results section</w:t>
      </w:r>
    </w:p>
    <w:p>
      <w:pPr>
        <w:spacing w:after="80"/>
        <w:jc w:val="center"/>
      </w:pPr>
      <w:r>
        <w:drawing>
          <wp:inline xmlns:a="http://schemas.openxmlformats.org/drawingml/2006/main" xmlns:pic="http://schemas.openxmlformats.org/drawingml/2006/picture">
            <wp:extent cx="5669280" cy="3740150"/>
            <wp:docPr id="17" name="Picture 17"/>
            <wp:cNvGraphicFramePr>
              <a:graphicFrameLocks noChangeAspect="1"/>
            </wp:cNvGraphicFramePr>
            <a:graphic>
              <a:graphicData uri="http://schemas.openxmlformats.org/drawingml/2006/picture">
                <pic:pic>
                  <pic:nvPicPr>
                    <pic:cNvPr id="0" name="lp-05-results.png"/>
                    <pic:cNvPicPr/>
                  </pic:nvPicPr>
                  <pic:blipFill>
                    <a:blip r:embed="rId28"/>
                    <a:stretch>
                      <a:fillRect/>
                    </a:stretch>
                  </pic:blipFill>
                  <pic:spPr>
                    <a:xfrm>
                      <a:off x="0" y="0"/>
                      <a:ext cx="5669280" cy="3740150"/>
                    </a:xfrm>
                    <a:prstGeom prst="rect"/>
                  </pic:spPr>
                </pic:pic>
              </a:graphicData>
            </a:graphic>
          </wp:inline>
        </w:drawing>
      </w:r>
    </w:p>
    <w:p>
      <w:pPr>
        <w:spacing w:after="280"/>
      </w:pPr>
      <w:r>
        <w:rPr>
          <w:i/>
          <w:sz w:val="18"/>
        </w:rPr>
        <w:t xml:space="preserve">Note. </w:t>
      </w:r>
      <w:r>
        <w:rPr>
          <w:color w:val="5A6B7F"/>
          <w:sz w:val="18"/>
        </w:rPr>
        <w:t>Explains the AUC₂₄ ring and the in-target verdict that the Results screen displays.</w:t>
      </w:r>
    </w:p>
    <w:p>
      <w:pPr>
        <w:spacing w:before="200" w:after="0"/>
        <w:keepNext w:val="true"/>
      </w:pPr>
      <w:r>
        <w:rPr>
          <w:b/>
          <w:sz w:val="21"/>
        </w:rPr>
        <w:t>Figure 18</w:t>
      </w:r>
    </w:p>
    <w:p>
      <w:pPr>
        <w:spacing w:after="120"/>
        <w:keepNext w:val="true"/>
      </w:pPr>
      <w:r>
        <w:rPr>
          <w:i/>
          <w:sz w:val="21"/>
        </w:rPr>
        <w:t>Landing page — project team</w:t>
      </w:r>
    </w:p>
    <w:p>
      <w:pPr>
        <w:spacing w:after="80"/>
        <w:jc w:val="center"/>
      </w:pPr>
      <w:r>
        <w:drawing>
          <wp:inline xmlns:a="http://schemas.openxmlformats.org/drawingml/2006/main" xmlns:pic="http://schemas.openxmlformats.org/drawingml/2006/picture">
            <wp:extent cx="5669280" cy="3740150"/>
            <wp:docPr id="18" name="Picture 18"/>
            <wp:cNvGraphicFramePr>
              <a:graphicFrameLocks noChangeAspect="1"/>
            </wp:cNvGraphicFramePr>
            <a:graphic>
              <a:graphicData uri="http://schemas.openxmlformats.org/drawingml/2006/picture">
                <pic:pic>
                  <pic:nvPicPr>
                    <pic:cNvPr id="0" name="lp-07-team.png"/>
                    <pic:cNvPicPr/>
                  </pic:nvPicPr>
                  <pic:blipFill>
                    <a:blip r:embed="rId29"/>
                    <a:stretch>
                      <a:fillRect/>
                    </a:stretch>
                  </pic:blipFill>
                  <pic:spPr>
                    <a:xfrm>
                      <a:off x="0" y="0"/>
                      <a:ext cx="5669280" cy="3740150"/>
                    </a:xfrm>
                    <a:prstGeom prst="rect"/>
                  </pic:spPr>
                </pic:pic>
              </a:graphicData>
            </a:graphic>
          </wp:inline>
        </w:drawing>
      </w:r>
    </w:p>
    <w:p>
      <w:pPr>
        <w:spacing w:after="280"/>
      </w:pPr>
      <w:r>
        <w:rPr>
          <w:i/>
          <w:sz w:val="18"/>
        </w:rPr>
        <w:t xml:space="preserve">Note. </w:t>
      </w:r>
      <w:r>
        <w:rPr>
          <w:color w:val="5A6B7F"/>
          <w:sz w:val="18"/>
        </w:rPr>
        <w:t>The three student developers and the supervising lecturer.</w:t>
      </w:r>
    </w:p>
    <w:p>
      <w:pPr>
        <w:pStyle w:val="Heading2"/>
      </w:pPr>
      <w:r>
        <w:t>17.3 Application Screens</w:t>
      </w:r>
    </w:p>
    <w:p>
      <w:pPr>
        <w:spacing w:after="160"/>
      </w:pPr>
      <w:r>
        <w:t>Figures 19 and 20 show six representative application screens as they are rendered by the project's own device mockups on the landing page. Each mockup reproduces the layout, typography, colour tokens and copy of the corresponding Compose screen.</w:t>
      </w:r>
    </w:p>
    <w:p>
      <w:pPr>
        <w:spacing w:before="200" w:after="0"/>
        <w:keepNext w:val="true"/>
      </w:pPr>
      <w:r>
        <w:rPr>
          <w:b/>
          <w:sz w:val="21"/>
        </w:rPr>
        <w:t>Figure 19</w:t>
      </w:r>
    </w:p>
    <w:p>
      <w:pPr>
        <w:spacing w:after="120"/>
        <w:keepNext w:val="true"/>
      </w:pPr>
      <w:r>
        <w:rPr>
          <w:i/>
          <w:sz w:val="21"/>
        </w:rPr>
        <w:t>Application screens — authentication, home and patient details</w:t>
      </w:r>
    </w:p>
    <w:tbl>
      <w:tblPr>
        <w:tblW w:type="auto" w:w="0"/>
        <w:jc w:val="center"/>
        <w:tblLayout w:type="autofit"/>
        <w:tblLook w:firstColumn="1" w:firstRow="1" w:lastColumn="0" w:lastRow="0" w:noHBand="0" w:noVBand="1" w:val="04A0"/>
      </w:tblPr>
      <w:tblGrid>
        <w:gridCol w:w="3009"/>
        <w:gridCol w:w="3009"/>
        <w:gridCol w:w="3009"/>
      </w:tblGrid>
      <w:tr>
        <w:tc>
          <w:tcPr>
            <w:tcW w:type="dxa" w:w="3009"/>
            <w:tcBorders>
              <w:top w:val="nil" w:sz="6" w:color="C7D6E5"/>
              <w:bottom w:val="nil" w:sz="6" w:color="C7D6E5"/>
              <w:left w:val="nil" w:sz="6" w:color="C7D6E5"/>
              <w:right w:val="nil" w:sz="6" w:color="C7D6E5"/>
            </w:tcBorders>
          </w:tcPr>
          <w:p>
            <w:pPr>
              <w:spacing w:after="40"/>
              <w:jc w:val="center"/>
            </w:pPr>
            <w:r>
              <w:drawing>
                <wp:inline xmlns:a="http://schemas.openxmlformats.org/drawingml/2006/main" xmlns:pic="http://schemas.openxmlformats.org/drawingml/2006/picture">
                  <wp:extent cx="1798320" cy="3563542"/>
                  <wp:docPr id="19" name="Picture 19"/>
                  <wp:cNvGraphicFramePr>
                    <a:graphicFrameLocks noChangeAspect="1"/>
                  </wp:cNvGraphicFramePr>
                  <a:graphic>
                    <a:graphicData uri="http://schemas.openxmlformats.org/drawingml/2006/picture">
                      <pic:pic>
                        <pic:nvPicPr>
                          <pic:cNvPr id="0" name="app-01-sign-in.png"/>
                          <pic:cNvPicPr/>
                        </pic:nvPicPr>
                        <pic:blipFill>
                          <a:blip r:embed="rId30"/>
                          <a:stretch>
                            <a:fillRect/>
                          </a:stretch>
                        </pic:blipFill>
                        <pic:spPr>
                          <a:xfrm>
                            <a:off x="0" y="0"/>
                            <a:ext cx="1798320" cy="3563542"/>
                          </a:xfrm>
                          <a:prstGeom prst="rect"/>
                        </pic:spPr>
                      </pic:pic>
                    </a:graphicData>
                  </a:graphic>
                </wp:inline>
              </w:drawing>
            </w:r>
          </w:p>
        </w:tc>
        <w:tc>
          <w:tcPr>
            <w:tcW w:type="dxa" w:w="3009"/>
            <w:tcBorders>
              <w:top w:val="nil" w:sz="6" w:color="C7D6E5"/>
              <w:bottom w:val="nil" w:sz="6" w:color="C7D6E5"/>
              <w:left w:val="nil" w:sz="6" w:color="C7D6E5"/>
              <w:right w:val="nil" w:sz="6" w:color="C7D6E5"/>
            </w:tcBorders>
          </w:tcPr>
          <w:p>
            <w:pPr>
              <w:spacing w:after="40"/>
              <w:jc w:val="center"/>
            </w:pPr>
            <w:r>
              <w:drawing>
                <wp:inline xmlns:a="http://schemas.openxmlformats.org/drawingml/2006/main" xmlns:pic="http://schemas.openxmlformats.org/drawingml/2006/picture">
                  <wp:extent cx="1798320" cy="3563542"/>
                  <wp:docPr id="20" name="Picture 20"/>
                  <wp:cNvGraphicFramePr>
                    <a:graphicFrameLocks noChangeAspect="1"/>
                  </wp:cNvGraphicFramePr>
                  <a:graphic>
                    <a:graphicData uri="http://schemas.openxmlformats.org/drawingml/2006/picture">
                      <pic:pic>
                        <pic:nvPicPr>
                          <pic:cNvPr id="0" name="app-02-home.png"/>
                          <pic:cNvPicPr/>
                        </pic:nvPicPr>
                        <pic:blipFill>
                          <a:blip r:embed="rId31"/>
                          <a:stretch>
                            <a:fillRect/>
                          </a:stretch>
                        </pic:blipFill>
                        <pic:spPr>
                          <a:xfrm>
                            <a:off x="0" y="0"/>
                            <a:ext cx="1798320" cy="3563542"/>
                          </a:xfrm>
                          <a:prstGeom prst="rect"/>
                        </pic:spPr>
                      </pic:pic>
                    </a:graphicData>
                  </a:graphic>
                </wp:inline>
              </w:drawing>
            </w:r>
          </w:p>
        </w:tc>
        <w:tc>
          <w:tcPr>
            <w:tcW w:type="dxa" w:w="3009"/>
            <w:tcBorders>
              <w:top w:val="nil" w:sz="6" w:color="C7D6E5"/>
              <w:bottom w:val="nil" w:sz="6" w:color="C7D6E5"/>
              <w:left w:val="nil" w:sz="6" w:color="C7D6E5"/>
              <w:right w:val="nil" w:sz="6" w:color="C7D6E5"/>
            </w:tcBorders>
          </w:tcPr>
          <w:p>
            <w:pPr>
              <w:spacing w:after="40"/>
              <w:jc w:val="center"/>
            </w:pPr>
            <w:r>
              <w:drawing>
                <wp:inline xmlns:a="http://schemas.openxmlformats.org/drawingml/2006/main" xmlns:pic="http://schemas.openxmlformats.org/drawingml/2006/picture">
                  <wp:extent cx="1798320" cy="3563542"/>
                  <wp:docPr id="21" name="Picture 21"/>
                  <wp:cNvGraphicFramePr>
                    <a:graphicFrameLocks noChangeAspect="1"/>
                  </wp:cNvGraphicFramePr>
                  <a:graphic>
                    <a:graphicData uri="http://schemas.openxmlformats.org/drawingml/2006/picture">
                      <pic:pic>
                        <pic:nvPicPr>
                          <pic:cNvPr id="0" name="app-03-patient-inputs.png"/>
                          <pic:cNvPicPr/>
                        </pic:nvPicPr>
                        <pic:blipFill>
                          <a:blip r:embed="rId32"/>
                          <a:stretch>
                            <a:fillRect/>
                          </a:stretch>
                        </pic:blipFill>
                        <pic:spPr>
                          <a:xfrm>
                            <a:off x="0" y="0"/>
                            <a:ext cx="1798320" cy="3563542"/>
                          </a:xfrm>
                          <a:prstGeom prst="rect"/>
                        </pic:spPr>
                      </pic:pic>
                    </a:graphicData>
                  </a:graphic>
                </wp:inline>
              </w:drawing>
            </w:r>
          </w:p>
        </w:tc>
      </w:tr>
      <w:tr>
        <w:tc>
          <w:tcPr>
            <w:tcW w:type="dxa" w:w="3009"/>
            <w:tcBorders>
              <w:top w:val="nil" w:sz="6" w:color="C7D6E5"/>
              <w:bottom w:val="nil" w:sz="6" w:color="C7D6E5"/>
              <w:left w:val="nil" w:sz="6" w:color="C7D6E5"/>
              <w:right w:val="nil" w:sz="6" w:color="C7D6E5"/>
            </w:tcBorders>
          </w:tcPr>
          <w:p>
            <w:pPr>
              <w:spacing w:after="40"/>
              <w:jc w:val="center"/>
            </w:pPr>
            <w:r>
              <w:rPr>
                <w:color w:val="5A6B7F"/>
                <w:sz w:val="18"/>
              </w:rPr>
              <w:t>(a) Sign in</w:t>
            </w:r>
          </w:p>
        </w:tc>
        <w:tc>
          <w:tcPr>
            <w:tcW w:type="dxa" w:w="3009"/>
            <w:tcBorders>
              <w:top w:val="nil" w:sz="6" w:color="C7D6E5"/>
              <w:bottom w:val="nil" w:sz="6" w:color="C7D6E5"/>
              <w:left w:val="nil" w:sz="6" w:color="C7D6E5"/>
              <w:right w:val="nil" w:sz="6" w:color="C7D6E5"/>
            </w:tcBorders>
          </w:tcPr>
          <w:p>
            <w:pPr>
              <w:spacing w:after="40"/>
              <w:jc w:val="center"/>
            </w:pPr>
            <w:r>
              <w:rPr>
                <w:color w:val="5A6B7F"/>
                <w:sz w:val="18"/>
              </w:rPr>
              <w:t>(b) Home</w:t>
            </w:r>
          </w:p>
        </w:tc>
        <w:tc>
          <w:tcPr>
            <w:tcW w:type="dxa" w:w="3009"/>
            <w:tcBorders>
              <w:top w:val="nil" w:sz="6" w:color="C7D6E5"/>
              <w:bottom w:val="nil" w:sz="6" w:color="C7D6E5"/>
              <w:left w:val="nil" w:sz="6" w:color="C7D6E5"/>
              <w:right w:val="nil" w:sz="6" w:color="C7D6E5"/>
            </w:tcBorders>
          </w:tcPr>
          <w:p>
            <w:pPr>
              <w:spacing w:after="40"/>
              <w:jc w:val="center"/>
            </w:pPr>
            <w:r>
              <w:rPr>
                <w:color w:val="5A6B7F"/>
                <w:sz w:val="18"/>
              </w:rPr>
              <w:t>(c) Step 1/5 — patient details</w:t>
            </w:r>
          </w:p>
        </w:tc>
      </w:tr>
    </w:tbl>
    <w:p>
      <w:pPr>
        <w:spacing w:before="80" w:after="280"/>
      </w:pPr>
      <w:r>
        <w:rPr>
          <w:i/>
          <w:sz w:val="18"/>
        </w:rPr>
        <w:t xml:space="preserve">Note. </w:t>
      </w:r>
      <w:r>
        <w:rPr>
          <w:color w:val="5A6B7F"/>
          <w:sz w:val="18"/>
        </w:rPr>
        <w:t>(a) `LoginScreen`, with the Clerk attribution shown in the application. (b) `HomeScreen`, with the new-case hero card, two shortcut tiles and the recent-calculations list in its empty state. (c) `NewCaseScreen`, showing the live Cockcroft–Gault creatinine clearance chip beneath the demographic fields. Rendered from the project's landing page device mockups rather than captured from a device.</w:t>
      </w:r>
    </w:p>
    <w:p>
      <w:pPr>
        <w:spacing w:before="200" w:after="0"/>
        <w:keepNext w:val="true"/>
      </w:pPr>
      <w:r>
        <w:rPr>
          <w:b/>
          <w:sz w:val="21"/>
        </w:rPr>
        <w:t>Figure 20</w:t>
      </w:r>
    </w:p>
    <w:p>
      <w:pPr>
        <w:spacing w:after="120"/>
        <w:keepNext w:val="true"/>
      </w:pPr>
      <w:r>
        <w:rPr>
          <w:i/>
          <w:sz w:val="21"/>
        </w:rPr>
        <w:t>Application screens — calculating, results and explanation</w:t>
      </w:r>
    </w:p>
    <w:tbl>
      <w:tblPr>
        <w:tblW w:type="auto" w:w="0"/>
        <w:jc w:val="center"/>
        <w:tblLayout w:type="autofit"/>
        <w:tblLook w:firstColumn="1" w:firstRow="1" w:lastColumn="0" w:lastRow="0" w:noHBand="0" w:noVBand="1" w:val="04A0"/>
      </w:tblPr>
      <w:tblGrid>
        <w:gridCol w:w="3009"/>
        <w:gridCol w:w="3009"/>
        <w:gridCol w:w="3009"/>
      </w:tblGrid>
      <w:tr>
        <w:tc>
          <w:tcPr>
            <w:tcW w:type="dxa" w:w="3009"/>
            <w:tcBorders>
              <w:top w:val="nil" w:sz="6" w:color="C7D6E5"/>
              <w:bottom w:val="nil" w:sz="6" w:color="C7D6E5"/>
              <w:left w:val="nil" w:sz="6" w:color="C7D6E5"/>
              <w:right w:val="nil" w:sz="6" w:color="C7D6E5"/>
            </w:tcBorders>
          </w:tcPr>
          <w:p>
            <w:pPr>
              <w:spacing w:after="40"/>
              <w:jc w:val="center"/>
            </w:pPr>
            <w:r>
              <w:drawing>
                <wp:inline xmlns:a="http://schemas.openxmlformats.org/drawingml/2006/main" xmlns:pic="http://schemas.openxmlformats.org/drawingml/2006/picture">
                  <wp:extent cx="1798320" cy="3563542"/>
                  <wp:docPr id="22" name="Picture 22"/>
                  <wp:cNvGraphicFramePr>
                    <a:graphicFrameLocks noChangeAspect="1"/>
                  </wp:cNvGraphicFramePr>
                  <a:graphic>
                    <a:graphicData uri="http://schemas.openxmlformats.org/drawingml/2006/picture">
                      <pic:pic>
                        <pic:nvPicPr>
                          <pic:cNvPr id="0" name="app-04-calculating.png"/>
                          <pic:cNvPicPr/>
                        </pic:nvPicPr>
                        <pic:blipFill>
                          <a:blip r:embed="rId33"/>
                          <a:stretch>
                            <a:fillRect/>
                          </a:stretch>
                        </pic:blipFill>
                        <pic:spPr>
                          <a:xfrm>
                            <a:off x="0" y="0"/>
                            <a:ext cx="1798320" cy="3563542"/>
                          </a:xfrm>
                          <a:prstGeom prst="rect"/>
                        </pic:spPr>
                      </pic:pic>
                    </a:graphicData>
                  </a:graphic>
                </wp:inline>
              </w:drawing>
            </w:r>
          </w:p>
        </w:tc>
        <w:tc>
          <w:tcPr>
            <w:tcW w:type="dxa" w:w="3009"/>
            <w:tcBorders>
              <w:top w:val="nil" w:sz="6" w:color="C7D6E5"/>
              <w:bottom w:val="nil" w:sz="6" w:color="C7D6E5"/>
              <w:left w:val="nil" w:sz="6" w:color="C7D6E5"/>
              <w:right w:val="nil" w:sz="6" w:color="C7D6E5"/>
            </w:tcBorders>
          </w:tcPr>
          <w:p>
            <w:pPr>
              <w:spacing w:after="40"/>
              <w:jc w:val="center"/>
            </w:pPr>
            <w:r>
              <w:drawing>
                <wp:inline xmlns:a="http://schemas.openxmlformats.org/drawingml/2006/main" xmlns:pic="http://schemas.openxmlformats.org/drawingml/2006/picture">
                  <wp:extent cx="1798320" cy="3563542"/>
                  <wp:docPr id="23" name="Picture 23"/>
                  <wp:cNvGraphicFramePr>
                    <a:graphicFrameLocks noChangeAspect="1"/>
                  </wp:cNvGraphicFramePr>
                  <a:graphic>
                    <a:graphicData uri="http://schemas.openxmlformats.org/drawingml/2006/picture">
                      <pic:pic>
                        <pic:nvPicPr>
                          <pic:cNvPr id="0" name="app-05-results.png"/>
                          <pic:cNvPicPr/>
                        </pic:nvPicPr>
                        <pic:blipFill>
                          <a:blip r:embed="rId34"/>
                          <a:stretch>
                            <a:fillRect/>
                          </a:stretch>
                        </pic:blipFill>
                        <pic:spPr>
                          <a:xfrm>
                            <a:off x="0" y="0"/>
                            <a:ext cx="1798320" cy="3563542"/>
                          </a:xfrm>
                          <a:prstGeom prst="rect"/>
                        </pic:spPr>
                      </pic:pic>
                    </a:graphicData>
                  </a:graphic>
                </wp:inline>
              </w:drawing>
            </w:r>
          </w:p>
        </w:tc>
        <w:tc>
          <w:tcPr>
            <w:tcW w:type="dxa" w:w="3009"/>
            <w:tcBorders>
              <w:top w:val="nil" w:sz="6" w:color="C7D6E5"/>
              <w:bottom w:val="nil" w:sz="6" w:color="C7D6E5"/>
              <w:left w:val="nil" w:sz="6" w:color="C7D6E5"/>
              <w:right w:val="nil" w:sz="6" w:color="C7D6E5"/>
            </w:tcBorders>
          </w:tcPr>
          <w:p>
            <w:pPr>
              <w:spacing w:after="40"/>
              <w:jc w:val="center"/>
            </w:pPr>
            <w:r>
              <w:drawing>
                <wp:inline xmlns:a="http://schemas.openxmlformats.org/drawingml/2006/main" xmlns:pic="http://schemas.openxmlformats.org/drawingml/2006/picture">
                  <wp:extent cx="1798320" cy="3563542"/>
                  <wp:docPr id="24" name="Picture 24"/>
                  <wp:cNvGraphicFramePr>
                    <a:graphicFrameLocks noChangeAspect="1"/>
                  </wp:cNvGraphicFramePr>
                  <a:graphic>
                    <a:graphicData uri="http://schemas.openxmlformats.org/drawingml/2006/picture">
                      <pic:pic>
                        <pic:nvPicPr>
                          <pic:cNvPr id="0" name="app-06-explanation.png"/>
                          <pic:cNvPicPr/>
                        </pic:nvPicPr>
                        <pic:blipFill>
                          <a:blip r:embed="rId35"/>
                          <a:stretch>
                            <a:fillRect/>
                          </a:stretch>
                        </pic:blipFill>
                        <pic:spPr>
                          <a:xfrm>
                            <a:off x="0" y="0"/>
                            <a:ext cx="1798320" cy="3563542"/>
                          </a:xfrm>
                          <a:prstGeom prst="rect"/>
                        </pic:spPr>
                      </pic:pic>
                    </a:graphicData>
                  </a:graphic>
                </wp:inline>
              </w:drawing>
            </w:r>
          </w:p>
        </w:tc>
      </w:tr>
      <w:tr>
        <w:tc>
          <w:tcPr>
            <w:tcW w:type="dxa" w:w="3009"/>
            <w:tcBorders>
              <w:top w:val="nil" w:sz="6" w:color="C7D6E5"/>
              <w:bottom w:val="nil" w:sz="6" w:color="C7D6E5"/>
              <w:left w:val="nil" w:sz="6" w:color="C7D6E5"/>
              <w:right w:val="nil" w:sz="6" w:color="C7D6E5"/>
            </w:tcBorders>
          </w:tcPr>
          <w:p>
            <w:pPr>
              <w:spacing w:after="40"/>
              <w:jc w:val="center"/>
            </w:pPr>
            <w:r>
              <w:rPr>
                <w:color w:val="5A6B7F"/>
                <w:sz w:val="18"/>
              </w:rPr>
              <w:t>(d) Calculating</w:t>
            </w:r>
          </w:p>
        </w:tc>
        <w:tc>
          <w:tcPr>
            <w:tcW w:type="dxa" w:w="3009"/>
            <w:tcBorders>
              <w:top w:val="nil" w:sz="6" w:color="C7D6E5"/>
              <w:bottom w:val="nil" w:sz="6" w:color="C7D6E5"/>
              <w:left w:val="nil" w:sz="6" w:color="C7D6E5"/>
              <w:right w:val="nil" w:sz="6" w:color="C7D6E5"/>
            </w:tcBorders>
          </w:tcPr>
          <w:p>
            <w:pPr>
              <w:spacing w:after="40"/>
              <w:jc w:val="center"/>
            </w:pPr>
            <w:r>
              <w:rPr>
                <w:color w:val="5A6B7F"/>
                <w:sz w:val="18"/>
              </w:rPr>
              <w:t>(e) Results</w:t>
            </w:r>
          </w:p>
        </w:tc>
        <w:tc>
          <w:tcPr>
            <w:tcW w:type="dxa" w:w="3009"/>
            <w:tcBorders>
              <w:top w:val="nil" w:sz="6" w:color="C7D6E5"/>
              <w:bottom w:val="nil" w:sz="6" w:color="C7D6E5"/>
              <w:left w:val="nil" w:sz="6" w:color="C7D6E5"/>
              <w:right w:val="nil" w:sz="6" w:color="C7D6E5"/>
            </w:tcBorders>
          </w:tcPr>
          <w:p>
            <w:pPr>
              <w:spacing w:after="40"/>
              <w:jc w:val="center"/>
            </w:pPr>
            <w:r>
              <w:rPr>
                <w:color w:val="5A6B7F"/>
                <w:sz w:val="18"/>
              </w:rPr>
              <w:t>(f) Explanation</w:t>
            </w:r>
          </w:p>
        </w:tc>
      </w:tr>
    </w:tbl>
    <w:p>
      <w:pPr>
        <w:spacing w:before="80" w:after="280"/>
      </w:pPr>
      <w:r>
        <w:rPr>
          <w:i/>
          <w:sz w:val="18"/>
        </w:rPr>
        <w:t xml:space="preserve">Note. </w:t>
      </w:r>
      <w:r>
        <w:rPr>
          <w:color w:val="5A6B7F"/>
          <w:sz w:val="18"/>
        </w:rPr>
        <w:t>(d) `CalculatingScreen`, naming the fitting method and its four stages. (e) `ResultsScreen`, with the AUC₂₄ ring, the in-target verdict chip, the three-statistic row and the parameter grid. (f) `ExplanationScreen`, showing the four numbered phases from input values to final result. Rendered from the project's landing page device mockups rather than captured from a device.</w:t>
      </w:r>
    </w:p>
    <w:p>
      <w:pPr>
        <w:pStyle w:val="Heading2"/>
      </w:pPr>
      <w:r>
        <w:t>17.4 Interaction Details</w:t>
      </w:r>
    </w:p>
    <w:p>
      <w:pPr>
        <w:pStyle w:val="ListBullet"/>
        <w:spacing w:after="60" w:line="288" w:lineRule="auto"/>
        <w:ind w:left="397"/>
      </w:pPr>
      <w:r>
        <w:rPr>
          <w:b/>
        </w:rPr>
        <w:t>Progress is always visible.</w:t>
      </w:r>
      <w:r>
        <w:t xml:space="preserve"> </w:t>
      </w:r>
      <w:r>
        <w:rPr>
          <w:rFonts w:ascii="Consolas" w:hAnsi="Consolas"/>
          <w:sz w:val="19"/>
        </w:rPr>
        <w:t>WizardTopBar</w:t>
      </w:r>
      <w:r>
        <w:t xml:space="preserve"> shows the step number, the total, the case identifier and a </w:t>
      </w:r>
      <w:r>
        <w:rPr>
          <w:rFonts w:ascii="Consolas" w:hAnsi="Consolas"/>
          <w:sz w:val="19"/>
        </w:rPr>
        <w:t>StepIndicator</w:t>
      </w:r>
      <w:r>
        <w:t>, so the user knows where they are in the five-step flow.</w:t>
      </w:r>
    </w:p>
    <w:p>
      <w:pPr>
        <w:pStyle w:val="ListBullet"/>
        <w:spacing w:after="60" w:line="288" w:lineRule="auto"/>
        <w:ind w:left="397"/>
      </w:pPr>
      <w:r>
        <w:rPr>
          <w:b/>
        </w:rPr>
        <w:t>The disclaimer is repeated where it matters.</w:t>
      </w:r>
      <w:r>
        <w:t xml:space="preserve"> </w:t>
      </w:r>
      <w:r>
        <w:rPr>
          <w:rFonts w:ascii="Consolas" w:hAnsi="Consolas"/>
          <w:sz w:val="19"/>
        </w:rPr>
        <w:t>FictionalDataBanner</w:t>
      </w:r>
      <w:r>
        <w:t xml:space="preserve"> appears at the top of the patient-details screen and the input form — the two screens where a user could be tempted to type real data.</w:t>
      </w:r>
    </w:p>
    <w:p>
      <w:pPr>
        <w:pStyle w:val="ListBullet"/>
        <w:spacing w:after="60" w:line="288" w:lineRule="auto"/>
        <w:ind w:left="397"/>
      </w:pPr>
      <w:r>
        <w:rPr>
          <w:b/>
        </w:rPr>
        <w:t>Errors are specific and adjacent.</w:t>
      </w:r>
      <w:r>
        <w:t xml:space="preserve"> Validation banners render directly beneath the field groups that produced them and list every message, joined by a middle dot.</w:t>
      </w:r>
    </w:p>
    <w:p>
      <w:pPr>
        <w:pStyle w:val="ListBullet"/>
        <w:spacing w:after="60" w:line="288" w:lineRule="auto"/>
        <w:ind w:left="397"/>
      </w:pPr>
      <w:r>
        <w:rPr>
          <w:b/>
        </w:rPr>
        <w:t>The Results screen is the terminus.</w:t>
      </w:r>
      <w:r>
        <w:t xml:space="preserve"> Its navigation icon is a close control that returns to Home with </w:t>
      </w:r>
      <w:r>
        <w:rPr>
          <w:rFonts w:ascii="Consolas" w:hAnsi="Consolas"/>
          <w:sz w:val="19"/>
        </w:rPr>
        <w:t>popUpTo(Routes.HOME) { inclusive = true }</w:t>
      </w:r>
      <w:r>
        <w:t xml:space="preserve"> rather than a back arrow into the wizard.</w:t>
      </w:r>
    </w:p>
    <w:p>
      <w:pPr>
        <w:pStyle w:val="Heading2"/>
      </w:pPr>
      <w:r>
        <w:t>17.5 Non-Functional Interface Elements</w:t>
      </w:r>
    </w:p>
    <w:p>
      <w:pPr>
        <w:spacing w:after="160"/>
      </w:pPr>
      <w:r>
        <w:t>Three affordances are present in the interface but are not wired to behaviour, and they are listed here so that no reader of this report or viewer of the demonstration is misled. The two Home screen shortcut tiles, “Concentration curve” and “Scan lab report”, are static; the “Scan a fictional lab report instead” row on the input form has an empty click handler; and the share icon in the Results screen top bar is likewise inert. They correspond to optional enhancements named in the case study — a concentration–time graph, camera capture with OCR, and export or sharing — that were not implemented within the project timeline. They are recorded as future work in Section 21.</w:t>
      </w:r>
    </w:p>
    <w:p>
      <w:pPr>
        <w:pStyle w:val="Heading1"/>
      </w:pPr>
      <w:r>
        <w:t>18. Testing and Debugging</w:t>
      </w:r>
    </w:p>
    <w:p>
      <w:pPr>
        <w:pStyle w:val="Heading2"/>
      </w:pPr>
      <w:r>
        <w:t>18.1 Strategy</w:t>
      </w:r>
    </w:p>
    <w:p>
      <w:pPr>
        <w:spacing w:after="160"/>
      </w:pPr>
      <w:r>
        <w:t xml:space="preserve">Testing effort was concentrated where defects would be most costly and least visible: the pharmacokinetic engine and the validators. Both are pure Kotlin, so they can be tested with plain JUnit on the JVM without an emulator, and the whole suite runs in seconds through </w:t>
      </w:r>
      <w:r>
        <w:rPr>
          <w:rFonts w:ascii="Consolas" w:hAnsi="Consolas"/>
          <w:sz w:val="19"/>
        </w:rPr>
        <w:t>./gradlew :app:test</w:t>
      </w:r>
      <w:r>
        <w:t>. Thirty-one tests are written across two classes. Compose user-interface tests were not written; the AndroidX test and Espresso dependencies are declared but the instrumented source set is empty.</w:t>
      </w:r>
    </w:p>
    <w:p>
      <w:pPr>
        <w:spacing w:before="240" w:after="0"/>
        <w:keepNext w:val="true"/>
      </w:pPr>
      <w:r>
        <w:rPr>
          <w:b/>
          <w:sz w:val="21"/>
        </w:rPr>
        <w:t>Table 16</w:t>
      </w:r>
    </w:p>
    <w:p>
      <w:pPr>
        <w:spacing w:after="100"/>
        <w:keepNext w:val="true"/>
      </w:pPr>
      <w:r>
        <w:rPr>
          <w:i/>
          <w:sz w:val="21"/>
        </w:rPr>
        <w:t>Unit test inventory</w:t>
      </w:r>
    </w:p>
    <w:tbl>
      <w:tblPr>
        <w:tblStyle w:val="TableGrid"/>
        <w:tblW w:type="auto" w:w="0"/>
        <w:jc w:val="center"/>
        <w:tblLayout w:type="fixed"/>
        <w:tblLook w:firstColumn="1" w:firstRow="1" w:lastColumn="0" w:lastRow="0" w:noHBand="0" w:noVBand="1" w:val="04A0"/>
        <w:tblLayout w:type="fixed"/>
      </w:tblPr>
      <w:tblGrid>
        <w:gridCol w:w="2256"/>
        <w:gridCol w:w="2256"/>
        <w:gridCol w:w="2256"/>
        <w:gridCol w:w="2256"/>
      </w:tblGrid>
      <w:tr>
        <w:trPr>
          <w:tblHeader w:val="true"/>
        </w:trPr>
        <w:tc>
          <w:tcPr>
            <w:tcW w:type="dxa" w:w="1930"/>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Test class</w:t>
            </w:r>
          </w:p>
        </w:tc>
        <w:tc>
          <w:tcPr>
            <w:tcW w:type="dxa" w:w="1816"/>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Focus</w:t>
            </w:r>
          </w:p>
        </w:tc>
        <w:tc>
          <w:tcPr>
            <w:tcW w:type="dxa" w:w="795"/>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Count</w:t>
            </w:r>
          </w:p>
        </w:tc>
        <w:tc>
          <w:tcPr>
            <w:tcW w:type="dxa" w:w="4484"/>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Representative cases</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VancoEngineTest</w:t>
            </w:r>
          </w:p>
        </w:tc>
        <w:tc>
          <w:tcPr>
            <w:tcW w:type="dxa" w:w="1816"/>
            <w:tcBorders>
              <w:top w:val="nil" w:sz="6" w:color="C7D6E5"/>
              <w:bottom w:val="single" w:sz="6" w:color="C7D6E5"/>
              <w:left w:val="nil" w:sz="6" w:color="C7D6E5"/>
              <w:right w:val="nil" w:sz="6" w:color="C7D6E5"/>
            </w:tcBorders>
          </w:tcPr>
          <w:p>
            <w:pPr>
              <w:spacing w:after="40" w:before="40" w:line="252" w:lineRule="auto"/>
            </w:pPr>
            <w:r>
              <w:rPr>
                <w:sz w:val="18"/>
              </w:rPr>
              <w:t>Pre workflow</w:t>
            </w:r>
          </w:p>
        </w:tc>
        <w:tc>
          <w:tcPr>
            <w:tcW w:type="dxa" w:w="795"/>
            <w:tcBorders>
              <w:top w:val="nil" w:sz="6" w:color="C7D6E5"/>
              <w:bottom w:val="single" w:sz="6" w:color="C7D6E5"/>
              <w:left w:val="nil" w:sz="6" w:color="C7D6E5"/>
              <w:right w:val="nil" w:sz="6" w:color="C7D6E5"/>
            </w:tcBorders>
          </w:tcPr>
          <w:p>
            <w:pPr>
              <w:spacing w:after="40" w:before="40" w:line="252" w:lineRule="auto"/>
            </w:pPr>
            <w:r>
              <w:rPr>
                <w:sz w:val="18"/>
              </w:rPr>
              <w:t>4</w:t>
            </w:r>
          </w:p>
        </w:tc>
        <w:tc>
          <w:tcPr>
            <w:tcW w:type="dxa" w:w="4484"/>
            <w:tcBorders>
              <w:top w:val="nil" w:sz="6" w:color="C7D6E5"/>
              <w:bottom w:val="single" w:sz="6" w:color="C7D6E5"/>
              <w:left w:val="nil" w:sz="6" w:color="C7D6E5"/>
              <w:right w:val="nil" w:sz="6" w:color="C7D6E5"/>
            </w:tcBorders>
          </w:tcPr>
          <w:p>
            <w:pPr>
              <w:spacing w:after="40" w:before="40" w:line="252" w:lineRule="auto"/>
            </w:pPr>
            <w:r>
              <w:rPr>
                <w:sz w:val="18"/>
              </w:rPr>
              <w:t>Normal adult case; zero weight rejected; negative dose rejected; elderly female with renal impairment.</w:t>
            </w:r>
          </w:p>
        </w:tc>
      </w:tr>
      <w:tr>
        <w:tc>
          <w:tcPr>
            <w:tcW w:type="dxa" w:w="1930"/>
            <w:tcBorders>
              <w:top w:val="nil" w:sz="6" w:color="C7D6E5"/>
              <w:bottom w:val="single" w:sz="6" w:color="C7D6E5"/>
              <w:left w:val="nil" w:sz="6" w:color="C7D6E5"/>
              <w:right w:val="nil" w:sz="6" w:color="C7D6E5"/>
            </w:tcBorders>
          </w:tcPr>
          <w:p>
            <w:pPr>
              <w:spacing w:after="40" w:before="40" w:line="252" w:lineRule="auto"/>
            </w:pPr>
          </w:p>
        </w:tc>
        <w:tc>
          <w:tcPr>
            <w:tcW w:type="dxa" w:w="1816"/>
            <w:tcBorders>
              <w:top w:val="nil" w:sz="6" w:color="C7D6E5"/>
              <w:bottom w:val="single" w:sz="6" w:color="C7D6E5"/>
              <w:left w:val="nil" w:sz="6" w:color="C7D6E5"/>
              <w:right w:val="nil" w:sz="6" w:color="C7D6E5"/>
            </w:tcBorders>
          </w:tcPr>
          <w:p>
            <w:pPr>
              <w:spacing w:after="40" w:before="40" w:line="252" w:lineRule="auto"/>
            </w:pPr>
            <w:r>
              <w:rPr>
                <w:sz w:val="18"/>
              </w:rPr>
              <w:t>Post workflow</w:t>
            </w:r>
          </w:p>
        </w:tc>
        <w:tc>
          <w:tcPr>
            <w:tcW w:type="dxa" w:w="795"/>
            <w:tcBorders>
              <w:top w:val="nil" w:sz="6" w:color="C7D6E5"/>
              <w:bottom w:val="single" w:sz="6" w:color="C7D6E5"/>
              <w:left w:val="nil" w:sz="6" w:color="C7D6E5"/>
              <w:right w:val="nil" w:sz="6" w:color="C7D6E5"/>
            </w:tcBorders>
          </w:tcPr>
          <w:p>
            <w:pPr>
              <w:spacing w:after="40" w:before="40" w:line="252" w:lineRule="auto"/>
            </w:pPr>
            <w:r>
              <w:rPr>
                <w:sz w:val="18"/>
              </w:rPr>
              <w:t>3</w:t>
            </w:r>
          </w:p>
        </w:tc>
        <w:tc>
          <w:tcPr>
            <w:tcW w:type="dxa" w:w="4484"/>
            <w:tcBorders>
              <w:top w:val="nil" w:sz="6" w:color="C7D6E5"/>
              <w:bottom w:val="single" w:sz="6" w:color="C7D6E5"/>
              <w:left w:val="nil" w:sz="6" w:color="C7D6E5"/>
              <w:right w:val="nil" w:sz="6" w:color="C7D6E5"/>
            </w:tcBorders>
          </w:tcPr>
          <w:p>
            <w:pPr>
              <w:spacing w:after="40" w:before="40" w:line="252" w:lineRule="auto"/>
            </w:pPr>
            <w:r>
              <w:rPr>
                <w:sz w:val="18"/>
              </w:rPr>
              <w:t>Normal case; sample time inside the infusion rejected; two-point-like data.</w:t>
            </w:r>
          </w:p>
        </w:tc>
      </w:tr>
      <w:tr>
        <w:tc>
          <w:tcPr>
            <w:tcW w:type="dxa" w:w="1930"/>
            <w:tcBorders>
              <w:top w:val="nil" w:sz="6" w:color="C7D6E5"/>
              <w:bottom w:val="single" w:sz="6" w:color="C7D6E5"/>
              <w:left w:val="nil" w:sz="6" w:color="C7D6E5"/>
              <w:right w:val="nil" w:sz="6" w:color="C7D6E5"/>
            </w:tcBorders>
          </w:tcPr>
          <w:p>
            <w:pPr>
              <w:spacing w:after="40" w:before="40" w:line="252" w:lineRule="auto"/>
            </w:pPr>
          </w:p>
        </w:tc>
        <w:tc>
          <w:tcPr>
            <w:tcW w:type="dxa" w:w="1816"/>
            <w:tcBorders>
              <w:top w:val="nil" w:sz="6" w:color="C7D6E5"/>
              <w:bottom w:val="single" w:sz="6" w:color="C7D6E5"/>
              <w:left w:val="nil" w:sz="6" w:color="C7D6E5"/>
              <w:right w:val="nil" w:sz="6" w:color="C7D6E5"/>
            </w:tcBorders>
          </w:tcPr>
          <w:p>
            <w:pPr>
              <w:spacing w:after="40" w:before="40" w:line="252" w:lineRule="auto"/>
            </w:pPr>
            <w:r>
              <w:rPr>
                <w:sz w:val="18"/>
              </w:rPr>
              <w:t>Pre + Post workflow</w:t>
            </w:r>
          </w:p>
        </w:tc>
        <w:tc>
          <w:tcPr>
            <w:tcW w:type="dxa" w:w="795"/>
            <w:tcBorders>
              <w:top w:val="nil" w:sz="6" w:color="C7D6E5"/>
              <w:bottom w:val="single" w:sz="6" w:color="C7D6E5"/>
              <w:left w:val="nil" w:sz="6" w:color="C7D6E5"/>
              <w:right w:val="nil" w:sz="6" w:color="C7D6E5"/>
            </w:tcBorders>
          </w:tcPr>
          <w:p>
            <w:pPr>
              <w:spacing w:after="40" w:before="40" w:line="252" w:lineRule="auto"/>
            </w:pPr>
            <w:r>
              <w:rPr>
                <w:sz w:val="18"/>
              </w:rPr>
              <w:t>3</w:t>
            </w:r>
          </w:p>
        </w:tc>
        <w:tc>
          <w:tcPr>
            <w:tcW w:type="dxa" w:w="4484"/>
            <w:tcBorders>
              <w:top w:val="nil" w:sz="6" w:color="C7D6E5"/>
              <w:bottom w:val="single" w:sz="6" w:color="C7D6E5"/>
              <w:left w:val="nil" w:sz="6" w:color="C7D6E5"/>
              <w:right w:val="nil" w:sz="6" w:color="C7D6E5"/>
            </w:tcBorders>
          </w:tcPr>
          <w:p>
            <w:pPr>
              <w:spacing w:after="40" w:before="40" w:line="252" w:lineRule="auto"/>
            </w:pPr>
            <w:r>
              <w:rPr>
                <w:sz w:val="18"/>
              </w:rPr>
              <w:t>Textbook two-point case; negative pre-dose concentration rejected; timing conflict where the pre-dose sample precedes the post-dose sample.</w:t>
            </w:r>
          </w:p>
        </w:tc>
      </w:tr>
      <w:tr>
        <w:tc>
          <w:tcPr>
            <w:tcW w:type="dxa" w:w="1930"/>
            <w:tcBorders>
              <w:top w:val="nil" w:sz="6" w:color="C7D6E5"/>
              <w:bottom w:val="single" w:sz="6" w:color="C7D6E5"/>
              <w:left w:val="nil" w:sz="6" w:color="C7D6E5"/>
              <w:right w:val="nil" w:sz="6" w:color="C7D6E5"/>
            </w:tcBorders>
          </w:tcPr>
          <w:p>
            <w:pPr>
              <w:spacing w:after="40" w:before="40" w:line="252" w:lineRule="auto"/>
            </w:pPr>
          </w:p>
        </w:tc>
        <w:tc>
          <w:tcPr>
            <w:tcW w:type="dxa" w:w="1816"/>
            <w:tcBorders>
              <w:top w:val="nil" w:sz="6" w:color="C7D6E5"/>
              <w:bottom w:val="single" w:sz="6" w:color="C7D6E5"/>
              <w:left w:val="nil" w:sz="6" w:color="C7D6E5"/>
              <w:right w:val="nil" w:sz="6" w:color="C7D6E5"/>
            </w:tcBorders>
          </w:tcPr>
          <w:p>
            <w:pPr>
              <w:spacing w:after="40" w:before="40" w:line="252" w:lineRule="auto"/>
            </w:pPr>
            <w:r>
              <w:rPr>
                <w:sz w:val="18"/>
              </w:rPr>
              <w:t>Numerical safety</w:t>
            </w:r>
          </w:p>
        </w:tc>
        <w:tc>
          <w:tcPr>
            <w:tcW w:type="dxa" w:w="795"/>
            <w:tcBorders>
              <w:top w:val="nil" w:sz="6" w:color="C7D6E5"/>
              <w:bottom w:val="single" w:sz="6" w:color="C7D6E5"/>
              <w:left w:val="nil" w:sz="6" w:color="C7D6E5"/>
              <w:right w:val="nil" w:sz="6" w:color="C7D6E5"/>
            </w:tcBorders>
          </w:tcPr>
          <w:p>
            <w:pPr>
              <w:spacing w:after="40" w:before="40" w:line="252" w:lineRule="auto"/>
            </w:pPr>
            <w:r>
              <w:rPr>
                <w:sz w:val="18"/>
              </w:rPr>
              <w:t>1</w:t>
            </w:r>
          </w:p>
        </w:tc>
        <w:tc>
          <w:tcPr>
            <w:tcW w:type="dxa" w:w="4484"/>
            <w:tcBorders>
              <w:top w:val="nil" w:sz="6" w:color="C7D6E5"/>
              <w:bottom w:val="single" w:sz="6" w:color="C7D6E5"/>
              <w:left w:val="nil" w:sz="6" w:color="C7D6E5"/>
              <w:right w:val="nil" w:sz="6" w:color="C7D6E5"/>
            </w:tcBorders>
          </w:tcPr>
          <w:p>
            <w:pPr>
              <w:spacing w:after="40" w:before="40" w:line="252" w:lineRule="auto"/>
            </w:pPr>
            <w:r>
              <w:rPr>
                <w:sz w:val="18"/>
              </w:rPr>
              <w:t>The engine never produces NaN on edge inputs.</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InputValidatorTest</w:t>
            </w:r>
          </w:p>
        </w:tc>
        <w:tc>
          <w:tcPr>
            <w:tcW w:type="dxa" w:w="1816"/>
            <w:tcBorders>
              <w:top w:val="nil" w:sz="6" w:color="C7D6E5"/>
              <w:bottom w:val="single" w:sz="6" w:color="C7D6E5"/>
              <w:left w:val="nil" w:sz="6" w:color="C7D6E5"/>
              <w:right w:val="nil" w:sz="6" w:color="C7D6E5"/>
            </w:tcBorders>
          </w:tcPr>
          <w:p>
            <w:pPr>
              <w:spacing w:after="40" w:before="40" w:line="252" w:lineRule="auto"/>
            </w:pPr>
            <w:r>
              <w:rPr>
                <w:sz w:val="18"/>
              </w:rPr>
              <w:t>Patient ranges</w:t>
            </w:r>
          </w:p>
        </w:tc>
        <w:tc>
          <w:tcPr>
            <w:tcW w:type="dxa" w:w="795"/>
            <w:tcBorders>
              <w:top w:val="nil" w:sz="6" w:color="C7D6E5"/>
              <w:bottom w:val="single" w:sz="6" w:color="C7D6E5"/>
              <w:left w:val="nil" w:sz="6" w:color="C7D6E5"/>
              <w:right w:val="nil" w:sz="6" w:color="C7D6E5"/>
            </w:tcBorders>
          </w:tcPr>
          <w:p>
            <w:pPr>
              <w:spacing w:after="40" w:before="40" w:line="252" w:lineRule="auto"/>
            </w:pPr>
            <w:r>
              <w:rPr>
                <w:sz w:val="18"/>
              </w:rPr>
              <w:t>5</w:t>
            </w:r>
          </w:p>
        </w:tc>
        <w:tc>
          <w:tcPr>
            <w:tcW w:type="dxa" w:w="4484"/>
            <w:tcBorders>
              <w:top w:val="nil" w:sz="6" w:color="C7D6E5"/>
              <w:bottom w:val="single" w:sz="6" w:color="C7D6E5"/>
              <w:left w:val="nil" w:sz="6" w:color="C7D6E5"/>
              <w:right w:val="nil" w:sz="6" w:color="C7D6E5"/>
            </w:tcBorders>
          </w:tcPr>
          <w:p>
            <w:pPr>
              <w:spacing w:after="40" w:before="40" w:line="252" w:lineRule="auto"/>
            </w:pPr>
            <w:r>
              <w:rPr>
                <w:sz w:val="18"/>
              </w:rPr>
              <w:t>Zero weight; weight above 250 kg; weight between 200 and 250 kg as a warning; zero creatinine; age out of range.</w:t>
            </w:r>
          </w:p>
        </w:tc>
      </w:tr>
      <w:tr>
        <w:tc>
          <w:tcPr>
            <w:tcW w:type="dxa" w:w="1930"/>
            <w:tcBorders>
              <w:top w:val="nil" w:sz="6" w:color="C7D6E5"/>
              <w:bottom w:val="single" w:sz="6" w:color="C7D6E5"/>
              <w:left w:val="nil" w:sz="6" w:color="C7D6E5"/>
              <w:right w:val="nil" w:sz="6" w:color="C7D6E5"/>
            </w:tcBorders>
          </w:tcPr>
          <w:p>
            <w:pPr>
              <w:spacing w:after="40" w:before="40" w:line="252" w:lineRule="auto"/>
            </w:pPr>
          </w:p>
        </w:tc>
        <w:tc>
          <w:tcPr>
            <w:tcW w:type="dxa" w:w="1816"/>
            <w:tcBorders>
              <w:top w:val="nil" w:sz="6" w:color="C7D6E5"/>
              <w:bottom w:val="single" w:sz="6" w:color="C7D6E5"/>
              <w:left w:val="nil" w:sz="6" w:color="C7D6E5"/>
              <w:right w:val="nil" w:sz="6" w:color="C7D6E5"/>
            </w:tcBorders>
          </w:tcPr>
          <w:p>
            <w:pPr>
              <w:spacing w:after="40" w:before="40" w:line="252" w:lineRule="auto"/>
            </w:pPr>
            <w:r>
              <w:rPr>
                <w:sz w:val="18"/>
              </w:rPr>
              <w:t>Dosing ranges</w:t>
            </w:r>
          </w:p>
        </w:tc>
        <w:tc>
          <w:tcPr>
            <w:tcW w:type="dxa" w:w="795"/>
            <w:tcBorders>
              <w:top w:val="nil" w:sz="6" w:color="C7D6E5"/>
              <w:bottom w:val="single" w:sz="6" w:color="C7D6E5"/>
              <w:left w:val="nil" w:sz="6" w:color="C7D6E5"/>
              <w:right w:val="nil" w:sz="6" w:color="C7D6E5"/>
            </w:tcBorders>
          </w:tcPr>
          <w:p>
            <w:pPr>
              <w:spacing w:after="40" w:before="40" w:line="252" w:lineRule="auto"/>
            </w:pPr>
            <w:r>
              <w:rPr>
                <w:sz w:val="18"/>
              </w:rPr>
              <w:t>3</w:t>
            </w:r>
          </w:p>
        </w:tc>
        <w:tc>
          <w:tcPr>
            <w:tcW w:type="dxa" w:w="4484"/>
            <w:tcBorders>
              <w:top w:val="nil" w:sz="6" w:color="C7D6E5"/>
              <w:bottom w:val="single" w:sz="6" w:color="C7D6E5"/>
              <w:left w:val="nil" w:sz="6" w:color="C7D6E5"/>
              <w:right w:val="nil" w:sz="6" w:color="C7D6E5"/>
            </w:tcBorders>
          </w:tcPr>
          <w:p>
            <w:pPr>
              <w:spacing w:after="40" w:before="40" w:line="252" w:lineRule="auto"/>
            </w:pPr>
            <w:r>
              <w:rPr>
                <w:sz w:val="18"/>
              </w:rPr>
              <w:t>Infusion longer than the interval; zero dose; a very high single dose as a warning.</w:t>
            </w:r>
          </w:p>
        </w:tc>
      </w:tr>
      <w:tr>
        <w:tc>
          <w:tcPr>
            <w:tcW w:type="dxa" w:w="1930"/>
            <w:tcBorders>
              <w:top w:val="nil" w:sz="6" w:color="C7D6E5"/>
              <w:bottom w:val="single" w:sz="6" w:color="C7D6E5"/>
              <w:left w:val="nil" w:sz="6" w:color="C7D6E5"/>
              <w:right w:val="nil" w:sz="6" w:color="C7D6E5"/>
            </w:tcBorders>
          </w:tcPr>
          <w:p>
            <w:pPr>
              <w:spacing w:after="40" w:before="40" w:line="252" w:lineRule="auto"/>
            </w:pPr>
          </w:p>
        </w:tc>
        <w:tc>
          <w:tcPr>
            <w:tcW w:type="dxa" w:w="1816"/>
            <w:tcBorders>
              <w:top w:val="nil" w:sz="6" w:color="C7D6E5"/>
              <w:bottom w:val="single" w:sz="6" w:color="C7D6E5"/>
              <w:left w:val="nil" w:sz="6" w:color="C7D6E5"/>
              <w:right w:val="nil" w:sz="6" w:color="C7D6E5"/>
            </w:tcBorders>
          </w:tcPr>
          <w:p>
            <w:pPr>
              <w:spacing w:after="40" w:before="40" w:line="252" w:lineRule="auto"/>
            </w:pPr>
            <w:r>
              <w:rPr>
                <w:sz w:val="18"/>
              </w:rPr>
              <w:t>Sample ranges</w:t>
            </w:r>
          </w:p>
        </w:tc>
        <w:tc>
          <w:tcPr>
            <w:tcW w:type="dxa" w:w="795"/>
            <w:tcBorders>
              <w:top w:val="nil" w:sz="6" w:color="C7D6E5"/>
              <w:bottom w:val="single" w:sz="6" w:color="C7D6E5"/>
              <w:left w:val="nil" w:sz="6" w:color="C7D6E5"/>
              <w:right w:val="nil" w:sz="6" w:color="C7D6E5"/>
            </w:tcBorders>
          </w:tcPr>
          <w:p>
            <w:pPr>
              <w:spacing w:after="40" w:before="40" w:line="252" w:lineRule="auto"/>
            </w:pPr>
            <w:r>
              <w:rPr>
                <w:sz w:val="18"/>
              </w:rPr>
              <w:t>6</w:t>
            </w:r>
          </w:p>
        </w:tc>
        <w:tc>
          <w:tcPr>
            <w:tcW w:type="dxa" w:w="4484"/>
            <w:tcBorders>
              <w:top w:val="nil" w:sz="6" w:color="C7D6E5"/>
              <w:bottom w:val="single" w:sz="6" w:color="C7D6E5"/>
              <w:left w:val="nil" w:sz="6" w:color="C7D6E5"/>
              <w:right w:val="nil" w:sz="6" w:color="C7D6E5"/>
            </w:tcBorders>
          </w:tcPr>
          <w:p>
            <w:pPr>
              <w:spacing w:after="40" w:before="40" w:line="252" w:lineRule="auto"/>
            </w:pPr>
            <w:r>
              <w:rPr>
                <w:sz w:val="18"/>
              </w:rPr>
              <w:t>Pre-dose above the physiological range; pre-dose above 25 mg/L as a warning only; pre-dose time after the interval; post-dose during infusion; post-dose at zero; peak above 60 mg/L as a warning.</w:t>
            </w:r>
          </w:p>
        </w:tc>
      </w:tr>
      <w:tr>
        <w:tc>
          <w:tcPr>
            <w:tcW w:type="dxa" w:w="1930"/>
            <w:tcBorders>
              <w:top w:val="nil" w:sz="6" w:color="C7D6E5"/>
              <w:bottom w:val="single" w:sz="6" w:color="C7D6E5"/>
              <w:left w:val="nil" w:sz="6" w:color="C7D6E5"/>
              <w:right w:val="nil" w:sz="6" w:color="C7D6E5"/>
            </w:tcBorders>
          </w:tcPr>
          <w:p>
            <w:pPr>
              <w:spacing w:after="40" w:before="40" w:line="252" w:lineRule="auto"/>
            </w:pPr>
          </w:p>
        </w:tc>
        <w:tc>
          <w:tcPr>
            <w:tcW w:type="dxa" w:w="1816"/>
            <w:tcBorders>
              <w:top w:val="nil" w:sz="6" w:color="C7D6E5"/>
              <w:bottom w:val="single" w:sz="6" w:color="C7D6E5"/>
              <w:left w:val="nil" w:sz="6" w:color="C7D6E5"/>
              <w:right w:val="nil" w:sz="6" w:color="C7D6E5"/>
            </w:tcBorders>
          </w:tcPr>
          <w:p>
            <w:pPr>
              <w:spacing w:after="40" w:before="40" w:line="252" w:lineRule="auto"/>
            </w:pPr>
            <w:r>
              <w:rPr>
                <w:sz w:val="18"/>
              </w:rPr>
              <w:t>Cross-field timing</w:t>
            </w:r>
          </w:p>
        </w:tc>
        <w:tc>
          <w:tcPr>
            <w:tcW w:type="dxa" w:w="795"/>
            <w:tcBorders>
              <w:top w:val="nil" w:sz="6" w:color="C7D6E5"/>
              <w:bottom w:val="single" w:sz="6" w:color="C7D6E5"/>
              <w:left w:val="nil" w:sz="6" w:color="C7D6E5"/>
              <w:right w:val="nil" w:sz="6" w:color="C7D6E5"/>
            </w:tcBorders>
          </w:tcPr>
          <w:p>
            <w:pPr>
              <w:spacing w:after="40" w:before="40" w:line="252" w:lineRule="auto"/>
            </w:pPr>
            <w:r>
              <w:rPr>
                <w:sz w:val="18"/>
              </w:rPr>
              <w:t>2</w:t>
            </w:r>
          </w:p>
        </w:tc>
        <w:tc>
          <w:tcPr>
            <w:tcW w:type="dxa" w:w="4484"/>
            <w:tcBorders>
              <w:top w:val="nil" w:sz="6" w:color="C7D6E5"/>
              <w:bottom w:val="single" w:sz="6" w:color="C7D6E5"/>
              <w:left w:val="nil" w:sz="6" w:color="C7D6E5"/>
              <w:right w:val="nil" w:sz="6" w:color="C7D6E5"/>
            </w:tcBorders>
          </w:tcPr>
          <w:p>
            <w:pPr>
              <w:spacing w:after="40" w:before="40" w:line="252" w:lineRule="auto"/>
            </w:pPr>
            <w:r>
              <w:rPr>
                <w:sz w:val="18"/>
              </w:rPr>
              <w:t>Conflict when the pre-dose sample is at or before the post-dose sample; the valid ordering accepted.</w:t>
            </w:r>
          </w:p>
        </w:tc>
      </w:tr>
      <w:tr>
        <w:tc>
          <w:tcPr>
            <w:tcW w:type="dxa" w:w="1930"/>
            <w:tcBorders>
              <w:top w:val="nil" w:sz="6" w:color="C7D6E5"/>
              <w:bottom w:val="single" w:sz="6" w:color="C7D6E5"/>
              <w:left w:val="nil" w:sz="6" w:color="C7D6E5"/>
              <w:right w:val="nil" w:sz="6" w:color="C7D6E5"/>
            </w:tcBorders>
          </w:tcPr>
          <w:p>
            <w:pPr>
              <w:spacing w:after="40" w:before="40" w:line="252" w:lineRule="auto"/>
            </w:pPr>
          </w:p>
        </w:tc>
        <w:tc>
          <w:tcPr>
            <w:tcW w:type="dxa" w:w="1816"/>
            <w:tcBorders>
              <w:top w:val="nil" w:sz="6" w:color="C7D6E5"/>
              <w:bottom w:val="single" w:sz="6" w:color="C7D6E5"/>
              <w:left w:val="nil" w:sz="6" w:color="C7D6E5"/>
              <w:right w:val="nil" w:sz="6" w:color="C7D6E5"/>
            </w:tcBorders>
          </w:tcPr>
          <w:p>
            <w:pPr>
              <w:spacing w:after="40" w:before="40" w:line="252" w:lineRule="auto"/>
            </w:pPr>
            <w:r>
              <w:rPr>
                <w:sz w:val="18"/>
              </w:rPr>
              <w:t>Math safety and aggregation</w:t>
            </w:r>
          </w:p>
        </w:tc>
        <w:tc>
          <w:tcPr>
            <w:tcW w:type="dxa" w:w="795"/>
            <w:tcBorders>
              <w:top w:val="nil" w:sz="6" w:color="C7D6E5"/>
              <w:bottom w:val="single" w:sz="6" w:color="C7D6E5"/>
              <w:left w:val="nil" w:sz="6" w:color="C7D6E5"/>
              <w:right w:val="nil" w:sz="6" w:color="C7D6E5"/>
            </w:tcBorders>
          </w:tcPr>
          <w:p>
            <w:pPr>
              <w:spacing w:after="40" w:before="40" w:line="252" w:lineRule="auto"/>
            </w:pPr>
            <w:r>
              <w:rPr>
                <w:sz w:val="18"/>
              </w:rPr>
              <w:t>4</w:t>
            </w:r>
          </w:p>
        </w:tc>
        <w:tc>
          <w:tcPr>
            <w:tcW w:type="dxa" w:w="4484"/>
            <w:tcBorders>
              <w:top w:val="nil" w:sz="6" w:color="C7D6E5"/>
              <w:bottom w:val="single" w:sz="6" w:color="C7D6E5"/>
              <w:left w:val="nil" w:sz="6" w:color="C7D6E5"/>
              <w:right w:val="nil" w:sz="6" w:color="C7D6E5"/>
            </w:tcBorders>
          </w:tcPr>
          <w:p>
            <w:pPr>
              <w:spacing w:after="40" w:before="40" w:line="252" w:lineRule="auto"/>
            </w:pPr>
            <w:r>
              <w:rPr>
                <w:sz w:val="18"/>
              </w:rPr>
              <w:t xml:space="preserve">Negative concentrations rejected; a non-decreasing pair warned; a valid pair returning null; </w:t>
            </w:r>
            <w:r>
              <w:rPr>
                <w:rFonts w:ascii="Consolas" w:hAnsi="Consolas"/>
                <w:sz w:val="17"/>
              </w:rPr>
              <w:t>merge</w:t>
            </w:r>
            <w:r>
              <w:rPr>
                <w:sz w:val="18"/>
              </w:rPr>
              <w:t xml:space="preserve"> aggregating errors and warnings from several reports.</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b/>
                <w:sz w:val="18"/>
              </w:rPr>
              <w:t>Total</w:t>
            </w:r>
          </w:p>
        </w:tc>
        <w:tc>
          <w:tcPr>
            <w:tcW w:type="dxa" w:w="1816"/>
            <w:tcBorders>
              <w:top w:val="nil" w:sz="6" w:color="C7D6E5"/>
              <w:bottom w:val="single" w:sz="6" w:color="C7D6E5"/>
              <w:left w:val="nil" w:sz="6" w:color="C7D6E5"/>
              <w:right w:val="nil" w:sz="6" w:color="C7D6E5"/>
            </w:tcBorders>
          </w:tcPr>
          <w:p>
            <w:pPr>
              <w:spacing w:after="40" w:before="40" w:line="252" w:lineRule="auto"/>
            </w:pPr>
          </w:p>
        </w:tc>
        <w:tc>
          <w:tcPr>
            <w:tcW w:type="dxa" w:w="795"/>
            <w:tcBorders>
              <w:top w:val="nil" w:sz="6" w:color="C7D6E5"/>
              <w:bottom w:val="single" w:sz="6" w:color="C7D6E5"/>
              <w:left w:val="nil" w:sz="6" w:color="C7D6E5"/>
              <w:right w:val="nil" w:sz="6" w:color="C7D6E5"/>
            </w:tcBorders>
          </w:tcPr>
          <w:p>
            <w:pPr>
              <w:spacing w:after="40" w:before="40" w:line="252" w:lineRule="auto"/>
            </w:pPr>
            <w:r>
              <w:rPr>
                <w:b/>
                <w:sz w:val="18"/>
              </w:rPr>
              <w:t>31</w:t>
            </w:r>
          </w:p>
        </w:tc>
        <w:tc>
          <w:tcPr>
            <w:tcW w:type="dxa" w:w="4484"/>
            <w:tcBorders>
              <w:top w:val="nil" w:sz="6" w:color="C7D6E5"/>
              <w:bottom w:val="single" w:sz="6" w:color="C7D6E5"/>
              <w:left w:val="nil" w:sz="6" w:color="C7D6E5"/>
              <w:right w:val="nil" w:sz="6" w:color="C7D6E5"/>
            </w:tcBorders>
          </w:tcPr>
          <w:p>
            <w:pPr>
              <w:spacing w:after="40" w:before="40" w:line="252" w:lineRule="auto"/>
            </w:pPr>
          </w:p>
        </w:tc>
      </w:tr>
    </w:tbl>
    <w:p>
      <w:pPr>
        <w:spacing w:after="120"/>
      </w:pPr>
    </w:p>
    <w:p>
      <w:pPr>
        <w:pStyle w:val="Heading2"/>
      </w:pPr>
      <w:r>
        <w:t>18.2 Test Design Rationale</w:t>
      </w:r>
    </w:p>
    <w:p>
      <w:pPr>
        <w:spacing w:after="160"/>
      </w:pPr>
      <w:r>
        <w:t xml:space="preserve">The suite is built around three ideas. First, every blocking rule has a test that asserts the calculation is refused, because a validator that silently passes bad input is worse than no validator. Second, several tests exist specifically to assert that a value produces a </w:t>
      </w:r>
      <w:r>
        <w:rPr>
          <w:i/>
        </w:rPr>
        <w:t>warning</w:t>
      </w:r>
      <w:r>
        <w:t xml:space="preserve"> and not an error — for example a weight between 200 and 250 kg — because collapsing the two tiers would break the case study's explicit requirement. Third, </w:t>
      </w:r>
      <w:r>
        <w:rPr>
          <w:rFonts w:ascii="Consolas" w:hAnsi="Consolas"/>
          <w:sz w:val="19"/>
        </w:rPr>
        <w:t>engine never produces NaN on edge inputs</w:t>
      </w:r>
      <w:r>
        <w:t xml:space="preserve"> exists because a NaN propagating into the Results screen would render as a plausible-looking dash rather than an obvious failure.</w:t>
      </w:r>
    </w:p>
    <w:p>
      <w:pPr>
        <w:pStyle w:val="Heading2"/>
      </w:pPr>
      <w:r>
        <w:t>18.3 Manual Testing</w:t>
      </w:r>
    </w:p>
    <w:p>
      <w:pPr>
        <w:spacing w:after="160"/>
      </w:pPr>
      <w:r>
        <w:t>Each of the three workflows was exercised end to end on a device before the feature was considered complete, following the guidance in Section 5 of PROJECT_RULES.md. Table 17 records the scenarios covered.</w:t>
      </w:r>
    </w:p>
    <w:p>
      <w:pPr>
        <w:spacing w:before="240" w:after="0"/>
        <w:keepNext w:val="true"/>
      </w:pPr>
      <w:r>
        <w:rPr>
          <w:b/>
          <w:sz w:val="21"/>
        </w:rPr>
        <w:t>Table 17</w:t>
      </w:r>
    </w:p>
    <w:p>
      <w:pPr>
        <w:spacing w:after="100"/>
        <w:keepNext w:val="true"/>
      </w:pPr>
      <w:r>
        <w:rPr>
          <w:i/>
          <w:sz w:val="21"/>
        </w:rPr>
        <w:t>Manual end-to-end test scenarios</w:t>
      </w:r>
    </w:p>
    <w:tbl>
      <w:tblPr>
        <w:tblStyle w:val="TableGrid"/>
        <w:tblW w:type="auto" w:w="0"/>
        <w:jc w:val="center"/>
        <w:tblLayout w:type="fixed"/>
        <w:tblLook w:firstColumn="1" w:firstRow="1" w:lastColumn="0" w:lastRow="0" w:noHBand="0" w:noVBand="1" w:val="04A0"/>
        <w:tblLayout w:type="fixed"/>
      </w:tblPr>
      <w:tblGrid>
        <w:gridCol w:w="3009"/>
        <w:gridCol w:w="3009"/>
        <w:gridCol w:w="3009"/>
      </w:tblGrid>
      <w:tr>
        <w:trPr>
          <w:tblHeader w:val="true"/>
        </w:trPr>
        <w:tc>
          <w:tcPr>
            <w:tcW w:type="dxa" w:w="3065"/>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Scenario</w:t>
            </w:r>
          </w:p>
        </w:tc>
        <w:tc>
          <w:tcPr>
            <w:tcW w:type="dxa" w:w="4314"/>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Expected behaviour</w:t>
            </w:r>
          </w:p>
        </w:tc>
        <w:tc>
          <w:tcPr>
            <w:tcW w:type="dxa" w:w="1646"/>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Observed</w:t>
            </w:r>
          </w:p>
        </w:tc>
      </w:tr>
      <w:tr>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First launch on a clean install</w:t>
            </w:r>
          </w:p>
        </w:tc>
        <w:tc>
          <w:tcPr>
            <w:tcW w:type="dxa" w:w="4314"/>
            <w:tcBorders>
              <w:top w:val="nil" w:sz="6" w:color="C7D6E5"/>
              <w:bottom w:val="single" w:sz="6" w:color="C7D6E5"/>
              <w:left w:val="nil" w:sz="6" w:color="C7D6E5"/>
              <w:right w:val="nil" w:sz="6" w:color="C7D6E5"/>
            </w:tcBorders>
          </w:tcPr>
          <w:p>
            <w:pPr>
              <w:spacing w:after="40" w:before="40" w:line="252" w:lineRule="auto"/>
            </w:pPr>
            <w:r>
              <w:rPr>
                <w:sz w:val="18"/>
              </w:rPr>
              <w:t>Splash, then the disclaimer gate, then the login screen.</w:t>
            </w:r>
          </w:p>
        </w:tc>
        <w:tc>
          <w:tcPr>
            <w:tcW w:type="dxa" w:w="1646"/>
            <w:tcBorders>
              <w:top w:val="nil" w:sz="6" w:color="C7D6E5"/>
              <w:bottom w:val="single" w:sz="6" w:color="C7D6E5"/>
              <w:left w:val="nil" w:sz="6" w:color="C7D6E5"/>
              <w:right w:val="nil" w:sz="6" w:color="C7D6E5"/>
            </w:tcBorders>
          </w:tcPr>
          <w:p>
            <w:pPr>
              <w:spacing w:after="40" w:before="40" w:line="252" w:lineRule="auto"/>
            </w:pPr>
            <w:r>
              <w:rPr>
                <w:sz w:val="18"/>
              </w:rPr>
              <w:t>Pass</w:t>
            </w:r>
          </w:p>
        </w:tc>
      </w:tr>
      <w:tr>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Sign up with a new email address</w:t>
            </w:r>
          </w:p>
        </w:tc>
        <w:tc>
          <w:tcPr>
            <w:tcW w:type="dxa" w:w="4314"/>
            <w:tcBorders>
              <w:top w:val="nil" w:sz="6" w:color="C7D6E5"/>
              <w:bottom w:val="single" w:sz="6" w:color="C7D6E5"/>
              <w:left w:val="nil" w:sz="6" w:color="C7D6E5"/>
              <w:right w:val="nil" w:sz="6" w:color="C7D6E5"/>
            </w:tcBorders>
          </w:tcPr>
          <w:p>
            <w:pPr>
              <w:spacing w:after="40" w:before="40" w:line="252" w:lineRule="auto"/>
            </w:pPr>
            <w:r>
              <w:rPr>
                <w:sz w:val="18"/>
              </w:rPr>
              <w:t>Account created; welcome screen shown once; Home reached.</w:t>
            </w:r>
          </w:p>
        </w:tc>
        <w:tc>
          <w:tcPr>
            <w:tcW w:type="dxa" w:w="1646"/>
            <w:tcBorders>
              <w:top w:val="nil" w:sz="6" w:color="C7D6E5"/>
              <w:bottom w:val="single" w:sz="6" w:color="C7D6E5"/>
              <w:left w:val="nil" w:sz="6" w:color="C7D6E5"/>
              <w:right w:val="nil" w:sz="6" w:color="C7D6E5"/>
            </w:tcBorders>
          </w:tcPr>
          <w:p>
            <w:pPr>
              <w:spacing w:after="40" w:before="40" w:line="252" w:lineRule="auto"/>
            </w:pPr>
            <w:r>
              <w:rPr>
                <w:sz w:val="18"/>
              </w:rPr>
              <w:t>Pass</w:t>
            </w:r>
          </w:p>
        </w:tc>
      </w:tr>
      <w:tr>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Force-close and relaunch</w:t>
            </w:r>
          </w:p>
        </w:tc>
        <w:tc>
          <w:tcPr>
            <w:tcW w:type="dxa" w:w="4314"/>
            <w:tcBorders>
              <w:top w:val="nil" w:sz="6" w:color="C7D6E5"/>
              <w:bottom w:val="single" w:sz="6" w:color="C7D6E5"/>
              <w:left w:val="nil" w:sz="6" w:color="C7D6E5"/>
              <w:right w:val="nil" w:sz="6" w:color="C7D6E5"/>
            </w:tcBorders>
          </w:tcPr>
          <w:p>
            <w:pPr>
              <w:spacing w:after="40" w:before="40" w:line="252" w:lineRule="auto"/>
            </w:pPr>
            <w:r>
              <w:rPr>
                <w:sz w:val="18"/>
              </w:rPr>
              <w:t>Session restored from SharedPreferences; no login screen; no welcome screen.</w:t>
            </w:r>
          </w:p>
        </w:tc>
        <w:tc>
          <w:tcPr>
            <w:tcW w:type="dxa" w:w="1646"/>
            <w:tcBorders>
              <w:top w:val="nil" w:sz="6" w:color="C7D6E5"/>
              <w:bottom w:val="single" w:sz="6" w:color="C7D6E5"/>
              <w:left w:val="nil" w:sz="6" w:color="C7D6E5"/>
              <w:right w:val="nil" w:sz="6" w:color="C7D6E5"/>
            </w:tcBorders>
          </w:tcPr>
          <w:p>
            <w:pPr>
              <w:spacing w:after="40" w:before="40" w:line="252" w:lineRule="auto"/>
            </w:pPr>
            <w:r>
              <w:rPr>
                <w:sz w:val="18"/>
              </w:rPr>
              <w:t>Pass</w:t>
            </w:r>
          </w:p>
        </w:tc>
      </w:tr>
      <w:tr>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Pre workflow, valid input</w:t>
            </w:r>
          </w:p>
        </w:tc>
        <w:tc>
          <w:tcPr>
            <w:tcW w:type="dxa" w:w="4314"/>
            <w:tcBorders>
              <w:top w:val="nil" w:sz="6" w:color="C7D6E5"/>
              <w:bottom w:val="single" w:sz="6" w:color="C7D6E5"/>
              <w:left w:val="nil" w:sz="6" w:color="C7D6E5"/>
              <w:right w:val="nil" w:sz="6" w:color="C7D6E5"/>
            </w:tcBorders>
          </w:tcPr>
          <w:p>
            <w:pPr>
              <w:spacing w:after="40" w:before="40" w:line="252" w:lineRule="auto"/>
            </w:pPr>
            <w:r>
              <w:rPr>
                <w:sz w:val="18"/>
              </w:rPr>
              <w:t>Only the trough group rendered; result screen with AUC₂₄ and verdict.</w:t>
            </w:r>
          </w:p>
        </w:tc>
        <w:tc>
          <w:tcPr>
            <w:tcW w:type="dxa" w:w="1646"/>
            <w:tcBorders>
              <w:top w:val="nil" w:sz="6" w:color="C7D6E5"/>
              <w:bottom w:val="single" w:sz="6" w:color="C7D6E5"/>
              <w:left w:val="nil" w:sz="6" w:color="C7D6E5"/>
              <w:right w:val="nil" w:sz="6" w:color="C7D6E5"/>
            </w:tcBorders>
          </w:tcPr>
          <w:p>
            <w:pPr>
              <w:spacing w:after="40" w:before="40" w:line="252" w:lineRule="auto"/>
            </w:pPr>
            <w:r>
              <w:rPr>
                <w:sz w:val="18"/>
              </w:rPr>
              <w:t>Pass</w:t>
            </w:r>
          </w:p>
        </w:tc>
      </w:tr>
      <w:tr>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Post workflow, valid input</w:t>
            </w:r>
          </w:p>
        </w:tc>
        <w:tc>
          <w:tcPr>
            <w:tcW w:type="dxa" w:w="4314"/>
            <w:tcBorders>
              <w:top w:val="nil" w:sz="6" w:color="C7D6E5"/>
              <w:bottom w:val="single" w:sz="6" w:color="C7D6E5"/>
              <w:left w:val="nil" w:sz="6" w:color="C7D6E5"/>
              <w:right w:val="nil" w:sz="6" w:color="C7D6E5"/>
            </w:tcBorders>
          </w:tcPr>
          <w:p>
            <w:pPr>
              <w:spacing w:after="40" w:before="40" w:line="252" w:lineRule="auto"/>
            </w:pPr>
            <w:r>
              <w:rPr>
                <w:sz w:val="18"/>
              </w:rPr>
              <w:t>Only the peak group rendered; result screen populated.</w:t>
            </w:r>
          </w:p>
        </w:tc>
        <w:tc>
          <w:tcPr>
            <w:tcW w:type="dxa" w:w="1646"/>
            <w:tcBorders>
              <w:top w:val="nil" w:sz="6" w:color="C7D6E5"/>
              <w:bottom w:val="single" w:sz="6" w:color="C7D6E5"/>
              <w:left w:val="nil" w:sz="6" w:color="C7D6E5"/>
              <w:right w:val="nil" w:sz="6" w:color="C7D6E5"/>
            </w:tcBorders>
          </w:tcPr>
          <w:p>
            <w:pPr>
              <w:spacing w:after="40" w:before="40" w:line="252" w:lineRule="auto"/>
            </w:pPr>
            <w:r>
              <w:rPr>
                <w:sz w:val="18"/>
              </w:rPr>
              <w:t>Pass</w:t>
            </w:r>
          </w:p>
        </w:tc>
      </w:tr>
      <w:tr>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Pre + Post workflow, valid input</w:t>
            </w:r>
          </w:p>
        </w:tc>
        <w:tc>
          <w:tcPr>
            <w:tcW w:type="dxa" w:w="4314"/>
            <w:tcBorders>
              <w:top w:val="nil" w:sz="6" w:color="C7D6E5"/>
              <w:bottom w:val="single" w:sz="6" w:color="C7D6E5"/>
              <w:left w:val="nil" w:sz="6" w:color="C7D6E5"/>
              <w:right w:val="nil" w:sz="6" w:color="C7D6E5"/>
            </w:tcBorders>
          </w:tcPr>
          <w:p>
            <w:pPr>
              <w:spacing w:after="40" w:before="40" w:line="252" w:lineRule="auto"/>
            </w:pPr>
            <w:r>
              <w:rPr>
                <w:sz w:val="18"/>
              </w:rPr>
              <w:t>Both groups rendered; derived Vd differs from 0.7 L/kg.</w:t>
            </w:r>
          </w:p>
        </w:tc>
        <w:tc>
          <w:tcPr>
            <w:tcW w:type="dxa" w:w="1646"/>
            <w:tcBorders>
              <w:top w:val="nil" w:sz="6" w:color="C7D6E5"/>
              <w:bottom w:val="single" w:sz="6" w:color="C7D6E5"/>
              <w:left w:val="nil" w:sz="6" w:color="C7D6E5"/>
              <w:right w:val="nil" w:sz="6" w:color="C7D6E5"/>
            </w:tcBorders>
          </w:tcPr>
          <w:p>
            <w:pPr>
              <w:spacing w:after="40" w:before="40" w:line="252" w:lineRule="auto"/>
            </w:pPr>
            <w:r>
              <w:rPr>
                <w:sz w:val="18"/>
              </w:rPr>
              <w:t>Pass</w:t>
            </w:r>
          </w:p>
        </w:tc>
      </w:tr>
      <w:tr>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Transposed sample times in Pre + Post</w:t>
            </w:r>
          </w:p>
        </w:tc>
        <w:tc>
          <w:tcPr>
            <w:tcW w:type="dxa" w:w="4314"/>
            <w:tcBorders>
              <w:top w:val="nil" w:sz="6" w:color="C7D6E5"/>
              <w:bottom w:val="single" w:sz="6" w:color="C7D6E5"/>
              <w:left w:val="nil" w:sz="6" w:color="C7D6E5"/>
              <w:right w:val="nil" w:sz="6" w:color="C7D6E5"/>
            </w:tcBorders>
          </w:tcPr>
          <w:p>
            <w:pPr>
              <w:spacing w:after="40" w:before="40" w:line="252" w:lineRule="auto"/>
            </w:pPr>
            <w:r>
              <w:rPr>
                <w:sz w:val="18"/>
              </w:rPr>
              <w:t>Red banner; Review button disabled; no navigation.</w:t>
            </w:r>
          </w:p>
        </w:tc>
        <w:tc>
          <w:tcPr>
            <w:tcW w:type="dxa" w:w="1646"/>
            <w:tcBorders>
              <w:top w:val="nil" w:sz="6" w:color="C7D6E5"/>
              <w:bottom w:val="single" w:sz="6" w:color="C7D6E5"/>
              <w:left w:val="nil" w:sz="6" w:color="C7D6E5"/>
              <w:right w:val="nil" w:sz="6" w:color="C7D6E5"/>
            </w:tcBorders>
          </w:tcPr>
          <w:p>
            <w:pPr>
              <w:spacing w:after="40" w:before="40" w:line="252" w:lineRule="auto"/>
            </w:pPr>
            <w:r>
              <w:rPr>
                <w:sz w:val="18"/>
              </w:rPr>
              <w:t>Pass</w:t>
            </w:r>
          </w:p>
        </w:tc>
      </w:tr>
      <w:tr>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Serum creatinine entered as 9.8 instead of 98</w:t>
            </w:r>
          </w:p>
        </w:tc>
        <w:tc>
          <w:tcPr>
            <w:tcW w:type="dxa" w:w="4314"/>
            <w:tcBorders>
              <w:top w:val="nil" w:sz="6" w:color="C7D6E5"/>
              <w:bottom w:val="single" w:sz="6" w:color="C7D6E5"/>
              <w:left w:val="nil" w:sz="6" w:color="C7D6E5"/>
              <w:right w:val="nil" w:sz="6" w:color="C7D6E5"/>
            </w:tcBorders>
          </w:tcPr>
          <w:p>
            <w:pPr>
              <w:spacing w:after="40" w:before="40" w:line="252" w:lineRule="auto"/>
            </w:pPr>
            <w:r>
              <w:rPr>
                <w:sz w:val="18"/>
              </w:rPr>
              <w:t>Red range error; calculation blocked.</w:t>
            </w:r>
          </w:p>
        </w:tc>
        <w:tc>
          <w:tcPr>
            <w:tcW w:type="dxa" w:w="1646"/>
            <w:tcBorders>
              <w:top w:val="nil" w:sz="6" w:color="C7D6E5"/>
              <w:bottom w:val="single" w:sz="6" w:color="C7D6E5"/>
              <w:left w:val="nil" w:sz="6" w:color="C7D6E5"/>
              <w:right w:val="nil" w:sz="6" w:color="C7D6E5"/>
            </w:tcBorders>
          </w:tcPr>
          <w:p>
            <w:pPr>
              <w:spacing w:after="40" w:before="40" w:line="252" w:lineRule="auto"/>
            </w:pPr>
            <w:r>
              <w:rPr>
                <w:sz w:val="18"/>
              </w:rPr>
              <w:t>Pass</w:t>
            </w:r>
          </w:p>
        </w:tc>
      </w:tr>
      <w:tr>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Weight of 210 kg</w:t>
            </w:r>
          </w:p>
        </w:tc>
        <w:tc>
          <w:tcPr>
            <w:tcW w:type="dxa" w:w="4314"/>
            <w:tcBorders>
              <w:top w:val="nil" w:sz="6" w:color="C7D6E5"/>
              <w:bottom w:val="single" w:sz="6" w:color="C7D6E5"/>
              <w:left w:val="nil" w:sz="6" w:color="C7D6E5"/>
              <w:right w:val="nil" w:sz="6" w:color="C7D6E5"/>
            </w:tcBorders>
          </w:tcPr>
          <w:p>
            <w:pPr>
              <w:spacing w:after="40" w:before="40" w:line="252" w:lineRule="auto"/>
            </w:pPr>
            <w:r>
              <w:rPr>
                <w:sz w:val="18"/>
              </w:rPr>
              <w:t>Amber warning only; calculation still permitted.</w:t>
            </w:r>
          </w:p>
        </w:tc>
        <w:tc>
          <w:tcPr>
            <w:tcW w:type="dxa" w:w="1646"/>
            <w:tcBorders>
              <w:top w:val="nil" w:sz="6" w:color="C7D6E5"/>
              <w:bottom w:val="single" w:sz="6" w:color="C7D6E5"/>
              <w:left w:val="nil" w:sz="6" w:color="C7D6E5"/>
              <w:right w:val="nil" w:sz="6" w:color="C7D6E5"/>
            </w:tcBorders>
          </w:tcPr>
          <w:p>
            <w:pPr>
              <w:spacing w:after="40" w:before="40" w:line="252" w:lineRule="auto"/>
            </w:pPr>
            <w:r>
              <w:rPr>
                <w:sz w:val="18"/>
              </w:rPr>
              <w:t>Pass</w:t>
            </w:r>
          </w:p>
        </w:tc>
      </w:tr>
      <w:tr>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Rotate the device mid-wizard</w:t>
            </w:r>
          </w:p>
        </w:tc>
        <w:tc>
          <w:tcPr>
            <w:tcW w:type="dxa" w:w="4314"/>
            <w:tcBorders>
              <w:top w:val="nil" w:sz="6" w:color="C7D6E5"/>
              <w:bottom w:val="single" w:sz="6" w:color="C7D6E5"/>
              <w:left w:val="nil" w:sz="6" w:color="C7D6E5"/>
              <w:right w:val="nil" w:sz="6" w:color="C7D6E5"/>
            </w:tcBorders>
          </w:tcPr>
          <w:p>
            <w:pPr>
              <w:spacing w:after="40" w:before="40" w:line="252" w:lineRule="auto"/>
            </w:pPr>
            <w:r>
              <w:rPr>
                <w:sz w:val="18"/>
              </w:rPr>
              <w:t>All entered values retained.</w:t>
            </w:r>
          </w:p>
        </w:tc>
        <w:tc>
          <w:tcPr>
            <w:tcW w:type="dxa" w:w="1646"/>
            <w:tcBorders>
              <w:top w:val="nil" w:sz="6" w:color="C7D6E5"/>
              <w:bottom w:val="single" w:sz="6" w:color="C7D6E5"/>
              <w:left w:val="nil" w:sz="6" w:color="C7D6E5"/>
              <w:right w:val="nil" w:sz="6" w:color="C7D6E5"/>
            </w:tcBorders>
          </w:tcPr>
          <w:p>
            <w:pPr>
              <w:spacing w:after="40" w:before="40" w:line="252" w:lineRule="auto"/>
            </w:pPr>
            <w:r>
              <w:rPr>
                <w:sz w:val="18"/>
              </w:rPr>
              <w:t>Pass</w:t>
            </w:r>
          </w:p>
        </w:tc>
      </w:tr>
      <w:tr>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Navigate back from step 4 to step 1 and forward again</w:t>
            </w:r>
          </w:p>
        </w:tc>
        <w:tc>
          <w:tcPr>
            <w:tcW w:type="dxa" w:w="4314"/>
            <w:tcBorders>
              <w:top w:val="nil" w:sz="6" w:color="C7D6E5"/>
              <w:bottom w:val="single" w:sz="6" w:color="C7D6E5"/>
              <w:left w:val="nil" w:sz="6" w:color="C7D6E5"/>
              <w:right w:val="nil" w:sz="6" w:color="C7D6E5"/>
            </w:tcBorders>
          </w:tcPr>
          <w:p>
            <w:pPr>
              <w:spacing w:after="40" w:before="40" w:line="252" w:lineRule="auto"/>
            </w:pPr>
            <w:r>
              <w:rPr>
                <w:sz w:val="18"/>
              </w:rPr>
              <w:t>No data loss.</w:t>
            </w:r>
          </w:p>
        </w:tc>
        <w:tc>
          <w:tcPr>
            <w:tcW w:type="dxa" w:w="1646"/>
            <w:tcBorders>
              <w:top w:val="nil" w:sz="6" w:color="C7D6E5"/>
              <w:bottom w:val="single" w:sz="6" w:color="C7D6E5"/>
              <w:left w:val="nil" w:sz="6" w:color="C7D6E5"/>
              <w:right w:val="nil" w:sz="6" w:color="C7D6E5"/>
            </w:tcBorders>
          </w:tcPr>
          <w:p>
            <w:pPr>
              <w:spacing w:after="40" w:before="40" w:line="252" w:lineRule="auto"/>
            </w:pPr>
            <w:r>
              <w:rPr>
                <w:sz w:val="18"/>
              </w:rPr>
              <w:t>Pass</w:t>
            </w:r>
          </w:p>
        </w:tc>
      </w:tr>
      <w:tr>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Switch theme to Dark in Settings</w:t>
            </w:r>
          </w:p>
        </w:tc>
        <w:tc>
          <w:tcPr>
            <w:tcW w:type="dxa" w:w="4314"/>
            <w:tcBorders>
              <w:top w:val="nil" w:sz="6" w:color="C7D6E5"/>
              <w:bottom w:val="single" w:sz="6" w:color="C7D6E5"/>
              <w:left w:val="nil" w:sz="6" w:color="C7D6E5"/>
              <w:right w:val="nil" w:sz="6" w:color="C7D6E5"/>
            </w:tcBorders>
          </w:tcPr>
          <w:p>
            <w:pPr>
              <w:spacing w:after="40" w:before="40" w:line="252" w:lineRule="auto"/>
            </w:pPr>
            <w:r>
              <w:rPr>
                <w:sz w:val="18"/>
              </w:rPr>
              <w:t>Every screen re-themed; no unreadable text.</w:t>
            </w:r>
          </w:p>
        </w:tc>
        <w:tc>
          <w:tcPr>
            <w:tcW w:type="dxa" w:w="1646"/>
            <w:tcBorders>
              <w:top w:val="nil" w:sz="6" w:color="C7D6E5"/>
              <w:bottom w:val="single" w:sz="6" w:color="C7D6E5"/>
              <w:left w:val="nil" w:sz="6" w:color="C7D6E5"/>
              <w:right w:val="nil" w:sz="6" w:color="C7D6E5"/>
            </w:tcBorders>
          </w:tcPr>
          <w:p>
            <w:pPr>
              <w:spacing w:after="40" w:before="40" w:line="252" w:lineRule="auto"/>
            </w:pPr>
            <w:r>
              <w:rPr>
                <w:sz w:val="18"/>
              </w:rPr>
              <w:t>Pass</w:t>
            </w:r>
          </w:p>
        </w:tc>
      </w:tr>
      <w:tr>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Sign out</w:t>
            </w:r>
          </w:p>
        </w:tc>
        <w:tc>
          <w:tcPr>
            <w:tcW w:type="dxa" w:w="4314"/>
            <w:tcBorders>
              <w:top w:val="nil" w:sz="6" w:color="C7D6E5"/>
              <w:bottom w:val="single" w:sz="6" w:color="C7D6E5"/>
              <w:left w:val="nil" w:sz="6" w:color="C7D6E5"/>
              <w:right w:val="nil" w:sz="6" w:color="C7D6E5"/>
            </w:tcBorders>
          </w:tcPr>
          <w:p>
            <w:pPr>
              <w:spacing w:after="40" w:before="40" w:line="252" w:lineRule="auto"/>
            </w:pPr>
            <w:r>
              <w:rPr>
                <w:sz w:val="18"/>
              </w:rPr>
              <w:t>Session cleared; login screen shown; history no longer populated.</w:t>
            </w:r>
          </w:p>
        </w:tc>
        <w:tc>
          <w:tcPr>
            <w:tcW w:type="dxa" w:w="1646"/>
            <w:tcBorders>
              <w:top w:val="nil" w:sz="6" w:color="C7D6E5"/>
              <w:bottom w:val="single" w:sz="6" w:color="C7D6E5"/>
              <w:left w:val="nil" w:sz="6" w:color="C7D6E5"/>
              <w:right w:val="nil" w:sz="6" w:color="C7D6E5"/>
            </w:tcBorders>
          </w:tcPr>
          <w:p>
            <w:pPr>
              <w:spacing w:after="40" w:before="40" w:line="252" w:lineRule="auto"/>
            </w:pPr>
            <w:r>
              <w:rPr>
                <w:sz w:val="18"/>
              </w:rPr>
              <w:t>Pass</w:t>
            </w:r>
          </w:p>
        </w:tc>
      </w:tr>
      <w:tr>
        <w:tc>
          <w:tcPr>
            <w:tcW w:type="dxa" w:w="3065"/>
            <w:tcBorders>
              <w:top w:val="nil" w:sz="6" w:color="C7D6E5"/>
              <w:bottom w:val="single" w:sz="6" w:color="C7D6E5"/>
              <w:left w:val="nil" w:sz="6" w:color="C7D6E5"/>
              <w:right w:val="nil" w:sz="6" w:color="C7D6E5"/>
            </w:tcBorders>
          </w:tcPr>
          <w:p>
            <w:pPr>
              <w:spacing w:after="40" w:before="40" w:line="252" w:lineRule="auto"/>
            </w:pPr>
            <w:r>
              <w:rPr>
                <w:sz w:val="18"/>
              </w:rPr>
              <w:t>Run a calculation with aeroplane mode enabled</w:t>
            </w:r>
          </w:p>
        </w:tc>
        <w:tc>
          <w:tcPr>
            <w:tcW w:type="dxa" w:w="4314"/>
            <w:tcBorders>
              <w:top w:val="nil" w:sz="6" w:color="C7D6E5"/>
              <w:bottom w:val="single" w:sz="6" w:color="C7D6E5"/>
              <w:left w:val="nil" w:sz="6" w:color="C7D6E5"/>
              <w:right w:val="nil" w:sz="6" w:color="C7D6E5"/>
            </w:tcBorders>
          </w:tcPr>
          <w:p>
            <w:pPr>
              <w:spacing w:after="40" w:before="40" w:line="252" w:lineRule="auto"/>
            </w:pPr>
            <w:r>
              <w:rPr>
                <w:sz w:val="18"/>
              </w:rPr>
              <w:t>Result displayed normally; the case does not appear in history.</w:t>
            </w:r>
          </w:p>
        </w:tc>
        <w:tc>
          <w:tcPr>
            <w:tcW w:type="dxa" w:w="1646"/>
            <w:tcBorders>
              <w:top w:val="nil" w:sz="6" w:color="C7D6E5"/>
              <w:bottom w:val="single" w:sz="6" w:color="C7D6E5"/>
              <w:left w:val="nil" w:sz="6" w:color="C7D6E5"/>
              <w:right w:val="nil" w:sz="6" w:color="C7D6E5"/>
            </w:tcBorders>
          </w:tcPr>
          <w:p>
            <w:pPr>
              <w:spacing w:after="40" w:before="40" w:line="252" w:lineRule="auto"/>
            </w:pPr>
            <w:r>
              <w:rPr>
                <w:sz w:val="18"/>
              </w:rPr>
              <w:t>Pass</w:t>
            </w:r>
          </w:p>
        </w:tc>
      </w:tr>
    </w:tbl>
    <w:p>
      <w:pPr>
        <w:spacing w:after="120"/>
      </w:pPr>
    </w:p>
    <w:p>
      <w:pPr>
        <w:pStyle w:val="Heading2"/>
      </w:pPr>
      <w:r>
        <w:t>18.4 A Known Defect in the Post-Dose Workflow</w:t>
      </w:r>
    </w:p>
    <w:p>
      <w:pPr>
        <w:spacing w:after="160"/>
      </w:pPr>
      <w:r>
        <w:t>One defect was identified during the preparation of the worked examples in Section 16.6 and is reported here rather than omitted.</w:t>
      </w:r>
    </w:p>
    <w:p>
      <w:pPr>
        <w:spacing w:after="160"/>
      </w:pPr>
      <w:r>
        <w:t xml:space="preserve">The one-compartment infusion model used by the Post-dose workflow has an upper bound. As the elimination rate constant tends to zero, the modelled concentration tends to </w:t>
      </w:r>
      <w:r>
        <w:rPr>
          <w:rFonts w:ascii="Consolas" w:hAnsi="Consolas"/>
          <w:sz w:val="19"/>
        </w:rPr>
        <w:t>Dose ÷ Vd_population</w:t>
      </w:r>
      <w:r>
        <w:t xml:space="preserve">. When the </w:t>
      </w:r>
      <w:r>
        <w:rPr>
          <w:i/>
        </w:rPr>
        <w:t>measured</w:t>
      </w:r>
      <w:r>
        <w:t xml:space="preserve"> post-dose concentration exceeds that ceiling, no positive root exists. The Newton–Raphson loop then drives the estimate downward until </w:t>
      </w:r>
      <w:r>
        <w:rPr>
          <w:rFonts w:ascii="Consolas" w:hAnsi="Consolas"/>
          <w:sz w:val="19"/>
        </w:rPr>
        <w:t>coerceAtLeast(1e-6)</w:t>
      </w:r>
      <w:r>
        <w:t xml:space="preserve"> clamps it; two successive iterations compare equal, the loop sets its </w:t>
      </w:r>
      <w:r>
        <w:rPr>
          <w:rFonts w:ascii="Consolas" w:hAnsi="Consolas"/>
          <w:sz w:val="19"/>
        </w:rPr>
        <w:t>converged</w:t>
      </w:r>
      <w:r>
        <w:t xml:space="preserve"> flag and exits, and </w:t>
      </w:r>
      <w:r>
        <w:rPr>
          <w:rFonts w:ascii="Consolas" w:hAnsi="Consolas"/>
          <w:sz w:val="19"/>
        </w:rPr>
        <w:t>guardPositive</w:t>
      </w:r>
      <w:r>
        <w:t xml:space="preserve"> passes because 1e-6 is greater than zero. The engine therefore returns a </w:t>
      </w:r>
      <w:r>
        <w:rPr>
          <w:rFonts w:ascii="Consolas" w:hAnsi="Consolas"/>
          <w:sz w:val="19"/>
        </w:rPr>
        <w:t>Success</w:t>
      </w:r>
      <w:r>
        <w:t xml:space="preserve"> carrying a clearance of about 4.6 × 10⁻⁵ L/h and an AUC₂₄ of roughly 4 × 10⁷ mg·h/L.</w:t>
      </w:r>
    </w:p>
    <w:p>
      <w:pPr>
        <w:spacing w:after="160"/>
      </w:pPr>
      <w:r>
        <w:t xml:space="preserve">A concrete reproduction, using the existing test fixture: a 68 kg patient given 1000 mg over 1 hour with a measured concentration of 22.5 mg/L. The population volume of distribution is 47.6 L, so the model ceiling is 21.0 mg/L, which the measurement exceeds. The unit test </w:t>
      </w:r>
      <w:r>
        <w:rPr>
          <w:rFonts w:ascii="Consolas" w:hAnsi="Consolas"/>
          <w:sz w:val="19"/>
        </w:rPr>
        <w:t>post workflow handles plausible two-point-like data</w:t>
      </w:r>
      <w:r>
        <w:t xml:space="preserve"> uses exactly these values and passes, because it asserts only that the result is a </w:t>
      </w:r>
      <w:r>
        <w:rPr>
          <w:rFonts w:ascii="Consolas" w:hAnsi="Consolas"/>
          <w:sz w:val="19"/>
        </w:rPr>
        <w:t>Success</w:t>
      </w:r>
      <w:r>
        <w:t xml:space="preserve"> and never inspects the numbers — a useful illustration of how an assertion that is too weak can conceal a defect.</w:t>
      </w:r>
    </w:p>
    <w:p>
      <w:pPr>
        <w:spacing w:after="160"/>
      </w:pPr>
      <w:r>
        <w:t xml:space="preserve">The correction is small and is recorded as immediate future work: reject the input before iterating when the observed concentration is greater than or equal to </w:t>
      </w:r>
      <w:r>
        <w:rPr>
          <w:rFonts w:ascii="Consolas" w:hAnsi="Consolas"/>
          <w:sz w:val="19"/>
        </w:rPr>
        <w:t>dose ÷ vdL</w:t>
      </w:r>
      <w:r>
        <w:t>, with a message naming the ceiling; treat a clamped rate constant as non-convergence rather than success; and strengthen the affected test to assert on the magnitude of the returned parameters. The Pre and Pre + Post pathways are unaffected, as they do not use the iterative fit.</w:t>
      </w:r>
    </w:p>
    <w:p>
      <w:pPr>
        <w:pStyle w:val="Heading2"/>
      </w:pPr>
      <w:r>
        <w:t>18.5 Debugging Practice</w:t>
      </w:r>
    </w:p>
    <w:p>
      <w:pPr>
        <w:spacing w:after="160"/>
      </w:pPr>
      <w:r>
        <w:t xml:space="preserve">Failures in the network layers are logged rather than thrown. </w:t>
      </w:r>
      <w:r>
        <w:rPr>
          <w:rFonts w:ascii="Consolas" w:hAnsi="Consolas"/>
          <w:sz w:val="19"/>
        </w:rPr>
        <w:t>SupabaseRepository</w:t>
      </w:r>
      <w:r>
        <w:t xml:space="preserve"> logs under the tag </w:t>
      </w:r>
      <w:r>
        <w:rPr>
          <w:rFonts w:ascii="Consolas" w:hAnsi="Consolas"/>
          <w:sz w:val="19"/>
        </w:rPr>
        <w:t>SupabaseRepo</w:t>
      </w:r>
      <w:r>
        <w:t xml:space="preserve"> at warning level for both a failed save and a failed history load; </w:t>
      </w:r>
      <w:r>
        <w:rPr>
          <w:rFonts w:ascii="Consolas" w:hAnsi="Consolas"/>
          <w:sz w:val="19"/>
        </w:rPr>
        <w:t>ClerkAuthManager</w:t>
      </w:r>
      <w:r>
        <w:t xml:space="preserve"> logs the derived Frontend API host at debug level, which was the fastest way to diagnose a malformed publishable key during development; and </w:t>
      </w:r>
      <w:r>
        <w:rPr>
          <w:rFonts w:ascii="Consolas" w:hAnsi="Consolas"/>
          <w:sz w:val="19"/>
        </w:rPr>
        <w:t>MainActivity</w:t>
      </w:r>
      <w:r>
        <w:t xml:space="preserve"> logs the complete authentication gate state under the tag </w:t>
      </w:r>
      <w:r>
        <w:rPr>
          <w:rFonts w:ascii="Consolas" w:hAnsi="Consolas"/>
          <w:sz w:val="19"/>
        </w:rPr>
        <w:t>TdmAuth</w:t>
      </w:r>
      <w:r>
        <w:t xml:space="preserve"> on each recomposition, making it possible to see exactly which of the eight branches was taken.</w:t>
      </w:r>
    </w:p>
    <w:p>
      <w:pPr>
        <w:pStyle w:val="Heading1"/>
      </w:pPr>
      <w:r>
        <w:t>19. Repository Management and Version Control</w:t>
      </w:r>
    </w:p>
    <w:p>
      <w:pPr>
        <w:spacing w:after="160"/>
      </w:pPr>
      <w:r>
        <w:t xml:space="preserve">The repository is the primary submission artefact and is graded in its own right. It follows the folder structure prescribed in the assessment instructions, with the Android project under </w:t>
      </w:r>
      <w:r>
        <w:rPr>
          <w:rFonts w:ascii="Consolas" w:hAnsi="Consolas"/>
          <w:sz w:val="19"/>
        </w:rPr>
        <w:t>Kotlin_app/</w:t>
      </w:r>
      <w:r>
        <w:t xml:space="preserve">, the SQL migrations under </w:t>
      </w:r>
      <w:r>
        <w:rPr>
          <w:rFonts w:ascii="Consolas" w:hAnsi="Consolas"/>
          <w:sz w:val="19"/>
        </w:rPr>
        <w:t>Kotlin_app/supabase/</w:t>
      </w:r>
      <w:r>
        <w:t xml:space="preserve">, documentation under </w:t>
      </w:r>
      <w:r>
        <w:rPr>
          <w:rFonts w:ascii="Consolas" w:hAnsi="Consolas"/>
          <w:sz w:val="19"/>
        </w:rPr>
        <w:t>docs/</w:t>
      </w:r>
      <w:r>
        <w:t xml:space="preserve">, the release APK location under </w:t>
      </w:r>
      <w:r>
        <w:rPr>
          <w:rFonts w:ascii="Consolas" w:hAnsi="Consolas"/>
          <w:sz w:val="19"/>
        </w:rPr>
        <w:t>Kotlin_app/apk/</w:t>
      </w:r>
      <w:r>
        <w:t xml:space="preserve">, and the React landing page under </w:t>
      </w:r>
      <w:r>
        <w:rPr>
          <w:rFonts w:ascii="Consolas" w:hAnsi="Consolas"/>
          <w:sz w:val="19"/>
        </w:rPr>
        <w:t>landingPage/</w:t>
      </w:r>
      <w:r>
        <w:t xml:space="preserve">. The root </w:t>
      </w:r>
      <w:r>
        <w:rPr>
          <w:rFonts w:ascii="Consolas" w:hAnsi="Consolas"/>
          <w:sz w:val="19"/>
        </w:rPr>
        <w:t>README.md</w:t>
      </w:r>
      <w:r>
        <w:t xml:space="preserve"> serves as the project's landing page and carries the thirteen sections the instructions require, in the required order.</w:t>
      </w:r>
    </w:p>
    <w:p>
      <w:pPr>
        <w:spacing w:after="160"/>
      </w:pPr>
      <w:r>
        <w:rPr>
          <w:rFonts w:ascii="Consolas" w:hAnsi="Consolas"/>
          <w:sz w:val="19"/>
        </w:rPr>
        <w:t>.gitignore</w:t>
      </w:r>
      <w:r>
        <w:t xml:space="preserve"> excludes </w:t>
      </w:r>
      <w:r>
        <w:rPr>
          <w:rFonts w:ascii="Consolas" w:hAnsi="Consolas"/>
          <w:sz w:val="19"/>
        </w:rPr>
        <w:t>local.properties</w:t>
      </w:r>
      <w:r>
        <w:t xml:space="preserve">, build output and IDE state, so no credential and no generated artefact enters version history. Commits are scoped to a single logical change and use a conventional prefix — </w:t>
      </w:r>
      <w:r>
        <w:rPr>
          <w:rFonts w:ascii="Consolas" w:hAnsi="Consolas"/>
          <w:sz w:val="19"/>
        </w:rPr>
        <w:t>feat:</w:t>
      </w:r>
      <w:r>
        <w:t xml:space="preserve">, </w:t>
      </w:r>
      <w:r>
        <w:rPr>
          <w:rFonts w:ascii="Consolas" w:hAnsi="Consolas"/>
          <w:sz w:val="19"/>
        </w:rPr>
        <w:t>fix:</w:t>
      </w:r>
      <w:r>
        <w:t xml:space="preserve">, </w:t>
      </w:r>
      <w:r>
        <w:rPr>
          <w:rFonts w:ascii="Consolas" w:hAnsi="Consolas"/>
          <w:sz w:val="19"/>
        </w:rPr>
        <w:t>test:</w:t>
      </w:r>
      <w:r>
        <w:t xml:space="preserve">, </w:t>
      </w:r>
      <w:r>
        <w:rPr>
          <w:rFonts w:ascii="Consolas" w:hAnsi="Consolas"/>
          <w:sz w:val="19"/>
        </w:rPr>
        <w:t>docs:</w:t>
      </w:r>
      <w:r>
        <w:t xml:space="preserve"> — so that the history reads as a development narrative rather than a series of snapshots.</w:t>
      </w:r>
    </w:p>
    <w:p>
      <w:pPr>
        <w:spacing w:after="160"/>
      </w:pPr>
      <w:r>
        <w:t>One point should be made honestly for the assessor's benefit, since the rubric awards ten per cent for version control and evaluates individual contribution through commit history. At the time this report was generated the repository's commit history was authored under a single Git identity. Distributing authorship across the three group members — by each member committing under their own configured Git identity, or by using co-authorship trailers for pair-programmed work — is a prerequisite for that criterion to be assessed fairly and should be addressed before submission.</w:t>
      </w:r>
    </w:p>
    <w:p>
      <w:pPr>
        <w:pStyle w:val="Heading1"/>
      </w:pPr>
      <w:r>
        <w:t>20. Responsible Use of Artificial Intelligence</w:t>
      </w:r>
    </w:p>
    <w:p>
      <w:pPr>
        <w:spacing w:after="160"/>
      </w:pPr>
      <w:r>
        <w:t xml:space="preserve">Generative artificial intelligence was used during this project as a learning and productivity aid, in the manner the assessment instructions permit. Its use is declared here and logged in </w:t>
      </w:r>
      <w:r>
        <w:rPr>
          <w:rFonts w:ascii="Consolas" w:hAnsi="Consolas"/>
          <w:sz w:val="19"/>
        </w:rPr>
        <w:t>ai/AI_Usage_Log</w:t>
      </w:r>
      <w:r>
        <w:t>.</w:t>
      </w:r>
    </w:p>
    <w:p>
      <w:pPr>
        <w:spacing w:before="240" w:after="0"/>
        <w:keepNext w:val="true"/>
      </w:pPr>
      <w:r>
        <w:rPr>
          <w:b/>
          <w:sz w:val="21"/>
        </w:rPr>
        <w:t>Table 18</w:t>
      </w:r>
    </w:p>
    <w:p>
      <w:pPr>
        <w:spacing w:after="100"/>
        <w:keepNext w:val="true"/>
      </w:pPr>
      <w:r>
        <w:rPr>
          <w:i/>
          <w:sz w:val="21"/>
        </w:rPr>
        <w:t>Declared AI usage</w:t>
      </w:r>
    </w:p>
    <w:tbl>
      <w:tblPr>
        <w:tblStyle w:val="TableGrid"/>
        <w:tblW w:type="auto" w:w="0"/>
        <w:jc w:val="center"/>
        <w:tblLayout w:type="fixed"/>
        <w:tblLook w:firstColumn="1" w:firstRow="1" w:lastColumn="0" w:lastRow="0" w:noHBand="0" w:noVBand="1" w:val="04A0"/>
        <w:tblLayout w:type="fixed"/>
      </w:tblPr>
      <w:tblGrid>
        <w:gridCol w:w="3009"/>
        <w:gridCol w:w="3009"/>
        <w:gridCol w:w="3009"/>
      </w:tblGrid>
      <w:tr>
        <w:trPr>
          <w:tblHeader w:val="true"/>
        </w:trPr>
        <w:tc>
          <w:tcPr>
            <w:tcW w:type="dxa" w:w="1930"/>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Task</w:t>
            </w:r>
          </w:p>
        </w:tc>
        <w:tc>
          <w:tcPr>
            <w:tcW w:type="dxa" w:w="3633"/>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How AI was used</w:t>
            </w:r>
          </w:p>
        </w:tc>
        <w:tc>
          <w:tcPr>
            <w:tcW w:type="dxa" w:w="3463"/>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How the output was treated</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Learning Android APIs</w:t>
            </w:r>
          </w:p>
        </w:tc>
        <w:tc>
          <w:tcPr>
            <w:tcW w:type="dxa" w:w="3633"/>
            <w:tcBorders>
              <w:top w:val="nil" w:sz="6" w:color="C7D6E5"/>
              <w:bottom w:val="single" w:sz="6" w:color="C7D6E5"/>
              <w:left w:val="nil" w:sz="6" w:color="C7D6E5"/>
              <w:right w:val="nil" w:sz="6" w:color="C7D6E5"/>
            </w:tcBorders>
          </w:tcPr>
          <w:p>
            <w:pPr>
              <w:spacing w:after="40" w:before="40" w:line="252" w:lineRule="auto"/>
            </w:pPr>
            <w:r>
              <w:rPr>
                <w:sz w:val="18"/>
              </w:rPr>
              <w:t xml:space="preserve">Explaining Compose state hoisting, </w:t>
            </w:r>
            <w:r>
              <w:rPr>
                <w:rFonts w:ascii="Consolas" w:hAnsi="Consolas"/>
                <w:sz w:val="17"/>
              </w:rPr>
              <w:t>LaunchedEffect</w:t>
            </w:r>
            <w:r>
              <w:rPr>
                <w:sz w:val="18"/>
              </w:rPr>
              <w:t xml:space="preserve"> keys and </w:t>
            </w:r>
            <w:r>
              <w:rPr>
                <w:rFonts w:ascii="Consolas" w:hAnsi="Consolas"/>
                <w:sz w:val="17"/>
              </w:rPr>
              <w:t>StateFlow</w:t>
            </w:r>
            <w:r>
              <w:rPr>
                <w:sz w:val="18"/>
              </w:rPr>
              <w:t xml:space="preserve"> collection.</w:t>
            </w:r>
          </w:p>
        </w:tc>
        <w:tc>
          <w:tcPr>
            <w:tcW w:type="dxa" w:w="3463"/>
            <w:tcBorders>
              <w:top w:val="nil" w:sz="6" w:color="C7D6E5"/>
              <w:bottom w:val="single" w:sz="6" w:color="C7D6E5"/>
              <w:left w:val="nil" w:sz="6" w:color="C7D6E5"/>
              <w:right w:val="nil" w:sz="6" w:color="C7D6E5"/>
            </w:tcBorders>
          </w:tcPr>
          <w:p>
            <w:pPr>
              <w:spacing w:after="40" w:before="40" w:line="252" w:lineRule="auto"/>
            </w:pPr>
            <w:r>
              <w:rPr>
                <w:sz w:val="18"/>
              </w:rPr>
              <w:t>Accepted as explanation; the resulting code was written and reviewed by the team.</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User interface generation</w:t>
            </w:r>
          </w:p>
        </w:tc>
        <w:tc>
          <w:tcPr>
            <w:tcW w:type="dxa" w:w="3633"/>
            <w:tcBorders>
              <w:top w:val="nil" w:sz="6" w:color="C7D6E5"/>
              <w:bottom w:val="single" w:sz="6" w:color="C7D6E5"/>
              <w:left w:val="nil" w:sz="6" w:color="C7D6E5"/>
              <w:right w:val="nil" w:sz="6" w:color="C7D6E5"/>
            </w:tcBorders>
          </w:tcPr>
          <w:p>
            <w:pPr>
              <w:spacing w:after="40" w:before="40" w:line="252" w:lineRule="auto"/>
            </w:pPr>
            <w:r>
              <w:rPr>
                <w:sz w:val="18"/>
              </w:rPr>
              <w:t>Drafting Composable layouts from the agreed design reference.</w:t>
            </w:r>
          </w:p>
        </w:tc>
        <w:tc>
          <w:tcPr>
            <w:tcW w:type="dxa" w:w="3463"/>
            <w:tcBorders>
              <w:top w:val="nil" w:sz="6" w:color="C7D6E5"/>
              <w:bottom w:val="single" w:sz="6" w:color="C7D6E5"/>
              <w:left w:val="nil" w:sz="6" w:color="C7D6E5"/>
              <w:right w:val="nil" w:sz="6" w:color="C7D6E5"/>
            </w:tcBorders>
          </w:tcPr>
          <w:p>
            <w:pPr>
              <w:spacing w:after="40" w:before="40" w:line="252" w:lineRule="auto"/>
            </w:pPr>
            <w:r>
              <w:rPr>
                <w:sz w:val="18"/>
              </w:rPr>
              <w:t>Modified substantially — spacing, colour tokens and copy were reworked to match the project's own theme.</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Refactoring</w:t>
            </w:r>
          </w:p>
        </w:tc>
        <w:tc>
          <w:tcPr>
            <w:tcW w:type="dxa" w:w="3633"/>
            <w:tcBorders>
              <w:top w:val="nil" w:sz="6" w:color="C7D6E5"/>
              <w:bottom w:val="single" w:sz="6" w:color="C7D6E5"/>
              <w:left w:val="nil" w:sz="6" w:color="C7D6E5"/>
              <w:right w:val="nil" w:sz="6" w:color="C7D6E5"/>
            </w:tcBorders>
          </w:tcPr>
          <w:p>
            <w:pPr>
              <w:spacing w:after="40" w:before="40" w:line="252" w:lineRule="auto"/>
            </w:pPr>
            <w:r>
              <w:rPr>
                <w:sz w:val="18"/>
              </w:rPr>
              <w:t xml:space="preserve">Suggesting the extraction of </w:t>
            </w:r>
            <w:r>
              <w:rPr>
                <w:rFonts w:ascii="Consolas" w:hAnsi="Consolas"/>
                <w:sz w:val="17"/>
              </w:rPr>
              <w:t>HistoryEntry</w:t>
            </w:r>
            <w:r>
              <w:rPr>
                <w:sz w:val="18"/>
              </w:rPr>
              <w:t xml:space="preserve"> mapping into </w:t>
            </w:r>
            <w:r>
              <w:rPr>
                <w:rFonts w:ascii="Consolas" w:hAnsi="Consolas"/>
                <w:sz w:val="17"/>
              </w:rPr>
              <w:t>SupabaseModels.kt</w:t>
            </w:r>
            <w:r>
              <w:rPr>
                <w:sz w:val="18"/>
              </w:rPr>
              <w:t>.</w:t>
            </w:r>
          </w:p>
        </w:tc>
        <w:tc>
          <w:tcPr>
            <w:tcW w:type="dxa" w:w="3463"/>
            <w:tcBorders>
              <w:top w:val="nil" w:sz="6" w:color="C7D6E5"/>
              <w:bottom w:val="single" w:sz="6" w:color="C7D6E5"/>
              <w:left w:val="nil" w:sz="6" w:color="C7D6E5"/>
              <w:right w:val="nil" w:sz="6" w:color="C7D6E5"/>
            </w:tcBorders>
          </w:tcPr>
          <w:p>
            <w:pPr>
              <w:spacing w:after="40" w:before="40" w:line="252" w:lineRule="auto"/>
            </w:pPr>
            <w:r>
              <w:rPr>
                <w:sz w:val="18"/>
              </w:rPr>
              <w:t>Accepted after review; it removed duplication between two view models.</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Debugging</w:t>
            </w:r>
          </w:p>
        </w:tc>
        <w:tc>
          <w:tcPr>
            <w:tcW w:type="dxa" w:w="3633"/>
            <w:tcBorders>
              <w:top w:val="nil" w:sz="6" w:color="C7D6E5"/>
              <w:bottom w:val="single" w:sz="6" w:color="C7D6E5"/>
              <w:left w:val="nil" w:sz="6" w:color="C7D6E5"/>
              <w:right w:val="nil" w:sz="6" w:color="C7D6E5"/>
            </w:tcBorders>
          </w:tcPr>
          <w:p>
            <w:pPr>
              <w:spacing w:after="40" w:before="40" w:line="252" w:lineRule="auto"/>
            </w:pPr>
            <w:r>
              <w:rPr>
                <w:sz w:val="18"/>
              </w:rPr>
              <w:t xml:space="preserve">Diagnosing a Kotlin </w:t>
            </w:r>
            <w:r>
              <w:rPr>
                <w:rFonts w:ascii="Consolas" w:hAnsi="Consolas"/>
                <w:sz w:val="17"/>
              </w:rPr>
              <w:t>internal</w:t>
            </w:r>
            <w:r>
              <w:rPr>
                <w:sz w:val="18"/>
              </w:rPr>
              <w:t xml:space="preserve"> visibility error after a late refactor moved </w:t>
            </w:r>
            <w:r>
              <w:rPr>
                <w:rFonts w:ascii="Consolas" w:hAnsi="Consolas"/>
                <w:sz w:val="17"/>
              </w:rPr>
              <w:t>HistoryEntry</w:t>
            </w:r>
            <w:r>
              <w:rPr>
                <w:sz w:val="18"/>
              </w:rPr>
              <w:t xml:space="preserve"> into the UI package.</w:t>
            </w:r>
          </w:p>
        </w:tc>
        <w:tc>
          <w:tcPr>
            <w:tcW w:type="dxa" w:w="3463"/>
            <w:tcBorders>
              <w:top w:val="nil" w:sz="6" w:color="C7D6E5"/>
              <w:bottom w:val="single" w:sz="6" w:color="C7D6E5"/>
              <w:left w:val="nil" w:sz="6" w:color="C7D6E5"/>
              <w:right w:val="nil" w:sz="6" w:color="C7D6E5"/>
            </w:tcBorders>
          </w:tcPr>
          <w:p>
            <w:pPr>
              <w:spacing w:after="40" w:before="40" w:line="252" w:lineRule="auto"/>
            </w:pPr>
            <w:r>
              <w:rPr>
                <w:sz w:val="18"/>
              </w:rPr>
              <w:t xml:space="preserve">Accepted; the fix was to mark the affected view-model properties </w:t>
            </w:r>
            <w:r>
              <w:rPr>
                <w:rFonts w:ascii="Consolas" w:hAnsi="Consolas"/>
                <w:sz w:val="17"/>
              </w:rPr>
              <w:t>internal</w:t>
            </w:r>
            <w:r>
              <w:rPr>
                <w:sz w:val="18"/>
              </w:rPr>
              <w:t>.</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Clinical formulas</w:t>
            </w:r>
          </w:p>
        </w:tc>
        <w:tc>
          <w:tcPr>
            <w:tcW w:type="dxa" w:w="3633"/>
            <w:tcBorders>
              <w:top w:val="nil" w:sz="6" w:color="C7D6E5"/>
              <w:bottom w:val="single" w:sz="6" w:color="C7D6E5"/>
              <w:left w:val="nil" w:sz="6" w:color="C7D6E5"/>
              <w:right w:val="nil" w:sz="6" w:color="C7D6E5"/>
            </w:tcBorders>
          </w:tcPr>
          <w:p>
            <w:pPr>
              <w:spacing w:after="40" w:before="40" w:line="252" w:lineRule="auto"/>
            </w:pPr>
            <w:r>
              <w:rPr>
                <w:sz w:val="18"/>
              </w:rPr>
              <w:t>Not used.</w:t>
            </w:r>
          </w:p>
        </w:tc>
        <w:tc>
          <w:tcPr>
            <w:tcW w:type="dxa" w:w="3463"/>
            <w:tcBorders>
              <w:top w:val="nil" w:sz="6" w:color="C7D6E5"/>
              <w:bottom w:val="single" w:sz="6" w:color="C7D6E5"/>
              <w:left w:val="nil" w:sz="6" w:color="C7D6E5"/>
              <w:right w:val="nil" w:sz="6" w:color="C7D6E5"/>
            </w:tcBorders>
          </w:tcPr>
          <w:p>
            <w:pPr>
              <w:spacing w:after="40" w:before="40" w:line="252" w:lineRule="auto"/>
            </w:pPr>
            <w:r>
              <w:rPr>
                <w:sz w:val="18"/>
              </w:rPr>
              <w:t xml:space="preserve">Rejected as a source. Every equation and constant is taken from the cited literature and carries a source comment in </w:t>
            </w:r>
            <w:r>
              <w:rPr>
                <w:rFonts w:ascii="Consolas" w:hAnsi="Consolas"/>
                <w:sz w:val="17"/>
              </w:rPr>
              <w:t>VancoEngine.kt</w:t>
            </w:r>
            <w:r>
              <w:rPr>
                <w:sz w:val="18"/>
              </w:rPr>
              <w:t>, as PROJECT_RULES.md requires.</w:t>
            </w:r>
          </w:p>
        </w:tc>
      </w:tr>
      <w:tr>
        <w:tc>
          <w:tcPr>
            <w:tcW w:type="dxa" w:w="1930"/>
            <w:tcBorders>
              <w:top w:val="nil" w:sz="6" w:color="C7D6E5"/>
              <w:bottom w:val="single" w:sz="6" w:color="C7D6E5"/>
              <w:left w:val="nil" w:sz="6" w:color="C7D6E5"/>
              <w:right w:val="nil" w:sz="6" w:color="C7D6E5"/>
            </w:tcBorders>
          </w:tcPr>
          <w:p>
            <w:pPr>
              <w:spacing w:after="40" w:before="40" w:line="252" w:lineRule="auto"/>
            </w:pPr>
            <w:r>
              <w:rPr>
                <w:sz w:val="18"/>
              </w:rPr>
              <w:t>Documentation</w:t>
            </w:r>
          </w:p>
        </w:tc>
        <w:tc>
          <w:tcPr>
            <w:tcW w:type="dxa" w:w="3633"/>
            <w:tcBorders>
              <w:top w:val="nil" w:sz="6" w:color="C7D6E5"/>
              <w:bottom w:val="single" w:sz="6" w:color="C7D6E5"/>
              <w:left w:val="nil" w:sz="6" w:color="C7D6E5"/>
              <w:right w:val="nil" w:sz="6" w:color="C7D6E5"/>
            </w:tcBorders>
          </w:tcPr>
          <w:p>
            <w:pPr>
              <w:spacing w:after="40" w:before="40" w:line="252" w:lineRule="auto"/>
            </w:pPr>
            <w:r>
              <w:rPr>
                <w:sz w:val="18"/>
              </w:rPr>
              <w:t>Drafting this report and generating the figures from the source tree.</w:t>
            </w:r>
          </w:p>
        </w:tc>
        <w:tc>
          <w:tcPr>
            <w:tcW w:type="dxa" w:w="3463"/>
            <w:tcBorders>
              <w:top w:val="nil" w:sz="6" w:color="C7D6E5"/>
              <w:bottom w:val="single" w:sz="6" w:color="C7D6E5"/>
              <w:left w:val="nil" w:sz="6" w:color="C7D6E5"/>
              <w:right w:val="nil" w:sz="6" w:color="C7D6E5"/>
            </w:tcBorders>
          </w:tcPr>
          <w:p>
            <w:pPr>
              <w:spacing w:after="40" w:before="40" w:line="252" w:lineRule="auto"/>
            </w:pPr>
            <w:r>
              <w:rPr>
                <w:sz w:val="18"/>
              </w:rPr>
              <w:t>Reviewed line by line against the code; a defect the drafting process surfaced is reported in Section 18.4 rather than omitted.</w:t>
            </w:r>
          </w:p>
        </w:tc>
      </w:tr>
    </w:tbl>
    <w:p>
      <w:pPr>
        <w:spacing w:after="120"/>
      </w:pPr>
    </w:p>
    <w:p>
      <w:pPr>
        <w:spacing w:after="160"/>
      </w:pPr>
      <w:r>
        <w:t>The boundary the team applied was straightforward: AI could help with the Android platform, but not with clinical content. No pharmacokinetic equation, constant or target range in this project originates from a language model. Each is cited to published literature, is commented with its source in the engine, and remains subject to the lecturer's approval, as the case study requires.</w:t>
      </w:r>
    </w:p>
    <w:p>
      <w:pPr>
        <w:pStyle w:val="Heading1"/>
      </w:pPr>
      <w:r>
        <w:t>21. Limitations and Future Work</w:t>
      </w:r>
    </w:p>
    <w:p>
      <w:pPr>
        <w:pStyle w:val="Heading2"/>
      </w:pPr>
      <w:r>
        <w:t>21.1 Limitations</w:t>
      </w:r>
    </w:p>
    <w:p>
      <w:pPr>
        <w:spacing w:before="240" w:after="0"/>
        <w:keepNext w:val="true"/>
      </w:pPr>
      <w:r>
        <w:rPr>
          <w:b/>
          <w:sz w:val="21"/>
        </w:rPr>
        <w:t>Table 19</w:t>
      </w:r>
    </w:p>
    <w:p>
      <w:pPr>
        <w:spacing w:after="100"/>
        <w:keepNext w:val="true"/>
      </w:pPr>
      <w:r>
        <w:rPr>
          <w:i/>
          <w:sz w:val="21"/>
        </w:rPr>
        <w:t>Known limitations</w:t>
      </w:r>
    </w:p>
    <w:tbl>
      <w:tblPr>
        <w:tblStyle w:val="TableGrid"/>
        <w:tblW w:type="auto" w:w="0"/>
        <w:jc w:val="center"/>
        <w:tblLayout w:type="fixed"/>
        <w:tblLook w:firstColumn="1" w:firstRow="1" w:lastColumn="0" w:lastRow="0" w:noHBand="0" w:noVBand="1" w:val="04A0"/>
        <w:tblLayout w:type="fixed"/>
      </w:tblPr>
      <w:tblGrid>
        <w:gridCol w:w="3009"/>
        <w:gridCol w:w="3009"/>
        <w:gridCol w:w="3009"/>
      </w:tblGrid>
      <w:tr>
        <w:trPr>
          <w:tblHeader w:val="true"/>
        </w:trPr>
        <w:tc>
          <w:tcPr>
            <w:tcW w:type="dxa" w:w="1589"/>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Area</w:t>
            </w:r>
          </w:p>
        </w:tc>
        <w:tc>
          <w:tcPr>
            <w:tcW w:type="dxa" w:w="3746"/>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Limitation</w:t>
            </w:r>
          </w:p>
        </w:tc>
        <w:tc>
          <w:tcPr>
            <w:tcW w:type="dxa" w:w="3690"/>
            <w:shd w:val="clear" w:color="auto" w:fill="E3F0FF"/>
            <w:tcBorders>
              <w:top w:val="single" w:sz="6" w:color="C7D6E5"/>
              <w:bottom w:val="single" w:sz="6" w:color="C7D6E5"/>
              <w:left w:val="nil" w:sz="6" w:color="C7D6E5"/>
              <w:right w:val="nil" w:sz="6" w:color="C7D6E5"/>
            </w:tcBorders>
          </w:tcPr>
          <w:p>
            <w:pPr>
              <w:spacing w:after="40" w:before="40" w:line="252" w:lineRule="auto"/>
            </w:pPr>
            <w:r>
              <w:rPr>
                <w:b/>
                <w:color w:val="073A6B"/>
                <w:sz w:val="18"/>
              </w:rPr>
              <w:t>Consequence</w:t>
            </w:r>
          </w:p>
        </w:tc>
      </w:tr>
      <w:tr>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Clinical validity</w:t>
            </w:r>
          </w:p>
        </w:tc>
        <w:tc>
          <w:tcPr>
            <w:tcW w:type="dxa" w:w="3746"/>
            <w:tcBorders>
              <w:top w:val="nil" w:sz="6" w:color="C7D6E5"/>
              <w:bottom w:val="single" w:sz="6" w:color="C7D6E5"/>
              <w:left w:val="nil" w:sz="6" w:color="C7D6E5"/>
              <w:right w:val="nil" w:sz="6" w:color="C7D6E5"/>
            </w:tcBorders>
          </w:tcPr>
          <w:p>
            <w:pPr>
              <w:spacing w:after="40" w:before="40" w:line="252" w:lineRule="auto"/>
            </w:pPr>
            <w:r>
              <w:rPr>
                <w:sz w:val="18"/>
              </w:rPr>
              <w:t>TDM Insight is an academic prototype. Its equations and constants have not been clinically validated for use in patient care.</w:t>
            </w:r>
          </w:p>
        </w:tc>
        <w:tc>
          <w:tcPr>
            <w:tcW w:type="dxa" w:w="3690"/>
            <w:tcBorders>
              <w:top w:val="nil" w:sz="6" w:color="C7D6E5"/>
              <w:bottom w:val="single" w:sz="6" w:color="C7D6E5"/>
              <w:left w:val="nil" w:sz="6" w:color="C7D6E5"/>
              <w:right w:val="nil" w:sz="6" w:color="C7D6E5"/>
            </w:tcBorders>
          </w:tcPr>
          <w:p>
            <w:pPr>
              <w:spacing w:after="40" w:before="40" w:line="252" w:lineRule="auto"/>
            </w:pPr>
            <w:r>
              <w:rPr>
                <w:sz w:val="18"/>
              </w:rPr>
              <w:t>It must never be used for a real prescribing decision. The restriction is surfaced on first launch, on the input screens and in the About screen.</w:t>
            </w:r>
          </w:p>
        </w:tc>
      </w:tr>
      <w:tr>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Post-dose workflow</w:t>
            </w:r>
          </w:p>
        </w:tc>
        <w:tc>
          <w:tcPr>
            <w:tcW w:type="dxa" w:w="3746"/>
            <w:tcBorders>
              <w:top w:val="nil" w:sz="6" w:color="C7D6E5"/>
              <w:bottom w:val="single" w:sz="6" w:color="C7D6E5"/>
              <w:left w:val="nil" w:sz="6" w:color="C7D6E5"/>
              <w:right w:val="nil" w:sz="6" w:color="C7D6E5"/>
            </w:tcBorders>
          </w:tcPr>
          <w:p>
            <w:pPr>
              <w:spacing w:after="40" w:before="40" w:line="252" w:lineRule="auto"/>
            </w:pPr>
            <w:r>
              <w:rPr>
                <w:sz w:val="18"/>
              </w:rPr>
              <w:t xml:space="preserve">The Newton–Raphson fit returns a degenerate result when the measured concentration exceeds </w:t>
            </w:r>
            <w:r>
              <w:rPr>
                <w:rFonts w:ascii="Consolas" w:hAnsi="Consolas"/>
                <w:sz w:val="17"/>
              </w:rPr>
              <w:t>Dose ÷ Vd_population</w:t>
            </w:r>
            <w:r>
              <w:rPr>
                <w:sz w:val="18"/>
              </w:rPr>
              <w:t xml:space="preserve"> (Section 18.4).</w:t>
            </w:r>
          </w:p>
        </w:tc>
        <w:tc>
          <w:tcPr>
            <w:tcW w:type="dxa" w:w="3690"/>
            <w:tcBorders>
              <w:top w:val="nil" w:sz="6" w:color="C7D6E5"/>
              <w:bottom w:val="single" w:sz="6" w:color="C7D6E5"/>
              <w:left w:val="nil" w:sz="6" w:color="C7D6E5"/>
              <w:right w:val="nil" w:sz="6" w:color="C7D6E5"/>
            </w:tcBorders>
          </w:tcPr>
          <w:p>
            <w:pPr>
              <w:spacing w:after="40" w:before="40" w:line="252" w:lineRule="auto"/>
            </w:pPr>
            <w:r>
              <w:rPr>
                <w:sz w:val="18"/>
              </w:rPr>
              <w:t>A physically impossible AUC₂₄ can be displayed for that class of input. The Pre and Pre + Post pathways are unaffected.</w:t>
            </w:r>
          </w:p>
        </w:tc>
      </w:tr>
      <w:tr>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Database access control</w:t>
            </w:r>
          </w:p>
        </w:tc>
        <w:tc>
          <w:tcPr>
            <w:tcW w:type="dxa" w:w="3746"/>
            <w:tcBorders>
              <w:top w:val="nil" w:sz="6" w:color="C7D6E5"/>
              <w:bottom w:val="single" w:sz="6" w:color="C7D6E5"/>
              <w:left w:val="nil" w:sz="6" w:color="C7D6E5"/>
              <w:right w:val="nil" w:sz="6" w:color="C7D6E5"/>
            </w:tcBorders>
          </w:tcPr>
          <w:p>
            <w:pPr>
              <w:spacing w:after="40" w:before="40" w:line="252" w:lineRule="auto"/>
            </w:pPr>
            <w:r>
              <w:rPr>
                <w:sz w:val="18"/>
              </w:rPr>
              <w:t>Per-user Row Level Security policies are written but commented out; the permissive fallback policies are active.</w:t>
            </w:r>
          </w:p>
        </w:tc>
        <w:tc>
          <w:tcPr>
            <w:tcW w:type="dxa" w:w="3690"/>
            <w:tcBorders>
              <w:top w:val="nil" w:sz="6" w:color="C7D6E5"/>
              <w:bottom w:val="single" w:sz="6" w:color="C7D6E5"/>
              <w:left w:val="nil" w:sz="6" w:color="C7D6E5"/>
              <w:right w:val="nil" w:sz="6" w:color="C7D6E5"/>
            </w:tcBorders>
          </w:tcPr>
          <w:p>
            <w:pPr>
              <w:spacing w:after="40" w:before="40" w:line="252" w:lineRule="auto"/>
            </w:pPr>
            <w:r>
              <w:rPr>
                <w:sz w:val="18"/>
              </w:rPr>
              <w:t>Isolation between users is enforced by the client query, not by PostgreSQL.</w:t>
            </w:r>
          </w:p>
        </w:tc>
      </w:tr>
      <w:tr>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Model scope</w:t>
            </w:r>
          </w:p>
        </w:tc>
        <w:tc>
          <w:tcPr>
            <w:tcW w:type="dxa" w:w="3746"/>
            <w:tcBorders>
              <w:top w:val="nil" w:sz="6" w:color="C7D6E5"/>
              <w:bottom w:val="single" w:sz="6" w:color="C7D6E5"/>
              <w:left w:val="nil" w:sz="6" w:color="C7D6E5"/>
              <w:right w:val="nil" w:sz="6" w:color="C7D6E5"/>
            </w:tcBorders>
          </w:tcPr>
          <w:p>
            <w:pPr>
              <w:spacing w:after="40" w:before="40" w:line="252" w:lineRule="auto"/>
            </w:pPr>
            <w:r>
              <w:rPr>
                <w:sz w:val="18"/>
              </w:rPr>
              <w:t>A one-compartment model with a fixed 0.7 L/kg population prior is used for the single-sample pathways.</w:t>
            </w:r>
          </w:p>
        </w:tc>
        <w:tc>
          <w:tcPr>
            <w:tcW w:type="dxa" w:w="3690"/>
            <w:tcBorders>
              <w:top w:val="nil" w:sz="6" w:color="C7D6E5"/>
              <w:bottom w:val="single" w:sz="6" w:color="C7D6E5"/>
              <w:left w:val="nil" w:sz="6" w:color="C7D6E5"/>
              <w:right w:val="nil" w:sz="6" w:color="C7D6E5"/>
            </w:tcBorders>
          </w:tcPr>
          <w:p>
            <w:pPr>
              <w:spacing w:after="40" w:before="40" w:line="252" w:lineRule="auto"/>
            </w:pPr>
            <w:r>
              <w:rPr>
                <w:sz w:val="18"/>
              </w:rPr>
              <w:t>Patients whose distribution volume departs markedly from the prior are less accurately described by the Pre and Post workflows.</w:t>
            </w:r>
          </w:p>
        </w:tc>
      </w:tr>
      <w:tr>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Height</w:t>
            </w:r>
          </w:p>
        </w:tc>
        <w:tc>
          <w:tcPr>
            <w:tcW w:type="dxa" w:w="3746"/>
            <w:tcBorders>
              <w:top w:val="nil" w:sz="6" w:color="C7D6E5"/>
              <w:bottom w:val="single" w:sz="6" w:color="C7D6E5"/>
              <w:left w:val="nil" w:sz="6" w:color="C7D6E5"/>
              <w:right w:val="nil" w:sz="6" w:color="C7D6E5"/>
            </w:tcBorders>
          </w:tcPr>
          <w:p>
            <w:pPr>
              <w:spacing w:after="40" w:before="40" w:line="252" w:lineRule="auto"/>
            </w:pPr>
            <w:r>
              <w:rPr>
                <w:sz w:val="18"/>
              </w:rPr>
              <w:t>Height is collected on the patient screen but is used by no equation and is not persisted.</w:t>
            </w:r>
          </w:p>
        </w:tc>
        <w:tc>
          <w:tcPr>
            <w:tcW w:type="dxa" w:w="3690"/>
            <w:tcBorders>
              <w:top w:val="nil" w:sz="6" w:color="C7D6E5"/>
              <w:bottom w:val="single" w:sz="6" w:color="C7D6E5"/>
              <w:left w:val="nil" w:sz="6" w:color="C7D6E5"/>
              <w:right w:val="nil" w:sz="6" w:color="C7D6E5"/>
            </w:tcBorders>
          </w:tcPr>
          <w:p>
            <w:pPr>
              <w:spacing w:after="40" w:before="40" w:line="252" w:lineRule="auto"/>
            </w:pPr>
            <w:r>
              <w:rPr>
                <w:sz w:val="18"/>
              </w:rPr>
              <w:t>The field is currently inert; it exists for a future ideal- or adjusted-body-weight calculation.</w:t>
            </w:r>
          </w:p>
        </w:tc>
      </w:tr>
      <w:tr>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Instrumented tests</w:t>
            </w:r>
          </w:p>
        </w:tc>
        <w:tc>
          <w:tcPr>
            <w:tcW w:type="dxa" w:w="3746"/>
            <w:tcBorders>
              <w:top w:val="nil" w:sz="6" w:color="C7D6E5"/>
              <w:bottom w:val="single" w:sz="6" w:color="C7D6E5"/>
              <w:left w:val="nil" w:sz="6" w:color="C7D6E5"/>
              <w:right w:val="nil" w:sz="6" w:color="C7D6E5"/>
            </w:tcBorders>
          </w:tcPr>
          <w:p>
            <w:pPr>
              <w:spacing w:after="40" w:before="40" w:line="252" w:lineRule="auto"/>
            </w:pPr>
            <w:r>
              <w:rPr>
                <w:sz w:val="18"/>
              </w:rPr>
              <w:t>No Compose UI tests are written, although the dependencies are declared.</w:t>
            </w:r>
          </w:p>
        </w:tc>
        <w:tc>
          <w:tcPr>
            <w:tcW w:type="dxa" w:w="3690"/>
            <w:tcBorders>
              <w:top w:val="nil" w:sz="6" w:color="C7D6E5"/>
              <w:bottom w:val="single" w:sz="6" w:color="C7D6E5"/>
              <w:left w:val="nil" w:sz="6" w:color="C7D6E5"/>
              <w:right w:val="nil" w:sz="6" w:color="C7D6E5"/>
            </w:tcBorders>
          </w:tcPr>
          <w:p>
            <w:pPr>
              <w:spacing w:after="40" w:before="40" w:line="252" w:lineRule="auto"/>
            </w:pPr>
            <w:r>
              <w:rPr>
                <w:sz w:val="18"/>
              </w:rPr>
              <w:t>Interface regressions would be caught only by manual testing.</w:t>
            </w:r>
          </w:p>
        </w:tc>
      </w:tr>
      <w:tr>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Interface placeholders</w:t>
            </w:r>
          </w:p>
        </w:tc>
        <w:tc>
          <w:tcPr>
            <w:tcW w:type="dxa" w:w="3746"/>
            <w:tcBorders>
              <w:top w:val="nil" w:sz="6" w:color="C7D6E5"/>
              <w:bottom w:val="single" w:sz="6" w:color="C7D6E5"/>
              <w:left w:val="nil" w:sz="6" w:color="C7D6E5"/>
              <w:right w:val="nil" w:sz="6" w:color="C7D6E5"/>
            </w:tcBorders>
          </w:tcPr>
          <w:p>
            <w:pPr>
              <w:spacing w:after="40" w:before="40" w:line="252" w:lineRule="auto"/>
            </w:pPr>
            <w:r>
              <w:rPr>
                <w:sz w:val="18"/>
              </w:rPr>
              <w:t>Three controls are inert (Section 17.5).</w:t>
            </w:r>
          </w:p>
        </w:tc>
        <w:tc>
          <w:tcPr>
            <w:tcW w:type="dxa" w:w="3690"/>
            <w:tcBorders>
              <w:top w:val="nil" w:sz="6" w:color="C7D6E5"/>
              <w:bottom w:val="single" w:sz="6" w:color="C7D6E5"/>
              <w:left w:val="nil" w:sz="6" w:color="C7D6E5"/>
              <w:right w:val="nil" w:sz="6" w:color="C7D6E5"/>
            </w:tcBorders>
          </w:tcPr>
          <w:p>
            <w:pPr>
              <w:spacing w:after="40" w:before="40" w:line="252" w:lineRule="auto"/>
            </w:pPr>
            <w:r>
              <w:rPr>
                <w:sz w:val="18"/>
              </w:rPr>
              <w:t>A user may expect functionality that is not present.</w:t>
            </w:r>
          </w:p>
        </w:tc>
      </w:tr>
      <w:tr>
        <w:tc>
          <w:tcPr>
            <w:tcW w:type="dxa" w:w="1589"/>
            <w:tcBorders>
              <w:top w:val="nil" w:sz="6" w:color="C7D6E5"/>
              <w:bottom w:val="single" w:sz="6" w:color="C7D6E5"/>
              <w:left w:val="nil" w:sz="6" w:color="C7D6E5"/>
              <w:right w:val="nil" w:sz="6" w:color="C7D6E5"/>
            </w:tcBorders>
          </w:tcPr>
          <w:p>
            <w:pPr>
              <w:spacing w:after="40" w:before="40" w:line="252" w:lineRule="auto"/>
            </w:pPr>
            <w:r>
              <w:rPr>
                <w:sz w:val="18"/>
              </w:rPr>
              <w:t>Verdict enumeration</w:t>
            </w:r>
          </w:p>
        </w:tc>
        <w:tc>
          <w:tcPr>
            <w:tcW w:type="dxa" w:w="3746"/>
            <w:tcBorders>
              <w:top w:val="nil" w:sz="6" w:color="C7D6E5"/>
              <w:bottom w:val="single" w:sz="6" w:color="C7D6E5"/>
              <w:left w:val="nil" w:sz="6" w:color="C7D6E5"/>
              <w:right w:val="nil" w:sz="6" w:color="C7D6E5"/>
            </w:tcBorders>
          </w:tcPr>
          <w:p>
            <w:pPr>
              <w:spacing w:after="40" w:before="40" w:line="252" w:lineRule="auto"/>
            </w:pPr>
            <w:r>
              <w:rPr>
                <w:rFonts w:ascii="Consolas" w:hAnsi="Consolas"/>
                <w:sz w:val="17"/>
              </w:rPr>
              <w:t>Auc24Verdict</w:t>
            </w:r>
            <w:r>
              <w:rPr>
                <w:sz w:val="18"/>
              </w:rPr>
              <w:t xml:space="preserve"> is declared but unused; the Results screen derives the verdict inline.</w:t>
            </w:r>
          </w:p>
        </w:tc>
        <w:tc>
          <w:tcPr>
            <w:tcW w:type="dxa" w:w="3690"/>
            <w:tcBorders>
              <w:top w:val="nil" w:sz="6" w:color="C7D6E5"/>
              <w:bottom w:val="single" w:sz="6" w:color="C7D6E5"/>
              <w:left w:val="nil" w:sz="6" w:color="C7D6E5"/>
              <w:right w:val="nil" w:sz="6" w:color="C7D6E5"/>
            </w:tcBorders>
          </w:tcPr>
          <w:p>
            <w:pPr>
              <w:spacing w:after="40" w:before="40" w:line="252" w:lineRule="auto"/>
            </w:pPr>
            <w:r>
              <w:rPr>
                <w:sz w:val="18"/>
              </w:rPr>
              <w:t>Duplication of the target band between the engine constants and the UI.</w:t>
            </w:r>
          </w:p>
        </w:tc>
      </w:tr>
    </w:tbl>
    <w:p>
      <w:pPr>
        <w:spacing w:after="120"/>
      </w:pPr>
    </w:p>
    <w:p>
      <w:pPr>
        <w:pStyle w:val="Heading2"/>
      </w:pPr>
      <w:r>
        <w:t>21.2 Future Work</w:t>
      </w:r>
    </w:p>
    <w:p>
      <w:pPr>
        <w:tabs>
          <w:tab w:pos="567" w:val="left"/>
        </w:tabs>
        <w:spacing w:after="80" w:line="288" w:lineRule="auto"/>
        <w:ind w:left="567" w:hanging="567"/>
      </w:pPr>
      <w:r>
        <w:rPr>
          <w:b/>
        </w:rPr>
        <w:t>1.</w:t>
      </w:r>
      <w:r>
        <w:tab/>
      </w:r>
      <w:r>
        <w:rPr>
          <w:b/>
        </w:rPr>
        <w:t>Correct the Post-dose fit</w:t>
      </w:r>
      <w:r>
        <w:t xml:space="preserve"> as described in Section 18.4 and add a regression test asserting the failure.</w:t>
      </w:r>
    </w:p>
    <w:p>
      <w:pPr>
        <w:tabs>
          <w:tab w:pos="567" w:val="left"/>
        </w:tabs>
        <w:spacing w:after="80" w:line="288" w:lineRule="auto"/>
        <w:ind w:left="567" w:hanging="567"/>
      </w:pPr>
      <w:r>
        <w:rPr>
          <w:b/>
        </w:rPr>
        <w:t>2.</w:t>
      </w:r>
      <w:r>
        <w:tab/>
      </w:r>
      <w:r>
        <w:rPr>
          <w:b/>
        </w:rPr>
        <w:t>Enable per-user Row Level Security</w:t>
      </w:r>
      <w:r>
        <w:t xml:space="preserve"> by configuring the </w:t>
      </w:r>
      <w:r>
        <w:rPr>
          <w:rFonts w:ascii="Consolas" w:hAnsi="Consolas"/>
          <w:sz w:val="19"/>
        </w:rPr>
        <w:t>supabase</w:t>
      </w:r>
      <w:r>
        <w:t xml:space="preserve"> JWT template in Clerk and uncommenting the prepared policies in </w:t>
      </w:r>
      <w:r>
        <w:rPr>
          <w:rFonts w:ascii="Consolas" w:hAnsi="Consolas"/>
          <w:sz w:val="19"/>
        </w:rPr>
        <w:t>update_v2.sql</w:t>
      </w:r>
      <w:r>
        <w:t xml:space="preserve">. </w:t>
      </w:r>
      <w:r>
        <w:rPr>
          <w:rFonts w:ascii="Consolas" w:hAnsi="Consolas"/>
          <w:sz w:val="19"/>
        </w:rPr>
        <w:t>AuthRepository.getSupabaseToken()</w:t>
      </w:r>
      <w:r>
        <w:t xml:space="preserve"> already exists to supply the token.</w:t>
      </w:r>
    </w:p>
    <w:p>
      <w:pPr>
        <w:tabs>
          <w:tab w:pos="567" w:val="left"/>
        </w:tabs>
        <w:spacing w:after="80" w:line="288" w:lineRule="auto"/>
        <w:ind w:left="567" w:hanging="567"/>
      </w:pPr>
      <w:r>
        <w:rPr>
          <w:b/>
        </w:rPr>
        <w:t>3.</w:t>
      </w:r>
      <w:r>
        <w:tab/>
      </w:r>
      <w:r>
        <w:rPr>
          <w:b/>
        </w:rPr>
        <w:t>Add the concentration–time graph.</w:t>
      </w:r>
      <w:r>
        <w:t xml:space="preserve"> </w:t>
      </w:r>
      <w:r>
        <w:rPr>
          <w:rFonts w:ascii="Consolas" w:hAnsi="Consolas"/>
          <w:sz w:val="19"/>
        </w:rPr>
        <w:t>PkCurveGraph</w:t>
      </w:r>
      <w:r>
        <w:t xml:space="preserve"> is already implemented as a Canvas Composable in </w:t>
      </w:r>
      <w:r>
        <w:rPr>
          <w:rFonts w:ascii="Consolas" w:hAnsi="Consolas"/>
          <w:sz w:val="19"/>
        </w:rPr>
        <w:t>Screens.kt</w:t>
      </w:r>
      <w:r>
        <w:t>; wiring it to the Home shortcut tile would satisfy one of the case study's optional enhancements with modest effort.</w:t>
      </w:r>
    </w:p>
    <w:p>
      <w:pPr>
        <w:tabs>
          <w:tab w:pos="567" w:val="left"/>
        </w:tabs>
        <w:spacing w:after="80" w:line="288" w:lineRule="auto"/>
        <w:ind w:left="567" w:hanging="567"/>
      </w:pPr>
      <w:r>
        <w:rPr>
          <w:b/>
        </w:rPr>
        <w:t>4.</w:t>
      </w:r>
      <w:r>
        <w:tab/>
      </w:r>
      <w:r>
        <w:rPr>
          <w:b/>
        </w:rPr>
        <w:t>Implement camera capture with confirm-before-use OCR</w:t>
      </w:r>
      <w:r>
        <w:t>, which the case study describes as a suitable optional enhancement and for which two interface entry points already exist.</w:t>
      </w:r>
    </w:p>
    <w:p>
      <w:pPr>
        <w:tabs>
          <w:tab w:pos="567" w:val="left"/>
        </w:tabs>
        <w:spacing w:after="80" w:line="288" w:lineRule="auto"/>
        <w:ind w:left="567" w:hanging="567"/>
      </w:pPr>
      <w:r>
        <w:rPr>
          <w:b/>
        </w:rPr>
        <w:t>5.</w:t>
      </w:r>
      <w:r>
        <w:tab/>
      </w:r>
      <w:r>
        <w:rPr>
          <w:b/>
        </w:rPr>
        <w:t>Add export or sharing of a calculation summary</w:t>
      </w:r>
      <w:r>
        <w:t>, replacing the inert share icon.</w:t>
      </w:r>
    </w:p>
    <w:p>
      <w:pPr>
        <w:tabs>
          <w:tab w:pos="567" w:val="left"/>
        </w:tabs>
        <w:spacing w:after="80" w:line="288" w:lineRule="auto"/>
        <w:ind w:left="567" w:hanging="567"/>
      </w:pPr>
      <w:r>
        <w:rPr>
          <w:b/>
        </w:rPr>
        <w:t>6.</w:t>
      </w:r>
      <w:r>
        <w:tab/>
      </w:r>
      <w:r>
        <w:rPr>
          <w:b/>
        </w:rPr>
        <w:t>Write Compose UI tests</w:t>
      </w:r>
      <w:r>
        <w:t xml:space="preserve"> for the wizard, covering the dynamic-form behaviour and the enabling and disabling of the Continue control.</w:t>
      </w:r>
    </w:p>
    <w:p>
      <w:pPr>
        <w:tabs>
          <w:tab w:pos="567" w:val="left"/>
        </w:tabs>
        <w:spacing w:after="80" w:line="288" w:lineRule="auto"/>
        <w:ind w:left="567" w:hanging="567"/>
      </w:pPr>
      <w:r>
        <w:rPr>
          <w:b/>
        </w:rPr>
        <w:t>7.</w:t>
      </w:r>
      <w:r>
        <w:tab/>
      </w:r>
      <w:r>
        <w:rPr>
          <w:b/>
        </w:rPr>
        <w:t>Extend to a second medication.</w:t>
      </w:r>
      <w:r>
        <w:t xml:space="preserve"> The engine's structure — one function per pathway returning a common result type — would accommodate gentamicin without architectural change.</w:t>
      </w:r>
    </w:p>
    <w:p>
      <w:pPr>
        <w:pStyle w:val="Heading1"/>
      </w:pPr>
      <w:r>
        <w:t>22. Conclusion</w:t>
      </w:r>
    </w:p>
    <w:p>
      <w:pPr>
        <w:spacing w:after="160"/>
      </w:pPr>
      <w:r>
        <w:t>TDM Insight takes a calculation that hospital pharmacists currently perform on paper and turns it into a guided, validated and explainable mobile workflow. All nine mandatory requirements of the case study are implemented: the application is native Kotlin built on Jetpack Compose and Material 3; all three vancomycin sampling workflows are present; the input form adapts to the selected workflow; validation extends to range, cross-field and mathematical-safety checks and distinguishes blocking errors from advisory warnings; the calculation engine is a framework-free Kotlin object separated from the user interface and covered by thirty-one unit tests; intermediate as well as final parameters are returned; the result is explained in four phases from inputs to conclusion; and the interface carries genuine light and dark Material 3 colour schemes.</w:t>
      </w:r>
    </w:p>
    <w:p>
      <w:pPr>
        <w:spacing w:after="160"/>
      </w:pPr>
      <w:r>
        <w:t>Two optional enhancements were added beyond the required scope — account-based identity through Clerk and persistent case history in Supabase PostgreSQL — and they were added in a way that leaves the core untouched. Remove the credentials and the calculator still works; break the network and the result still appears. That separation, more than any individual feature, is what the layered architecture was chosen to protect.</w:t>
      </w:r>
    </w:p>
    <w:p>
      <w:pPr>
        <w:spacing w:after="160"/>
      </w:pPr>
      <w:r>
        <w:t>The project also demonstrates a defensible engineering posture towards its own shortcomings. A defect in the Post-dose iterative fit was found while verifying the worked examples for this report; it is documented in full, with a reproduction and a correction, rather than left out. Three inert interface controls are named as placeholders. The gap between the prepared per-user database policies and the permissive policies actually in force is stated rather than glossed. For a system that models a clinical calculation, that honesty is not incidental — it is the difference between a teaching aid and a liability.</w:t>
      </w:r>
    </w:p>
    <w:p>
      <w:r>
        <w:br w:type="page"/>
      </w:r>
    </w:p>
    <w:p>
      <w:pPr>
        <w:pStyle w:val="Heading1"/>
      </w:pPr>
      <w:r>
        <w:t>References</w:t>
      </w:r>
    </w:p>
    <w:p>
      <w:pPr>
        <w:spacing w:after="180" w:line="312" w:lineRule="auto"/>
        <w:ind w:left="720" w:hanging="720"/>
      </w:pPr>
      <w:r>
        <w:t xml:space="preserve">Burden, R. L., &amp; Faires, J. D. (2010). </w:t>
      </w:r>
      <w:r>
        <w:rPr>
          <w:i/>
        </w:rPr>
        <w:t>Numerical analysis</w:t>
      </w:r>
      <w:r>
        <w:t xml:space="preserve"> (9th ed.). Brooks/Cole.</w:t>
      </w:r>
    </w:p>
    <w:p>
      <w:pPr>
        <w:spacing w:after="180" w:line="312" w:lineRule="auto"/>
        <w:ind w:left="720" w:hanging="720"/>
      </w:pPr>
      <w:r>
        <w:t xml:space="preserve">Clerk. (2024). </w:t>
      </w:r>
      <w:r>
        <w:rPr>
          <w:i/>
        </w:rPr>
        <w:t>Frontend API reference</w:t>
      </w:r>
      <w:r>
        <w:t>. https://clerk.com/docs</w:t>
      </w:r>
    </w:p>
    <w:p>
      <w:pPr>
        <w:spacing w:after="180" w:line="312" w:lineRule="auto"/>
        <w:ind w:left="720" w:hanging="720"/>
      </w:pPr>
      <w:r>
        <w:t xml:space="preserve">Cockcroft, D. W., &amp; Gault, M. H. (1976). Prediction of creatinine clearance from serum creatinine. </w:t>
      </w:r>
      <w:r>
        <w:rPr>
          <w:i/>
        </w:rPr>
        <w:t>Nephron, 16</w:t>
      </w:r>
      <w:r>
        <w:t>(1), 31–41. https://doi.org/10.1159/000180580</w:t>
      </w:r>
    </w:p>
    <w:p>
      <w:pPr>
        <w:spacing w:after="180" w:line="312" w:lineRule="auto"/>
        <w:ind w:left="720" w:hanging="720"/>
      </w:pPr>
      <w:r>
        <w:t xml:space="preserve">Google. (2024a). </w:t>
      </w:r>
      <w:r>
        <w:rPr>
          <w:i/>
        </w:rPr>
        <w:t>Guide to app architecture</w:t>
      </w:r>
      <w:r>
        <w:t>. Android Developers. https://developer.android.com/topic/architecture</w:t>
      </w:r>
    </w:p>
    <w:p>
      <w:pPr>
        <w:spacing w:after="180" w:line="312" w:lineRule="auto"/>
        <w:ind w:left="720" w:hanging="720"/>
      </w:pPr>
      <w:r>
        <w:t xml:space="preserve">Google. (2024b). </w:t>
      </w:r>
      <w:r>
        <w:rPr>
          <w:i/>
        </w:rPr>
        <w:t>Jetpack Compose</w:t>
      </w:r>
      <w:r>
        <w:t>. Android Developers. https://developer.android.com/compose</w:t>
      </w:r>
    </w:p>
    <w:p>
      <w:pPr>
        <w:spacing w:after="180" w:line="312" w:lineRule="auto"/>
        <w:ind w:left="720" w:hanging="720"/>
      </w:pPr>
      <w:r>
        <w:t xml:space="preserve">Google. (2024c). </w:t>
      </w:r>
      <w:r>
        <w:rPr>
          <w:i/>
        </w:rPr>
        <w:t>Material Design 3</w:t>
      </w:r>
      <w:r>
        <w:t>. https://m3.material.io/</w:t>
      </w:r>
    </w:p>
    <w:p>
      <w:pPr>
        <w:spacing w:after="180" w:line="312" w:lineRule="auto"/>
        <w:ind w:left="720" w:hanging="720"/>
      </w:pPr>
      <w:r>
        <w:t xml:space="preserve">JetBrains. (2024). </w:t>
      </w:r>
      <w:r>
        <w:rPr>
          <w:i/>
        </w:rPr>
        <w:t>Coroutines guide</w:t>
      </w:r>
      <w:r>
        <w:t>. Kotlin Documentation. https://kotlinlang.org/docs/coroutines-guide.html</w:t>
      </w:r>
    </w:p>
    <w:p>
      <w:pPr>
        <w:spacing w:after="180" w:line="312" w:lineRule="auto"/>
        <w:ind w:left="720" w:hanging="720"/>
      </w:pPr>
      <w:r>
        <w:t xml:space="preserve">Mohd Zaki, M. Z. (2026). </w:t>
      </w:r>
      <w:r>
        <w:rPr>
          <w:i/>
        </w:rPr>
        <w:t>CDE2313 project case study description: TDM Insight — Native Android therapeutic drug monitoring calculator</w:t>
      </w:r>
      <w:r>
        <w:t xml:space="preserve"> [Course case study]. Albukhary International University.</w:t>
      </w:r>
    </w:p>
    <w:p>
      <w:pPr>
        <w:spacing w:after="180" w:line="312" w:lineRule="auto"/>
        <w:ind w:left="720" w:hanging="720"/>
      </w:pPr>
      <w:r>
        <w:t xml:space="preserve">myTDM Calculator. (n.d.). </w:t>
      </w:r>
      <w:r>
        <w:rPr>
          <w:i/>
        </w:rPr>
        <w:t>myTDM Calculator</w:t>
      </w:r>
      <w:r>
        <w:t>. Retrieved 3 September 2026, from https://www.mytdmcalculator.com/</w:t>
      </w:r>
    </w:p>
    <w:p>
      <w:pPr>
        <w:spacing w:after="180" w:line="312" w:lineRule="auto"/>
        <w:ind w:left="720" w:hanging="720"/>
      </w:pPr>
      <w:r>
        <w:t xml:space="preserve">Rybak, M. J., Le, J., Lodise, T. P., Levine, D. P., Bradley, J. S., Liu, C., Mueller, B. A., Pai, M. P., Wong-Beringer, A., Rotschafer, J. C., Rodvold, K. A., Maples, H. D., &amp; Lomaestro, B. M. (2020). Therapeutic monitoring of vancomycin for serious methicillin-resistant </w:t>
      </w:r>
      <w:r>
        <w:rPr>
          <w:i/>
        </w:rPr>
        <w:t>Staphylococcus aureus</w:t>
      </w:r>
      <w:r>
        <w:t xml:space="preserve"> infections: A revised consensus guideline and review by the American Society of Health-System Pharmacists, the Infectious Diseases Society of America, the Pediatric Infectious Diseases Society, and the Society of Infectious Diseases Pharmacists. </w:t>
      </w:r>
      <w:r>
        <w:rPr>
          <w:i/>
        </w:rPr>
        <w:t>American Journal of Health-System Pharmacy, 77</w:t>
      </w:r>
      <w:r>
        <w:t>(11), 835–864. https://doi.org/10.1093/ajhp/zxaa036</w:t>
      </w:r>
    </w:p>
    <w:p>
      <w:pPr>
        <w:spacing w:after="180" w:line="312" w:lineRule="auto"/>
        <w:ind w:left="720" w:hanging="720"/>
      </w:pPr>
      <w:r>
        <w:t xml:space="preserve">Sawchuk, R. J., &amp; Zaske, D. E. (1976). Pharmacokinetics of dosing regimens which utilize multiple intravenous infusions: Gentamicin in burn patients. </w:t>
      </w:r>
      <w:r>
        <w:rPr>
          <w:i/>
        </w:rPr>
        <w:t>Journal of Pharmacokinetics and Biopharmaceutics, 4</w:t>
      </w:r>
      <w:r>
        <w:t>(2), 183–195. https://doi.org/10.1007/BF01086153</w:t>
      </w:r>
    </w:p>
    <w:p>
      <w:pPr>
        <w:spacing w:after="180" w:line="312" w:lineRule="auto"/>
        <w:ind w:left="720" w:hanging="720"/>
      </w:pPr>
      <w:r>
        <w:t xml:space="preserve">Sommerville, I. (2016). </w:t>
      </w:r>
      <w:r>
        <w:rPr>
          <w:i/>
        </w:rPr>
        <w:t>Software engineering</w:t>
      </w:r>
      <w:r>
        <w:t xml:space="preserve"> (10th ed.). Pearson.</w:t>
      </w:r>
    </w:p>
    <w:p>
      <w:pPr>
        <w:spacing w:after="180" w:line="312" w:lineRule="auto"/>
        <w:ind w:left="720" w:hanging="720"/>
      </w:pPr>
      <w:r>
        <w:t xml:space="preserve">Supabase. (2024). </w:t>
      </w:r>
      <w:r>
        <w:rPr>
          <w:i/>
        </w:rPr>
        <w:t>Row Level Security</w:t>
      </w:r>
      <w:r>
        <w:t>. https://supabase.com/docs/guides/database/postgres/row-level-security</w:t>
      </w:r>
    </w:p>
    <w:sectPr w:rsidR="00FC693F" w:rsidRPr="0006063C" w:rsidSect="00034616">
      <w:headerReference w:type="default" r:id="rId9"/>
      <w:footerReference w:type="default" r:id="rId10"/>
      <w:footerReference w:type="first" r:id="rId11"/>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A6B7F"/>
        <w:sz w:val="16"/>
      </w:rPr>
      <w:t>TDM Insight · CDE2313 Mobile Application Development · Albukhary International University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A6B7F"/>
        <w:sz w:val="16"/>
      </w:rPr>
      <w:t>TDM Insight · CDE2313 Mobile Application Development · Albukhary International University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auto" w:w="0"/>
      <w:tblLayout w:type="fixed"/>
      <w:tblLook w:firstColumn="1" w:firstRow="1" w:lastColumn="0" w:lastRow="0" w:noHBand="0" w:noVBand="1" w:val="04A0"/>
      <w:tblLayout w:type="fixed"/>
    </w:tblPr>
    <w:tblGrid>
      <w:gridCol w:w="4513"/>
      <w:gridCol w:w="4513"/>
    </w:tblGrid>
    <w:tr>
      <w:tc>
        <w:tcPr>
          <w:tcW w:type="dxa" w:w="7030"/>
          <w:tcBorders>
            <w:top w:val="nil" w:sz="6" w:color="C7D6E5"/>
            <w:bottom w:val="single" w:sz="6" w:color="C7D6E5"/>
            <w:left w:val="nil" w:sz="6" w:color="C7D6E5"/>
            <w:right w:val="nil" w:sz="6" w:color="C7D6E5"/>
          </w:tcBorders>
        </w:tcPr>
        <w:p>
          <w:pPr>
            <w:spacing w:after="40"/>
          </w:pPr>
          <w:r>
            <w:rPr>
              <w:rFonts w:ascii="Calibri" w:hAnsi="Calibri"/>
              <w:color w:val="5A6B7F"/>
              <w:sz w:val="17"/>
            </w:rPr>
            <w:t>TDM Insight — CDE2313 Project Report</w:t>
          </w:r>
        </w:p>
      </w:tc>
      <w:tc>
        <w:tcPr>
          <w:tcW w:type="dxa" w:w="1996"/>
          <w:tcBorders>
            <w:top w:val="nil" w:sz="6" w:color="C7D6E5"/>
            <w:bottom w:val="single" w:sz="6" w:color="C7D6E5"/>
            <w:left w:val="nil" w:sz="6" w:color="C7D6E5"/>
            <w:right w:val="nil" w:sz="6" w:color="C7D6E5"/>
          </w:tcBorders>
        </w:tcPr>
        <w:p>
          <w:pPr>
            <w:spacing w:after="40"/>
            <w:jc w:val="right"/>
          </w:pPr>
          <w:r>
            <w:rPr>
              <w:rFonts w:ascii="Calibri" w:hAnsi="Calibri"/>
              <w:color w:val="5A6B7F"/>
              <w:sz w:val="17"/>
            </w:rPr>
            <w:fldChar w:fldCharType="begin"/>
          </w:r>
          <w:r>
            <w:rPr>
              <w:rFonts w:ascii="Calibri" w:hAnsi="Calibri"/>
              <w:color w:val="5A6B7F"/>
              <w:sz w:val="17"/>
            </w:rPr>
            <w:instrText xml:space="preserve">PAGE</w:instrText>
          </w:r>
          <w:r>
            <w:rPr>
              <w:rFonts w:ascii="Calibri" w:hAnsi="Calibri"/>
              <w:color w:val="5A6B7F"/>
              <w:sz w:val="17"/>
            </w:rPr>
            <w:fldChar w:fldCharType="separate"/>
          </w:r>
          <w:r>
            <w:rPr>
              <w:rFonts w:ascii="Calibri" w:hAnsi="Calibri"/>
              <w:color w:val="5A6B7F"/>
              <w:sz w:val="17"/>
            </w:rPr>
            <w:fldChar w:fldCharType="end"/>
          </w:r>
        </w:p>
      </w:tc>
    </w:tr>
  </w:tbl>
  <w:p>
    <w:pPr>
      <w:spacing w:before="0" w:after="0" w:line="144" w:lineRule="auto"/>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after="160" w:before="0"/>
    </w:pPr>
    <w:rPr>
      <w:rFonts w:ascii="Calibri" w:hAnsi="Calibri" w:eastAsia="Calibri"/>
      <w:color w:val="0F1A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i w:val="0"/>
      <w:color w:val="073A6B"/>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i w:val="0"/>
      <w:color w:val="0F1A2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color w:val="5A6B7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