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E08A1E"/>
          <w:sz w:val="22"/>
        </w:rPr>
        <w:t>BUSCHE CLOUD</w:t>
      </w:r>
    </w:p>
    <w:p>
      <w:r>
        <w:rPr>
          <w:color w:val="857E73"/>
          <w:sz w:val="18"/>
        </w:rPr>
        <w:t>Report · Vertraulich</w:t>
      </w:r>
    </w:p>
    <w:p>
      <w:pPr>
        <w:spacing w:before="600" w:after="40"/>
      </w:pPr>
      <w:r>
        <w:rPr>
          <w:rFonts w:ascii="Calibri" w:hAnsi="Calibri"/>
          <w:b/>
          <w:color w:val="BF7014"/>
          <w:sz w:val="26"/>
        </w:rPr>
        <w:t>KI-READINESS-CHECK</w:t>
      </w:r>
    </w:p>
    <w:p>
      <w:pPr>
        <w:spacing w:before="80" w:after="320"/>
      </w:pPr>
      <w:r>
        <w:rPr>
          <w:b/>
          <w:color w:val="121110"/>
          <w:sz w:val="52"/>
        </w:rPr>
        <w:t>Wo eure KI-Potenziale wirklich liegen.</w:t>
      </w:r>
    </w:p>
    <w:p>
      <w:pPr>
        <w:spacing w:after="400"/>
      </w:pPr>
      <w:r>
        <w:rPr>
          <w:b w:val="0"/>
          <w:i w:val="0"/>
          <w:color w:val="4E4943"/>
          <w:sz w:val="22"/>
        </w:rPr>
        <w:t>Analyse, Priorisierung und konkrete nächste Schritte für Malerbetrieb Ostmann — erstellt auf Basis eines strukturierten Discovery-Gesprächs.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Erstellt für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Malerbetrieb Ostmann GmbH</w:t>
            </w:r>
          </w:p>
        </w:tc>
      </w:tr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Datum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20. September 2026</w:t>
            </w:r>
          </w:p>
        </w:tc>
      </w:tr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Ansprechpartner Kunde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Frank Ostmann, Geschäftsführer</w:t>
            </w:r>
          </w:p>
        </w:tc>
      </w:tr>
      <w:tr>
        <w:tc>
          <w:tcPr>
            <w:tcW w:type="dxa" w:w="4706"/>
          </w:tcPr>
          <w:p>
            <w:r>
              <w:rPr>
                <w:b/>
                <w:color w:val="4E4943"/>
                <w:sz w:val="19"/>
              </w:rPr>
              <w:t>Dokument</w:t>
            </w:r>
          </w:p>
        </w:tc>
        <w:tc>
          <w:tcPr>
            <w:tcW w:type="dxa" w:w="4706"/>
          </w:tcPr>
          <w:p>
            <w:r>
              <w:rPr>
                <w:b w:val="0"/>
                <w:color w:val="121110"/>
                <w:sz w:val="19"/>
              </w:rPr>
              <w:t>KI-Readiness-Check, v1.0</w:t>
            </w:r>
          </w:p>
        </w:tc>
      </w:tr>
    </w:tbl>
    <w:p>
      <w:pPr>
        <w:spacing w:after="600"/>
      </w:pPr>
      <w:r>
        <w:rPr>
          <w:b w:val="0"/>
          <w:i w:val="0"/>
          <w:color w:val="4E4943"/>
          <w:sz w:val="21"/>
        </w:rPr>
      </w:r>
    </w:p>
    <w:p>
      <w:pPr>
        <w:spacing w:after="40"/>
      </w:pPr>
      <w:r>
        <w:rPr>
          <w:b w:val="0"/>
          <w:i w:val="0"/>
          <w:color w:val="4E4943"/>
          <w:sz w:val="19"/>
        </w:rPr>
        <w:t>Erstellt von Marlon Busche — Busche Cloud</w:t>
      </w:r>
    </w:p>
    <w:p>
      <w:pPr>
        <w:spacing w:after="320"/>
      </w:pPr>
      <w:r>
        <w:rPr>
          <w:b w:val="0"/>
          <w:i w:val="0"/>
          <w:color w:val="857E73"/>
          <w:sz w:val="19"/>
        </w:rPr>
        <w:t>KI-Beratung für den Mittelstand</w:t>
      </w:r>
    </w:p>
    <w:p>
      <w:pPr>
        <w:spacing w:after="160"/>
      </w:pPr>
      <w:r>
        <w:rPr>
          <w:b w:val="0"/>
          <w:i/>
          <w:color w:val="857E73"/>
          <w:sz w:val="16"/>
        </w:rPr>
        <w:t>Vertraulich. Nur für den internen Gebrauch bei Malerbetrieb Ostmann bestimmt. Weitergabe an Dritte nur mit Zustimmung von Busche Cloud.</w:t>
      </w:r>
    </w:p>
    <w:p>
      <w:pPr>
        <w:sectPr>
          <w:footerReference w:type="default" r:id="rId9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1  </w:t>
      </w:r>
      <w:r>
        <w:rPr>
          <w:b/>
          <w:color w:val="4E4943"/>
          <w:sz w:val="18"/>
        </w:rPr>
        <w:t>EXECUTIVE SUMMARY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Der Blick aufs Ganze.</w:t>
      </w:r>
    </w:p>
    <w:p>
      <w:pPr>
        <w:spacing w:after="280"/>
      </w:pPr>
      <w:r>
        <w:rPr>
          <w:b w:val="0"/>
          <w:i w:val="0"/>
          <w:color w:val="857E73"/>
          <w:sz w:val="20"/>
        </w:rPr>
        <w:t>Drei Kernaussagen aus dem Readiness-Check — die Details folgen auf den nächsten Seiten.</w:t>
      </w:r>
    </w:p>
    <w:p>
      <w:pPr>
        <w:spacing w:after="80"/>
      </w:pPr>
      <w:r>
        <w:rPr>
          <w:b w:val="0"/>
          <w:i w:val="0"/>
          <w:color w:val="121110"/>
          <w:sz w:val="21"/>
        </w:rPr>
        <w:t>Im Discovery-Gespräch mit Frank Ostmann wurden 5 Prozesse aus den Bereichen Vertrieb, Kundenservice und Backoffice analysiert. Insgesamt wurde ein manueller Zeitaufwand von rund 14 Stunden pro Woche identifiziert, der sich durch gezielten KI-Einsatz spürbar reduzieren lässt — ohne dass dafür ein großes IT-Projekt nötig ist.</w:t>
      </w:r>
    </w:p>
    <w:p>
      <w:pPr>
        <w:spacing w:before="200"/>
      </w:pPr>
      <w:r>
        <w:rPr>
          <w:b/>
          <w:color w:val="E08A1E"/>
          <w:sz w:val="28"/>
        </w:rPr>
        <w:t xml:space="preserve">01  </w:t>
      </w:r>
      <w:r>
        <w:rPr>
          <w:b/>
          <w:color w:val="121110"/>
          <w:sz w:val="24"/>
        </w:rPr>
        <w:t>Größter Hebel</w:t>
      </w:r>
    </w:p>
    <w:p>
      <w:pPr>
        <w:spacing w:after="160"/>
      </w:pPr>
      <w:r>
        <w:rPr>
          <w:b w:val="0"/>
          <w:i w:val="0"/>
          <w:color w:val="4E4943"/>
          <w:sz w:val="20"/>
        </w:rPr>
        <w:t>Die Angebotserstellung bindet aktuell 8 Std./Woche manuelle Arbeit (Aufmaß, Excel-Kalkulation, Word-Vorlage) und lässt sich mit überschaubarem Aufwand automatisieren — höchste Priorität der Roadmap.</w:t>
      </w:r>
    </w:p>
    <w:p>
      <w:pPr>
        <w:spacing w:before="200"/>
      </w:pPr>
      <w:r>
        <w:rPr>
          <w:b/>
          <w:color w:val="E08A1E"/>
          <w:sz w:val="28"/>
        </w:rPr>
        <w:t xml:space="preserve">02  </w:t>
      </w:r>
      <w:r>
        <w:rPr>
          <w:b/>
          <w:color w:val="121110"/>
          <w:sz w:val="24"/>
        </w:rPr>
        <w:t>Schnellster Erfolg</w:t>
      </w:r>
    </w:p>
    <w:p>
      <w:pPr>
        <w:spacing w:after="160"/>
      </w:pPr>
      <w:r>
        <w:rPr>
          <w:b w:val="0"/>
          <w:i w:val="0"/>
          <w:color w:val="4E4943"/>
          <w:sz w:val="20"/>
        </w:rPr>
        <w:t>Die Rückgabe-Checkliste für Leihgeräte (Baustellen-Nachbereitung) ist in 2–3 Wochen umsetzbar und liefert ein sichtbares Ergebnis, das Vertrauen für weitere Schritte schafft.</w:t>
      </w:r>
    </w:p>
    <w:p>
      <w:pPr>
        <w:spacing w:before="200"/>
      </w:pPr>
      <w:r>
        <w:rPr>
          <w:b/>
          <w:color w:val="E08A1E"/>
          <w:sz w:val="28"/>
        </w:rPr>
        <w:t xml:space="preserve">03  </w:t>
      </w:r>
      <w:r>
        <w:rPr>
          <w:b/>
          <w:color w:val="121110"/>
          <w:sz w:val="24"/>
        </w:rPr>
        <w:t>Strategische Weichenstellung</w:t>
      </w:r>
    </w:p>
    <w:p>
      <w:pPr>
        <w:spacing w:after="160"/>
      </w:pPr>
      <w:r>
        <w:rPr>
          <w:b w:val="0"/>
          <w:i w:val="0"/>
          <w:color w:val="4E4943"/>
          <w:sz w:val="20"/>
        </w:rPr>
        <w:t>Mittelfristig empfiehlt sich der Aufbau einer zentralen Vorlagen- und Preisdatenbank, um KI nicht nur punktuell, sondern strukturell in Angebots- und Rechnungsprozessen zu verankern.</w:t>
      </w:r>
    </w:p>
    <w:p>
      <w:pPr>
        <w:spacing w:before="80" w:after="80"/>
        <w:pBdr>
          <w:bottom w:val="single" w:sz="6" w:space="1" w:color="D9D3C8"/>
        </w:pBdr>
      </w:pPr>
    </w:p>
    <w:p>
      <w:pPr>
        <w:spacing w:after="160"/>
      </w:pPr>
      <w:r>
        <w:rPr>
          <w:b w:val="0"/>
          <w:i/>
          <w:color w:val="4E4943"/>
          <w:sz w:val="18"/>
        </w:rPr>
        <w:t>Dieser Report bewertet Potenzial auf Basis der im Gespräch geschilderten Prozesse. Eine belastbare Aufwandsschätzung je Maßnahme erfolgt im KI-Pilot-Projekt.</w:t>
      </w:r>
    </w:p>
    <w:p>
      <w:pPr>
        <w:sectPr>
          <w:footerReference w:type="default" r:id="rId10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2  </w:t>
      </w:r>
      <w:r>
        <w:rPr>
          <w:b/>
          <w:color w:val="4E4943"/>
          <w:sz w:val="18"/>
        </w:rPr>
        <w:t>IST-ZUSTAND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Analysierte Prozesse.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Geschätzter manueller Zeitaufwand pro Woche, auf Basis der Angaben im Discovery-Gespräch.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Prozess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Bereich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Beschreibung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Std./Woche</w:t>
            </w:r>
          </w:p>
        </w:tc>
        <w:tc>
          <w:tcPr>
            <w:tcW w:type="dxa" w:w="1882"/>
            <w:shd w:fill="121110"/>
          </w:tcPr>
          <w:p>
            <w:r>
              <w:rPr>
                <w:b/>
                <w:color w:val="F5F1EA"/>
                <w:sz w:val="19"/>
              </w:rPr>
              <w:t>Werkzeug heute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Angebotserstellung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Vertrieb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Aufmaß vor Ort, Übertragung in Excel-Kalkulation, dann in Word-Vorlage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8,0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Excel, Word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Reklamationsbearbeitung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Kundenservice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Begutachtung vor Ort, Terminplanung informell ohne System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1,9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Zettel / Kopf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Materialbestellung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Backoffice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Bedarfsmeldung durch Vorarbeiter, Bestellung telefonisch/online beim Großhändler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1,3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Telefon, Online-Shop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Baustellen-Nachbereitung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Backoffice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Rückgabe und Kontrolle von Leihgeräten (Gerüst, Spezialwalzen)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1,5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Rechnungsstellung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Backoffice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Rechnungserstellung in Word, bei Verzug manuelle Zahlungserinnerung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1,6 Std.</w:t>
            </w:r>
          </w:p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Word</w:t>
            </w:r>
          </w:p>
        </w:tc>
      </w:tr>
      <w:tr>
        <w:tc>
          <w:tcPr>
            <w:tcW w:type="dxa" w:w="1882"/>
          </w:tcPr>
          <w:p>
            <w:r>
              <w:rPr>
                <w:color w:val="121110"/>
                <w:sz w:val="19"/>
              </w:rPr>
              <w:t>Summe</w:t>
            </w:r>
          </w:p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>
            <w:r>
              <w:rPr>
                <w:color w:val="121110"/>
                <w:sz w:val="19"/>
              </w:rPr>
              <w:t>14,3 Std.</w:t>
            </w:r>
          </w:p>
        </w:tc>
        <w:tc>
          <w:tcPr>
            <w:tcW w:type="dxa" w:w="1882"/>
          </w:tcPr>
          <w:p/>
        </w:tc>
      </w:tr>
    </w:tbl>
    <w:p>
      <w:pPr>
        <w:spacing w:after="80"/>
      </w:pPr>
      <w:r>
        <w:rPr>
          <w:b w:val="0"/>
          <w:i w:val="0"/>
          <w:color w:val="4E4943"/>
          <w:sz w:val="17"/>
        </w:rPr>
        <w:t>Die Einschätzung des Zeitaufwands basiert auf den Angaben von Frank Ostmann im Discovery-Gespräch vom 20. September 2026 und wurde nicht durch eine Zeiterfassung verifiziert. Sie dient der Priorisierung, nicht als exakte betriebswirtschaftliche Kennzahl.</w:t>
      </w:r>
    </w:p>
    <w:p>
      <w:pPr>
        <w:sectPr>
          <w:footerReference w:type="default" r:id="rId11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3  </w:t>
      </w:r>
      <w:r>
        <w:rPr>
          <w:b/>
          <w:color w:val="4E4943"/>
          <w:sz w:val="18"/>
        </w:rPr>
        <w:t>POTENZIAL-MATRIX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Aufwand vs. Automatisierungspotenzial.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Die analysierten Prozesse eingeordnet nach Umsetzungsaufwand und erwartetem Nutzen.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21110"/>
          <w:sz w:val="20"/>
        </w:rPr>
        <w:t>Angebotserstellung &amp; Baustellen-Nachbereitung</w:t>
      </w:r>
    </w:p>
    <w:p>
      <w:pPr>
        <w:spacing w:after="160"/>
      </w:pPr>
      <w:r>
        <w:rPr>
          <w:b w:val="0"/>
          <w:i w:val="0"/>
          <w:color w:val="4E4943"/>
          <w:sz w:val="19"/>
        </w:rPr>
        <w:t>Geringer bis mittlerer Aufwand, hoher Nutzen. Sofort umsetzbar, siehe Roadmap Phase 1.</w:t>
      </w:r>
    </w:p>
    <w:p>
      <w:pPr>
        <w:spacing w:after="40"/>
      </w:pPr>
      <w:r>
        <w:rPr>
          <w:b/>
          <w:color w:val="121110"/>
          <w:sz w:val="20"/>
        </w:rPr>
        <w:t>Reklamationsbearbeitung &amp; Materialbestellung</w:t>
      </w:r>
    </w:p>
    <w:p>
      <w:pPr>
        <w:spacing w:after="160"/>
      </w:pPr>
      <w:r>
        <w:rPr>
          <w:b w:val="0"/>
          <w:i w:val="0"/>
          <w:color w:val="4E4943"/>
          <w:sz w:val="19"/>
        </w:rPr>
        <w:t>Solides Potenzial bei mittlerem Aufwand. Für Phase 2 (3 Monate) eingeplant.</w:t>
      </w:r>
    </w:p>
    <w:p>
      <w:pPr>
        <w:spacing w:after="40"/>
      </w:pPr>
      <w:r>
        <w:rPr>
          <w:b/>
          <w:color w:val="121110"/>
          <w:sz w:val="20"/>
        </w:rPr>
        <w:t>Rechnungsstellung</w:t>
      </w:r>
    </w:p>
    <w:p>
      <w:pPr>
        <w:spacing w:after="160"/>
      </w:pPr>
      <w:r>
        <w:rPr>
          <w:b w:val="0"/>
          <w:i w:val="0"/>
          <w:color w:val="4E4943"/>
          <w:sz w:val="19"/>
        </w:rPr>
        <w:t>Höherer Zeitaufwand, aber mittlere Umsetzbarkeit — ebenfalls Phase 2, mit etwas höherer Priorität innerhalb der Phase.</w:t>
      </w:r>
    </w:p>
    <w:p>
      <w:pPr>
        <w:spacing w:after="160"/>
      </w:pPr>
      <w:r>
        <w:rPr>
          <w:b w:val="0"/>
          <w:i/>
          <w:color w:val="857E73"/>
          <w:sz w:val="17"/>
        </w:rPr>
        <w:t>Positionierung basiert auf einer qualitativen Einschätzung im Rahmen des Readiness-Checks, nicht auf einer quantitativen ROI-Berechnung.</w:t>
      </w:r>
    </w:p>
    <w:p>
      <w:pPr>
        <w:sectPr>
          <w:footerReference w:type="default" r:id="rId12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4  </w:t>
      </w:r>
      <w:r>
        <w:rPr>
          <w:b/>
          <w:color w:val="4E4943"/>
          <w:sz w:val="18"/>
        </w:rPr>
        <w:t>ROADMAP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Priorisierte Maßnahmen.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Drei Phasen, vom schnellen Erfolg bis zur strukturellen Verankerung.</w:t>
      </w:r>
    </w:p>
    <w:p>
      <w:pPr>
        <w:spacing w:before="280" w:after="20"/>
      </w:pPr>
      <w:r>
        <w:rPr>
          <w:b/>
          <w:color w:val="BF7014"/>
          <w:sz w:val="18"/>
        </w:rPr>
        <w:t>PHASE 1 · SOFORT</w:t>
      </w:r>
    </w:p>
    <w:p>
      <w:pPr>
        <w:spacing w:after="120"/>
      </w:pPr>
      <w:r>
        <w:rPr>
          <w:b/>
          <w:color w:val="121110"/>
          <w:sz w:val="26"/>
        </w:rPr>
        <w:t>0–4 Wochen</w:t>
      </w:r>
    </w:p>
    <w:p>
      <w:pPr>
        <w:spacing w:after="20"/>
        <w:ind w:left="283"/>
      </w:pPr>
      <w:r>
        <w:rPr>
          <w:b/>
          <w:color w:val="121110"/>
          <w:sz w:val="21"/>
        </w:rPr>
        <w:t>Vorlagen-Automatisierung für Angebote</w:t>
      </w:r>
    </w:p>
    <w:p>
      <w:pPr>
        <w:spacing w:after="120"/>
        <w:ind w:left="283"/>
      </w:pPr>
      <w:r>
        <w:rPr>
          <w:color w:val="4E4943"/>
          <w:sz w:val="19"/>
        </w:rPr>
        <w:t>Verknüpfung von Aufmaß-Eingabe, Preisdatenbank und Word-Vorlage in einem Tool statt drei getrennten Schritten — reduziert die 8 Std./Woche und die Fehlerquote bei Flächen- und Preisangaben spürbar.</w:t>
      </w:r>
    </w:p>
    <w:p>
      <w:pPr>
        <w:spacing w:after="20"/>
        <w:ind w:left="283"/>
      </w:pPr>
      <w:r>
        <w:rPr>
          <w:b/>
          <w:color w:val="121110"/>
          <w:sz w:val="21"/>
        </w:rPr>
        <w:t>Digitale Rückgabe-Checkliste für Leihgeräte</w:t>
      </w:r>
    </w:p>
    <w:p>
      <w:pPr>
        <w:spacing w:after="120"/>
        <w:ind w:left="283"/>
      </w:pPr>
      <w:r>
        <w:rPr>
          <w:color w:val="4E4943"/>
          <w:sz w:val="19"/>
        </w:rPr>
        <w:t>Einfache Checkliste (App oder Formular) statt Zettel/Kopf, direkt bei der Rückgabe ausgefüllt — macht die Kontrolle nachvollziehbar und entlastet Frank bei minimalem Einrichtungsaufwand.</w:t>
      </w:r>
    </w:p>
    <w:p>
      <w:pPr>
        <w:spacing w:before="280" w:after="20"/>
      </w:pPr>
      <w:r>
        <w:rPr>
          <w:b/>
          <w:color w:val="BF7014"/>
          <w:sz w:val="18"/>
        </w:rPr>
        <w:t>PHASE 2 · 3 MONATE</w:t>
      </w:r>
    </w:p>
    <w:p>
      <w:pPr>
        <w:spacing w:after="120"/>
      </w:pPr>
      <w:r>
        <w:rPr>
          <w:b/>
          <w:color w:val="121110"/>
          <w:sz w:val="26"/>
        </w:rPr>
        <w:t>1–3 Monate</w:t>
      </w:r>
    </w:p>
    <w:p>
      <w:pPr>
        <w:spacing w:after="20"/>
        <w:ind w:left="283"/>
      </w:pPr>
      <w:r>
        <w:rPr>
          <w:b/>
          <w:color w:val="121110"/>
          <w:sz w:val="21"/>
        </w:rPr>
        <w:t>Strukturierte Reklamationserfassung</w:t>
      </w:r>
    </w:p>
    <w:p>
      <w:pPr>
        <w:spacing w:after="120"/>
        <w:ind w:left="283"/>
      </w:pPr>
      <w:r>
        <w:rPr>
          <w:color w:val="4E4943"/>
          <w:sz w:val="19"/>
        </w:rPr>
        <w:t>Digitales Formular statt Zettel/Kopf für Meldung, Begutachtung und Entscheidung — schafft Nachvollziehbarkeit und eine Datenbasis für wiederkehrende Schadensbilder.</w:t>
      </w:r>
    </w:p>
    <w:p>
      <w:pPr>
        <w:spacing w:after="20"/>
        <w:ind w:left="283"/>
      </w:pPr>
      <w:r>
        <w:rPr>
          <w:b/>
          <w:color w:val="121110"/>
          <w:sz w:val="21"/>
        </w:rPr>
        <w:t>Feste Bestellvorlagen für Standardmaterial</w:t>
      </w:r>
    </w:p>
    <w:p>
      <w:pPr>
        <w:spacing w:after="120"/>
        <w:ind w:left="283"/>
      </w:pPr>
      <w:r>
        <w:rPr>
          <w:color w:val="4E4943"/>
          <w:sz w:val="19"/>
        </w:rPr>
        <w:t>Wiederkehrende Bestellungen (Farbe, Abdeckmaterial) als Vorlage beim Großhändler hinterlegen — reduziert die 20-25 Min. Preisvergleich pro Bestellung und die Fehlerquote bei unvollständigen Lieferungen.</w:t>
      </w:r>
    </w:p>
    <w:p>
      <w:pPr>
        <w:spacing w:before="280" w:after="20"/>
      </w:pPr>
      <w:r>
        <w:rPr>
          <w:b/>
          <w:color w:val="BF7014"/>
          <w:sz w:val="18"/>
        </w:rPr>
        <w:t>PHASE 3 · 6–12 MONATE</w:t>
      </w:r>
    </w:p>
    <w:p>
      <w:pPr>
        <w:spacing w:after="120"/>
      </w:pPr>
      <w:r>
        <w:rPr>
          <w:b/>
          <w:color w:val="121110"/>
          <w:sz w:val="26"/>
        </w:rPr>
        <w:t>Struktur &amp; Skalierung</w:t>
      </w:r>
    </w:p>
    <w:p>
      <w:pPr>
        <w:spacing w:after="20"/>
        <w:ind w:left="283"/>
      </w:pPr>
      <w:r>
        <w:rPr>
          <w:b/>
          <w:color w:val="121110"/>
          <w:sz w:val="21"/>
        </w:rPr>
        <w:t>Zentrale Vorlagen- und Preisdatenbank</w:t>
      </w:r>
    </w:p>
    <w:p>
      <w:pPr>
        <w:spacing w:after="120"/>
        <w:ind w:left="283"/>
      </w:pPr>
      <w:r>
        <w:rPr>
          <w:color w:val="4E4943"/>
          <w:sz w:val="19"/>
        </w:rPr>
        <w:t>Eine gemeinsame, aktuell gehaltene Datenquelle für Angebote und Rechnungen statt separater Word-Dateien — verhindert veraltete Preise in Vorlagen strukturell, nicht nur durch Sorgfalt.</w:t>
      </w:r>
    </w:p>
    <w:p>
      <w:pPr>
        <w:spacing w:after="20"/>
        <w:ind w:left="283"/>
      </w:pPr>
      <w:r>
        <w:rPr>
          <w:b/>
          <w:color w:val="121110"/>
          <w:sz w:val="21"/>
        </w:rPr>
        <w:t>Automatisierte Zahlungserinnerung</w:t>
      </w:r>
    </w:p>
    <w:p>
      <w:pPr>
        <w:spacing w:after="120"/>
        <w:ind w:left="283"/>
      </w:pPr>
      <w:r>
        <w:rPr>
          <w:color w:val="4E4943"/>
          <w:sz w:val="19"/>
        </w:rPr>
        <w:t>Regelbasierter Versand von Mahnungen nach Ablauf des Zahlungsziels statt manueller Kontrolle durch die Ehefrau — reduziert Fehlerquote und schafft Zeit für Angebotsarbeit.</w:t>
      </w:r>
    </w:p>
    <w:p>
      <w:pPr>
        <w:sectPr>
          <w:footerReference w:type="default" r:id="rId14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5  </w:t>
      </w:r>
      <w:r>
        <w:rPr>
          <w:b/>
          <w:color w:val="4E4943"/>
          <w:sz w:val="18"/>
        </w:rPr>
        <w:t>TOOL-EMPFEHLUNGEN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Konkrete Werkzeuge.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Ausgewählt für die identifizierten Prozesse — bewusst schlank statt Tool-Wildwuchs.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Tool</w:t>
            </w:r>
          </w:p>
        </w:tc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Zweck</w:t>
            </w:r>
          </w:p>
        </w:tc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Geschätzte Kosten</w:t>
            </w:r>
          </w:p>
        </w:tc>
        <w:tc>
          <w:tcPr>
            <w:tcW w:type="dxa" w:w="2353"/>
            <w:shd w:fill="121110"/>
          </w:tcPr>
          <w:p>
            <w:r>
              <w:rPr>
                <w:b/>
                <w:color w:val="F5F1EA"/>
                <w:sz w:val="19"/>
              </w:rPr>
              <w:t>Begründung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Angebots-Tool mit Vorlagenlogik (z. B. Kalkyle oder vergleichbar)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Verknüpfung von Aufmaß, Preisdatenbank und Angebotsdokument in einem Schritt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ca. 30–50 €/Monat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Löst das Grundproblem der Angebotserstellung direkt an der Quelle, statt Excel und Word manuell zu synchronisieren.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Digitale Checkliste (z. B. Lists von Microsoft, bereits Teil von Microsoft 365)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Rückgabe-Kontrolle für Leihgeräte, ohne neues Tool einzuführen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0 € (bereits vorhanden, falls Microsoft 365 im Einsatz)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Kein zusätzliches Abo nötig, wenn Microsoft 365 schon läuft — schnellster Einstieg ohne Lernkurve.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ChatGPT Team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Textentwürfe für Mahnungen, Kundenkommunikation, Ausschreibungstexte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ca. 25 €/Monat pro Nutzer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Kein technisches Setup nötig, sofort einsatzbereit für die wiederkehrenden Textaufgaben in Rechnungsstellung und Reklamation.</w:t>
            </w:r>
          </w:p>
        </w:tc>
      </w:tr>
      <w:tr>
        <w:tc>
          <w:tcPr>
            <w:tcW w:type="dxa" w:w="2353"/>
          </w:tcPr>
          <w:p>
            <w:r>
              <w:rPr>
                <w:color w:val="121110"/>
                <w:sz w:val="19"/>
              </w:rPr>
              <w:t>Zapier oder Make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Automatische Zahlungserinnerung nach Ablauf des Zahlungsziels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ca. 20–30 €/Monat</w:t>
            </w:r>
          </w:p>
        </w:tc>
        <w:tc>
          <w:tcPr>
            <w:tcW w:type="dxa" w:w="2353"/>
          </w:tcPr>
          <w:p>
            <w:r>
              <w:rPr>
                <w:color w:val="121110"/>
                <w:sz w:val="19"/>
              </w:rPr>
              <w:t>Einfache Trigger-Automatisierung ohne Entwicklungsaufwand — passt zur aktuellen Größe des Betriebs, kein Custom-Code nötig.</w:t>
            </w:r>
          </w:p>
        </w:tc>
      </w:tr>
    </w:tbl>
    <w:p>
      <w:pPr>
        <w:spacing w:after="80"/>
      </w:pPr>
      <w:r>
        <w:rPr>
          <w:b w:val="0"/>
          <w:i w:val="0"/>
          <w:color w:val="4E4943"/>
          <w:sz w:val="17"/>
        </w:rPr>
        <w:t>Kostenangaben sind Schätzwerte auf Basis öffentlicher Preislisten (Stand September 2026) und können je nach Nutzerzahl und Vertragsmodell abweichen.</w:t>
      </w:r>
    </w:p>
    <w:p>
      <w:pPr>
        <w:sectPr>
          <w:footerReference w:type="default" r:id="rId15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6  </w:t>
      </w:r>
      <w:r>
        <w:rPr>
          <w:b/>
          <w:color w:val="4E4943"/>
          <w:sz w:val="18"/>
        </w:rPr>
        <w:t>NÄCHSTE SCHRITTE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Vom Report zur Umsetzung.</w:t>
      </w:r>
    </w:p>
    <w:p>
      <w:pPr>
        <w:spacing w:after="280"/>
      </w:pPr>
      <w:r>
        <w:rPr>
          <w:b w:val="0"/>
          <w:i w:val="0"/>
          <w:color w:val="857E73"/>
          <w:sz w:val="20"/>
        </w:rPr>
        <w:t>Dieser Check zeigt das Potenzial. Das KI-Pilot-Projekt macht es sichtbar — in einem echten, abgegrenzten Anwendungsfall.</w:t>
      </w:r>
    </w:p>
    <w:p>
      <w:pPr>
        <w:spacing w:before="120"/>
      </w:pPr>
      <w:r>
        <w:rPr>
          <w:b/>
          <w:color w:val="121110"/>
          <w:sz w:val="28"/>
        </w:rPr>
        <w:t>Empfehlung für Malerbetrieb Ostmann</w:t>
      </w:r>
    </w:p>
    <w:p>
      <w:pPr>
        <w:spacing w:after="160"/>
      </w:pPr>
      <w:r>
        <w:rPr>
          <w:b w:val="0"/>
          <w:i w:val="0"/>
          <w:color w:val="4E4943"/>
          <w:sz w:val="21"/>
        </w:rPr>
        <w:t>Basierend auf der Analyse empfehlen wir, mit der Vorlagen-Automatisierung für Angebote als Pilotprojekt zu starten. Sie liefert in kurzer Zeit ein sichtbares Ergebnis — bei aktuell 8 Std./Woche der größte Zeitfresser im Betrieb — und schafft die Grundlage, um die weiteren Phasen der Roadmap mit Rückenwind anzugehen.</w:t>
      </w:r>
    </w:p>
    <w:p>
      <w:pPr>
        <w:spacing w:after="320"/>
      </w:pPr>
      <w:r>
        <w:rPr>
          <w:b w:val="0"/>
          <w:i w:val="0"/>
          <w:color w:val="4E4943"/>
          <w:sz w:val="21"/>
        </w:rPr>
        <w:t>In einem kostenlosen Auswertungsgespräch gehen wir die Ergebnisse gemeinsam durch, beantworten offene Fragen und stimmen den nächsten Schritt ab.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21110"/>
          </w:tcPr>
          <w:p>
            <w:r/>
            <w:r>
              <w:rPr>
                <w:b/>
                <w:color w:val="E08A1E"/>
                <w:sz w:val="36"/>
              </w:rPr>
              <w:t>ab 2.500 €</w:t>
            </w:r>
          </w:p>
          <w:p>
            <w:r>
              <w:rPr>
                <w:b/>
                <w:color w:val="F5F1EA"/>
                <w:sz w:val="26"/>
              </w:rPr>
              <w:t>KI-Pilot-Projekt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Ein klar abgegrenzter Anwendungsfall aus dieser Roadmap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Umsetzung in 2–4 Wochen, laufende Abstimmung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Übergabefähige Lösung inkl. kurzer Team-Einweisung</w:t>
            </w:r>
          </w:p>
          <w:p>
            <w:pPr>
              <w:pStyle w:val="ListBullet"/>
            </w:pPr>
            <w:r>
              <w:rPr>
                <w:color w:val="F5F1EA"/>
                <w:sz w:val="19"/>
              </w:rPr>
              <w:t>Basis für die weiteren Roadmap-Phasen</w:t>
            </w:r>
          </w:p>
          <w:p>
            <w:r>
              <w:rPr>
                <w:color w:val="E08A1E"/>
                <w:sz w:val="18"/>
              </w:rPr>
              <w:t>busche.cloud · hallo@busche.cloud</w:t>
            </w:r>
          </w:p>
        </w:tc>
      </w:tr>
    </w:tbl>
    <w:p>
      <w:pPr>
        <w:sectPr>
          <w:footerReference w:type="default" r:id="rId16"/>
          <w:pgSz w:w="11906" w:h="16838"/>
          <w:pgMar w:top="1134" w:right="1247" w:bottom="1361" w:left="1247" w:header="720" w:footer="624" w:gutter="0"/>
          <w:cols w:space="720"/>
          <w:docGrid w:linePitch="360"/>
        </w:sectPr>
      </w:pPr>
    </w:p>
    <w:p>
      <w:pPr>
        <w:spacing w:before="400" w:after="40"/>
      </w:pPr>
      <w:r>
        <w:rPr>
          <w:b/>
          <w:color w:val="BF7014"/>
          <w:sz w:val="18"/>
        </w:rPr>
        <w:t xml:space="preserve">7  </w:t>
      </w:r>
      <w:r>
        <w:rPr>
          <w:b/>
          <w:color w:val="4E4943"/>
          <w:sz w:val="18"/>
        </w:rPr>
        <w:t>ANHANG</w:t>
      </w:r>
    </w:p>
    <w:p>
      <w:pPr>
        <w:spacing w:before="360" w:after="120"/>
      </w:pPr>
      <w:r>
        <w:rPr>
          <w:rFonts w:ascii="Calibri" w:hAnsi="Calibri"/>
          <w:b/>
          <w:color w:val="121110"/>
          <w:sz w:val="40"/>
        </w:rPr>
        <w:t>Methodik &amp; Hinweise.</w:t>
      </w:r>
    </w:p>
    <w:p>
      <w:pPr>
        <w:spacing w:after="200"/>
      </w:pPr>
      <w:r>
        <w:rPr>
          <w:b w:val="0"/>
          <w:i w:val="0"/>
          <w:color w:val="857E73"/>
          <w:sz w:val="20"/>
        </w:rPr>
        <w:t>Transparenz zur Vorgehensweise dieses Reports.</w:t>
      </w:r>
    </w:p>
    <w:p>
      <w:pPr>
        <w:spacing w:before="200"/>
      </w:pPr>
      <w:r>
        <w:rPr>
          <w:b/>
          <w:color w:val="121110"/>
          <w:sz w:val="24"/>
        </w:rPr>
        <w:t>Vorgehen</w:t>
      </w:r>
    </w:p>
    <w:p>
      <w:pPr>
        <w:spacing w:after="80"/>
      </w:pPr>
      <w:r>
        <w:rPr>
          <w:b w:val="0"/>
          <w:i w:val="0"/>
          <w:color w:val="4E4943"/>
          <w:sz w:val="19"/>
        </w:rPr>
        <w:t>Der KI-Readiness-Check basiert auf einem strukturierten Discovery-Gespräch von 120 Minuten mit Frank Ostmann. Erfasst wurden Prozesse, geschätzte Zeitaufwände, eingesetzte Systeme und organisatorische Rahmenbedingungen. Die Einordnung in die Potenzial-Matrix sowie die Roadmap-Priorisierung erfolgten im Anschluss durch Busche Cloud.</w:t>
      </w:r>
    </w:p>
    <w:p>
      <w:pPr>
        <w:spacing w:before="200"/>
      </w:pPr>
      <w:r>
        <w:rPr>
          <w:b/>
          <w:color w:val="121110"/>
          <w:sz w:val="24"/>
        </w:rPr>
        <w:t>Geltungsbereich</w:t>
      </w:r>
    </w:p>
    <w:p>
      <w:pPr>
        <w:spacing w:after="80"/>
      </w:pPr>
      <w:r>
        <w:rPr>
          <w:b w:val="0"/>
          <w:i w:val="0"/>
          <w:color w:val="4E4943"/>
          <w:sz w:val="19"/>
        </w:rPr>
        <w:t>Dieser Report ersetzt keine technische Machbarkeitsprüfung, keine Datenschutz-Folgenabschätzung und keine rechtliche Beratung (z. B. zum EU AI Act). Er dient als strategische Grundlage für die Priorisierung von KI-Initiativen bei Malerbetrieb Ostmann.</w:t>
      </w:r>
    </w:p>
    <w:p>
      <w:pPr>
        <w:spacing w:before="200"/>
      </w:pPr>
      <w:r>
        <w:rPr>
          <w:b/>
          <w:color w:val="121110"/>
          <w:sz w:val="24"/>
        </w:rPr>
        <w:t>Kontakt für Rückfragen</w:t>
      </w:r>
    </w:p>
    <w:p>
      <w:pPr>
        <w:spacing w:after="80"/>
      </w:pPr>
      <w:r>
        <w:rPr>
          <w:b w:val="0"/>
          <w:i w:val="0"/>
          <w:color w:val="4E4943"/>
          <w:sz w:val="19"/>
        </w:rPr>
        <w:t>Marlon Busche · Busche Cloud · hallo@busche.cloud · busche.cloud</w:t>
      </w:r>
    </w:p>
    <w:sectPr w:rsidR="00FC693F" w:rsidRPr="0006063C" w:rsidSect="00034616">
      <w:footerReference w:type="default" r:id="rId17"/>
      <w:pgSz w:w="11906" w:h="16838"/>
      <w:pgMar w:top="1134" w:right="1247" w:bottom="1361" w:left="124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1 / 8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2 / 8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3 / 8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4 / 8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5 / 8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6 / 8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7 / 8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left"/>
        <w:tab w:pos="9411" w:val="right"/>
      </w:tabs>
    </w:pPr>
    <w:r/>
    <w:r>
      <w:rPr>
        <w:b/>
        <w:color w:val="BF7014"/>
        <w:sz w:val="16"/>
      </w:rPr>
      <w:t>Busche Cloud</w:t>
    </w:r>
    <w:r>
      <w:tab/>
    </w:r>
    <w:r>
      <w:rPr>
        <w:color w:val="857E73"/>
        <w:sz w:val="16"/>
      </w:rPr>
      <w:t>Vertraulich — KI-Readiness-Check Malerbetrieb Ostmann</w:t>
    </w:r>
    <w:r>
      <w:tab/>
    </w:r>
    <w:r>
      <w:rPr>
        <w:color w:val="857E73"/>
        <w:sz w:val="16"/>
      </w:rPr>
      <w:t>8 /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image" Target="media/image1.png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