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0"/>
      </w:pPr>
      <w:r>
        <w:rPr>
          <w:b/>
          <w:color w:val="C03020"/>
          <w:sz w:val="28"/>
        </w:rPr>
        <w:t>⚠ VOR DEM VERSAND: DIESE SEITE UND ALLE ↳-HINWEISE LÖSCHEN</w:t>
      </w:r>
    </w:p>
    <w:p>
      <w:pPr>
        <w:spacing w:after="200"/>
      </w:pPr>
      <w:r>
        <w:rPr>
          <w:b w:val="0"/>
          <w:i w:val="0"/>
          <w:color w:val="121110"/>
          <w:sz w:val="21"/>
        </w:rPr>
        <w:t>Diese Vorlage enthält orange, kursive Ausfüllhinweise (Zeichen ↳), die erklären, welcher Excel-Wert wohin gehört. Sie sind bewusst auffällig gestaltet, damit sie beim Ausfüllen leicht zu finden sind — genau das macht sie aber auch leicht zu übersehen, wenn man am Ende nur noch schnell exportiert.</w:t>
      </w:r>
    </w:p>
    <w:p>
      <w:pPr>
        <w:spacing w:after="200"/>
      </w:pPr>
      <w:r>
        <w:rPr>
          <w:b/>
          <w:i w:val="0"/>
          <w:color w:val="121110"/>
          <w:sz w:val="21"/>
        </w:rPr>
        <w:t>Vor dem Export als PDF bzw. vor dem Versand an den Kunden: In Word Strg+F (bzw. Cmd+F) nutzen, nach dem Zeichen ↳ suchen, und jeden gefundenen Hinweistext manuell löschen. Diese Warnseite ist eine eigene Seite vor dem eigentlichen Report (S.1–8) und zählt nicht in dessen Seitenzahlen mit — beim Export als PDF einfach komplett löschen (diese Seite hat absichtlich keine Fußzeile).</w:t>
      </w:r>
    </w:p>
    <w:p>
      <w:pPr>
        <w:spacing w:after="0"/>
      </w:pPr>
      <w:r>
        <w:rPr>
          <w:b w:val="0"/>
          <w:i/>
          <w:color w:val="4E4943"/>
          <w:sz w:val="19"/>
        </w:rPr>
        <w:t>Kein Suchergebnis mehr für ↳ = sauber zum Versand. Ein einziger übersehener Hinweis reicht, um interne Anweisungen an einen zahlenden Kunden zu verschicken.</w:t>
      </w:r>
    </w:p>
    <w:p>
      <w:pPr>
        <w:sectPr>
          <w:pgSz w:w="11906" w:h="16838"/>
          <w:pgMar w:top="1134" w:right="1247" w:bottom="1361" w:left="1247" w:header="720" w:footer="624" w:gutter="0"/>
          <w:cols w:space="720"/>
          <w:docGrid w:linePitch="360"/>
        </w:sectPr>
      </w:pPr>
    </w:p>
    <w:p>
      <w:pPr>
        <w:spacing w:before="800"/>
      </w:pPr>
      <w:r>
        <w:rPr>
          <w:b/>
          <w:color w:val="E08A1E"/>
          <w:sz w:val="22"/>
        </w:rPr>
        <w:t>BUSCHE CLOUD</w:t>
      </w:r>
    </w:p>
    <w:p>
      <w:r>
        <w:rPr>
          <w:color w:val="857E73"/>
          <w:sz w:val="18"/>
        </w:rPr>
        <w:t>Report · Vertraulich</w:t>
      </w:r>
    </w:p>
    <w:p>
      <w:pPr>
        <w:spacing w:before="600" w:after="40"/>
      </w:pPr>
      <w:r>
        <w:rPr>
          <w:rFonts w:ascii="Calibri" w:hAnsi="Calibri"/>
          <w:b/>
          <w:color w:val="BF7014"/>
          <w:sz w:val="26"/>
        </w:rPr>
        <w:t>KI-READINESS-CHECK</w:t>
      </w:r>
    </w:p>
    <w:p>
      <w:pPr>
        <w:spacing w:before="80" w:after="320"/>
      </w:pPr>
      <w:r>
        <w:rPr>
          <w:b/>
          <w:color w:val="121110"/>
          <w:sz w:val="52"/>
        </w:rPr>
        <w:t>Wo eure KI-Potenziale wirklich liegen.</w:t>
      </w:r>
    </w:p>
    <w:p>
      <w:pPr>
        <w:spacing w:after="400"/>
      </w:pPr>
      <w:r>
        <w:rPr>
          <w:b w:val="0"/>
          <w:i w:val="0"/>
          <w:color w:val="4E4943"/>
          <w:sz w:val="22"/>
        </w:rPr>
        <w:t>Analyse, Priorisierung und konkrete nächste Schritte für [FIRMENNAME] — erstellt auf Basis eines strukturierten Discovery-Gesprächs.</w:t>
      </w:r>
    </w:p>
    <w:p>
      <w:pPr>
        <w:spacing w:after="200"/>
      </w:pPr>
      <w:r>
        <w:rPr>
          <w:i/>
          <w:color w:val="BF7014"/>
          <w:sz w:val="17"/>
        </w:rPr>
        <w:t>↳ [FIRMENNAME] aus Kickoff-Bogen übernehmen.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</w:tcPr>
          <w:p>
            <w:r>
              <w:rPr>
                <w:b/>
                <w:color w:val="4E4943"/>
                <w:sz w:val="19"/>
              </w:rPr>
              <w:t>Erstellt für</w:t>
            </w:r>
          </w:p>
        </w:tc>
        <w:tc>
          <w:tcPr>
            <w:tcW w:type="dxa" w:w="4706"/>
          </w:tcPr>
          <w:p>
            <w:r>
              <w:rPr>
                <w:b w:val="0"/>
                <w:color w:val="121110"/>
                <w:sz w:val="19"/>
              </w:rPr>
              <w:t>[Kundenname / Firmenname]</w:t>
            </w:r>
          </w:p>
        </w:tc>
      </w:tr>
      <w:tr>
        <w:tc>
          <w:tcPr>
            <w:tcW w:type="dxa" w:w="4706"/>
          </w:tcPr>
          <w:p>
            <w:r>
              <w:rPr>
                <w:b/>
                <w:color w:val="4E4943"/>
                <w:sz w:val="19"/>
              </w:rPr>
              <w:t>Datum</w:t>
            </w:r>
          </w:p>
        </w:tc>
        <w:tc>
          <w:tcPr>
            <w:tcW w:type="dxa" w:w="4706"/>
          </w:tcPr>
          <w:p>
            <w:r>
              <w:rPr>
                <w:b w:val="0"/>
                <w:color w:val="121110"/>
                <w:sz w:val="19"/>
              </w:rPr>
              <w:t>[TT. Monat JJJJ]</w:t>
            </w:r>
          </w:p>
        </w:tc>
      </w:tr>
      <w:tr>
        <w:tc>
          <w:tcPr>
            <w:tcW w:type="dxa" w:w="4706"/>
          </w:tcPr>
          <w:p>
            <w:r>
              <w:rPr>
                <w:b/>
                <w:color w:val="4E4943"/>
                <w:sz w:val="19"/>
              </w:rPr>
              <w:t>Ansprechpartner Kunde</w:t>
            </w:r>
          </w:p>
        </w:tc>
        <w:tc>
          <w:tcPr>
            <w:tcW w:type="dxa" w:w="4706"/>
          </w:tcPr>
          <w:p>
            <w:r>
              <w:rPr>
                <w:b w:val="0"/>
                <w:color w:val="121110"/>
                <w:sz w:val="19"/>
              </w:rPr>
              <w:t>[Name, Funktion]</w:t>
            </w:r>
          </w:p>
        </w:tc>
      </w:tr>
      <w:tr>
        <w:tc>
          <w:tcPr>
            <w:tcW w:type="dxa" w:w="4706"/>
          </w:tcPr>
          <w:p>
            <w:r>
              <w:rPr>
                <w:b/>
                <w:color w:val="4E4943"/>
                <w:sz w:val="19"/>
              </w:rPr>
              <w:t>Dokument</w:t>
            </w:r>
          </w:p>
        </w:tc>
        <w:tc>
          <w:tcPr>
            <w:tcW w:type="dxa" w:w="4706"/>
          </w:tcPr>
          <w:p>
            <w:r>
              <w:rPr>
                <w:b w:val="0"/>
                <w:color w:val="121110"/>
                <w:sz w:val="19"/>
              </w:rPr>
              <w:t>KI-Readiness-Check, v1.0</w:t>
            </w:r>
          </w:p>
        </w:tc>
      </w:tr>
    </w:tbl>
    <w:p>
      <w:pPr>
        <w:spacing w:after="600"/>
      </w:pPr>
      <w:r>
        <w:rPr>
          <w:b w:val="0"/>
          <w:i w:val="0"/>
          <w:color w:val="4E4943"/>
          <w:sz w:val="21"/>
        </w:rPr>
      </w:r>
    </w:p>
    <w:p>
      <w:pPr>
        <w:spacing w:after="40"/>
      </w:pPr>
      <w:r>
        <w:rPr>
          <w:b w:val="0"/>
          <w:i w:val="0"/>
          <w:color w:val="4E4943"/>
          <w:sz w:val="19"/>
        </w:rPr>
        <w:t>Erstellt von Marlon Busche — Busche Cloud</w:t>
      </w:r>
    </w:p>
    <w:p>
      <w:pPr>
        <w:spacing w:after="320"/>
      </w:pPr>
      <w:r>
        <w:rPr>
          <w:b w:val="0"/>
          <w:i w:val="0"/>
          <w:color w:val="857E73"/>
          <w:sz w:val="19"/>
        </w:rPr>
        <w:t>KI-Beratung für den Mittelstand</w:t>
      </w:r>
    </w:p>
    <w:p>
      <w:pPr>
        <w:spacing w:after="160"/>
      </w:pPr>
      <w:r>
        <w:rPr>
          <w:b w:val="0"/>
          <w:i/>
          <w:color w:val="857E73"/>
          <w:sz w:val="16"/>
        </w:rPr>
        <w:t>Vertraulich. Nur für den internen Gebrauch bei [Firmenname] bestimmt. Weitergabe an Dritte nur mit Zustimmung von Busche Cloud.</w:t>
      </w:r>
    </w:p>
    <w:p>
      <w:pPr>
        <w:sectPr>
          <w:footerReference w:type="default" r:id="rId9"/>
          <w:pgSz w:w="11906" w:h="16838"/>
          <w:pgMar w:top="1134" w:right="1247" w:bottom="1361" w:left="1247" w:header="720" w:footer="624" w:gutter="0"/>
          <w:cols w:space="720"/>
          <w:docGrid w:linePitch="360"/>
        </w:sectPr>
      </w:pPr>
    </w:p>
    <w:p>
      <w:pPr>
        <w:spacing w:before="400" w:after="40"/>
      </w:pPr>
      <w:r>
        <w:rPr>
          <w:b/>
          <w:color w:val="BF7014"/>
          <w:sz w:val="18"/>
        </w:rPr>
        <w:t xml:space="preserve">1  </w:t>
      </w:r>
      <w:r>
        <w:rPr>
          <w:b/>
          <w:color w:val="4E4943"/>
          <w:sz w:val="18"/>
        </w:rPr>
        <w:t>EXECUTIVE SUMMARY</w:t>
      </w:r>
    </w:p>
    <w:p>
      <w:pPr>
        <w:spacing w:before="360" w:after="120"/>
      </w:pPr>
      <w:r>
        <w:rPr>
          <w:rFonts w:ascii="Calibri" w:hAnsi="Calibri"/>
          <w:b/>
          <w:color w:val="121110"/>
          <w:sz w:val="40"/>
        </w:rPr>
        <w:t>Der Blick aufs Ganze.</w:t>
      </w:r>
    </w:p>
    <w:p>
      <w:pPr>
        <w:spacing w:after="280"/>
      </w:pPr>
      <w:r>
        <w:rPr>
          <w:b w:val="0"/>
          <w:i w:val="0"/>
          <w:color w:val="857E73"/>
          <w:sz w:val="20"/>
        </w:rPr>
        <w:t>Drei Kernaussagen aus dem Readiness-Check — die Details folgen auf den nächsten Seiten.</w:t>
      </w:r>
    </w:p>
    <w:p>
      <w:pPr>
        <w:spacing w:after="80"/>
      </w:pPr>
      <w:r>
        <w:rPr>
          <w:b w:val="0"/>
          <w:i w:val="0"/>
          <w:color w:val="121110"/>
          <w:sz w:val="21"/>
        </w:rPr>
        <w:t>Im Discovery-Gespräch mit [Kundenname] wurden [ANZAHL] Prozesse aus den Bereichen [Bereich 1], [Bereich 2] und [Bereich 3] analysiert. Insgesamt wurde ein manueller Zeitaufwand von rund [X] Stunden pro Woche identifiziert, der sich durch gezielten KI-Einsatz spürbar reduzieren lässt — ohne dass dafür ein großes IT-Projekt nötig ist.</w:t>
      </w:r>
    </w:p>
    <w:p>
      <w:pPr>
        <w:spacing w:after="200"/>
      </w:pPr>
      <w:r>
        <w:rPr>
          <w:i/>
          <w:color w:val="BF7014"/>
          <w:sz w:val="17"/>
        </w:rPr>
        <w:t>↳ [ANZAHL], [Bereich 1-3]: Kickoff-Bogen. [X] Std./Woche: Summe der Spalte 'Std./Woche' im Excel-Blatt 'Prozesse'.</w:t>
      </w:r>
    </w:p>
    <w:p>
      <w:pPr>
        <w:spacing w:before="200"/>
      </w:pPr>
      <w:r>
        <w:rPr>
          <w:b/>
          <w:color w:val="E08A1E"/>
          <w:sz w:val="28"/>
        </w:rPr>
        <w:t xml:space="preserve">01  </w:t>
      </w:r>
      <w:r>
        <w:rPr>
          <w:b/>
          <w:color w:val="121110"/>
          <w:sz w:val="24"/>
        </w:rPr>
        <w:t>Größter Hebel</w:t>
      </w:r>
    </w:p>
    <w:p>
      <w:pPr>
        <w:spacing w:after="40"/>
      </w:pPr>
      <w:r>
        <w:rPr>
          <w:b w:val="0"/>
          <w:i w:val="0"/>
          <w:color w:val="4E4943"/>
          <w:sz w:val="20"/>
        </w:rPr>
        <w:t>[Prozessname] bindet aktuell [X] Std./Woche manuelle Arbeit und lässt sich mit überschaubarem Aufwand automatisieren — höchste Priorität der Roadmap.</w:t>
      </w:r>
    </w:p>
    <w:p>
      <w:pPr>
        <w:spacing w:after="200"/>
      </w:pPr>
      <w:r>
        <w:rPr>
          <w:i/>
          <w:color w:val="BF7014"/>
          <w:sz w:val="17"/>
        </w:rPr>
        <w:t>↳ Prozess mit höchstem Score aus Excel-Blatt 'Bewertung' (nach Score sortieren).</w:t>
      </w:r>
    </w:p>
    <w:p>
      <w:pPr>
        <w:spacing w:before="200"/>
      </w:pPr>
      <w:r>
        <w:rPr>
          <w:b/>
          <w:color w:val="E08A1E"/>
          <w:sz w:val="28"/>
        </w:rPr>
        <w:t xml:space="preserve">02  </w:t>
      </w:r>
      <w:r>
        <w:rPr>
          <w:b/>
          <w:color w:val="121110"/>
          <w:sz w:val="24"/>
        </w:rPr>
        <w:t>Schnellster Erfolg</w:t>
      </w:r>
    </w:p>
    <w:p>
      <w:pPr>
        <w:spacing w:after="40"/>
      </w:pPr>
      <w:r>
        <w:rPr>
          <w:b w:val="0"/>
          <w:i w:val="0"/>
          <w:color w:val="4E4943"/>
          <w:sz w:val="20"/>
        </w:rPr>
        <w:t>[Prozessname] ist in [Zeitraum, z. B. 2–3 Wochen] umsetzbar und liefert ein sichtbares Ergebnis, das Vertrauen für weitere Schritte schafft.</w:t>
      </w:r>
    </w:p>
    <w:p>
      <w:pPr>
        <w:spacing w:after="200"/>
      </w:pPr>
      <w:r>
        <w:rPr>
          <w:i/>
          <w:color w:val="BF7014"/>
          <w:sz w:val="17"/>
        </w:rPr>
        <w:t>↳ Prozess mit Phase 'Sofort' UND hoher Umsetzbarkeit (5 Punkte) — nicht zwingend identisch mit '01', falls mehrere Sofort-Kandidaten vorhanden sind.</w:t>
      </w:r>
    </w:p>
    <w:p>
      <w:pPr>
        <w:spacing w:before="200"/>
      </w:pPr>
      <w:r>
        <w:rPr>
          <w:b/>
          <w:color w:val="E08A1E"/>
          <w:sz w:val="28"/>
        </w:rPr>
        <w:t xml:space="preserve">03  </w:t>
      </w:r>
      <w:r>
        <w:rPr>
          <w:b/>
          <w:color w:val="121110"/>
          <w:sz w:val="24"/>
        </w:rPr>
        <w:t>Strategische Weichenstellung</w:t>
      </w:r>
    </w:p>
    <w:p>
      <w:pPr>
        <w:spacing w:after="40"/>
      </w:pPr>
      <w:r>
        <w:rPr>
          <w:b w:val="0"/>
          <w:i w:val="0"/>
          <w:color w:val="4E4943"/>
          <w:sz w:val="20"/>
        </w:rPr>
        <w:t>Mittelfristig empfiehlt sich der Aufbau von [Kompetenz/Prozess], um KI nicht nur punktuell, sondern strukturell im Team zu verankern.</w:t>
      </w:r>
    </w:p>
    <w:p>
      <w:pPr>
        <w:spacing w:after="200"/>
      </w:pPr>
      <w:r>
        <w:rPr>
          <w:i/>
          <w:color w:val="BF7014"/>
          <w:sz w:val="17"/>
        </w:rPr>
        <w:t>↳ Freie Einschätzung, nicht direkt aus Excel ableitbar — aus dem Gesamtbild der Prozesse im Gespräch.</w:t>
      </w:r>
    </w:p>
    <w:p>
      <w:pPr>
        <w:spacing w:before="80" w:after="80"/>
        <w:pBdr>
          <w:bottom w:val="single" w:sz="6" w:space="1" w:color="D9D3C8"/>
        </w:pBdr>
      </w:pPr>
    </w:p>
    <w:p>
      <w:pPr>
        <w:spacing w:after="160"/>
      </w:pPr>
      <w:r>
        <w:rPr>
          <w:b w:val="0"/>
          <w:i/>
          <w:color w:val="4E4943"/>
          <w:sz w:val="18"/>
        </w:rPr>
        <w:t>Dieser Report bewertet Potenzial auf Basis der im Gespräch geschilderten Prozesse. Eine belastbare Aufwandsschätzung je Maßnahme erfolgt im KI-Pilot-Projekt.</w:t>
      </w:r>
    </w:p>
    <w:p>
      <w:pPr>
        <w:sectPr>
          <w:footerReference w:type="default" r:id="rId10"/>
          <w:pgSz w:w="11906" w:h="16838"/>
          <w:pgMar w:top="1134" w:right="1247" w:bottom="1361" w:left="1247" w:header="720" w:footer="624" w:gutter="0"/>
          <w:cols w:space="720"/>
          <w:docGrid w:linePitch="360"/>
        </w:sectPr>
      </w:pPr>
    </w:p>
    <w:p>
      <w:pPr>
        <w:spacing w:before="400" w:after="40"/>
      </w:pPr>
      <w:r>
        <w:rPr>
          <w:b/>
          <w:color w:val="BF7014"/>
          <w:sz w:val="18"/>
        </w:rPr>
        <w:t xml:space="preserve">2  </w:t>
      </w:r>
      <w:r>
        <w:rPr>
          <w:b/>
          <w:color w:val="4E4943"/>
          <w:sz w:val="18"/>
        </w:rPr>
        <w:t>IST-ZUSTAND</w:t>
      </w:r>
    </w:p>
    <w:p>
      <w:pPr>
        <w:spacing w:before="360" w:after="120"/>
      </w:pPr>
      <w:r>
        <w:rPr>
          <w:rFonts w:ascii="Calibri" w:hAnsi="Calibri"/>
          <w:b/>
          <w:color w:val="121110"/>
          <w:sz w:val="40"/>
        </w:rPr>
        <w:t>Analysierte Prozesse.</w:t>
      </w:r>
    </w:p>
    <w:p>
      <w:pPr>
        <w:spacing w:after="200"/>
      </w:pPr>
      <w:r>
        <w:rPr>
          <w:b w:val="0"/>
          <w:i w:val="0"/>
          <w:color w:val="857E73"/>
          <w:sz w:val="20"/>
        </w:rPr>
        <w:t>Geschätzter manueller Zeitaufwand pro Woche, auf Basis der Angaben im Discovery-Gespräch.</w:t>
      </w:r>
    </w:p>
    <w:p>
      <w:pPr>
        <w:spacing w:after="200"/>
      </w:pPr>
      <w:r>
        <w:rPr>
          <w:i/>
          <w:color w:val="BF7014"/>
          <w:sz w:val="17"/>
        </w:rPr>
        <w:t>↳ Tabelle 1:1 aus Excel-Blatt 'Prozesse' übertragen — Spalten Prozess, Kurzbeschreibung, Std./Woche (Spalte F), Werkzeug/System.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fill="121110"/>
          </w:tcPr>
          <w:p>
            <w:r>
              <w:rPr>
                <w:b/>
                <w:color w:val="F5F1EA"/>
                <w:sz w:val="19"/>
              </w:rPr>
              <w:t>Prozess</w:t>
            </w:r>
          </w:p>
        </w:tc>
        <w:tc>
          <w:tcPr>
            <w:tcW w:type="dxa" w:w="1882"/>
            <w:shd w:fill="121110"/>
          </w:tcPr>
          <w:p>
            <w:r>
              <w:rPr>
                <w:b/>
                <w:color w:val="F5F1EA"/>
                <w:sz w:val="19"/>
              </w:rPr>
              <w:t>Bereich</w:t>
            </w:r>
          </w:p>
        </w:tc>
        <w:tc>
          <w:tcPr>
            <w:tcW w:type="dxa" w:w="1882"/>
            <w:shd w:fill="121110"/>
          </w:tcPr>
          <w:p>
            <w:r>
              <w:rPr>
                <w:b/>
                <w:color w:val="F5F1EA"/>
                <w:sz w:val="19"/>
              </w:rPr>
              <w:t>Beschreibung</w:t>
            </w:r>
          </w:p>
        </w:tc>
        <w:tc>
          <w:tcPr>
            <w:tcW w:type="dxa" w:w="1882"/>
            <w:shd w:fill="121110"/>
          </w:tcPr>
          <w:p>
            <w:r>
              <w:rPr>
                <w:b/>
                <w:color w:val="F5F1EA"/>
                <w:sz w:val="19"/>
              </w:rPr>
              <w:t>Std./Woche</w:t>
            </w:r>
          </w:p>
        </w:tc>
        <w:tc>
          <w:tcPr>
            <w:tcW w:type="dxa" w:w="1882"/>
            <w:shd w:fill="121110"/>
          </w:tcPr>
          <w:p>
            <w:r>
              <w:rPr>
                <w:b/>
                <w:color w:val="F5F1EA"/>
                <w:sz w:val="19"/>
              </w:rPr>
              <w:t>Werkzeug heute</w:t>
            </w:r>
          </w:p>
        </w:tc>
      </w:tr>
      <w:tr>
        <w:tc>
          <w:tcPr>
            <w:tcW w:type="dxa" w:w="1882"/>
          </w:tcPr>
          <w:p>
            <w:r>
              <w:rPr>
                <w:color w:val="121110"/>
                <w:sz w:val="19"/>
              </w:rPr>
              <w:t>[Prozess]</w:t>
            </w:r>
          </w:p>
        </w:tc>
        <w:tc>
          <w:tcPr>
            <w:tcW w:type="dxa" w:w="1882"/>
          </w:tcPr>
          <w:p>
            <w:r>
              <w:rPr>
                <w:color w:val="121110"/>
                <w:sz w:val="19"/>
              </w:rPr>
              <w:t>[Bereich]</w:t>
            </w:r>
          </w:p>
        </w:tc>
        <w:tc>
          <w:tcPr>
            <w:tcW w:type="dxa" w:w="1882"/>
          </w:tcPr>
          <w:p>
            <w:r>
              <w:rPr>
                <w:color w:val="121110"/>
                <w:sz w:val="19"/>
              </w:rPr>
              <w:t>[Kurzbeschreibung]</w:t>
            </w:r>
          </w:p>
        </w:tc>
        <w:tc>
          <w:tcPr>
            <w:tcW w:type="dxa" w:w="1882"/>
          </w:tcPr>
          <w:p>
            <w:r>
              <w:rPr>
                <w:color w:val="121110"/>
                <w:sz w:val="19"/>
              </w:rPr>
              <w:t>[X] Std.</w:t>
            </w:r>
          </w:p>
        </w:tc>
        <w:tc>
          <w:tcPr>
            <w:tcW w:type="dxa" w:w="1882"/>
          </w:tcPr>
          <w:p>
            <w:r>
              <w:rPr>
                <w:color w:val="121110"/>
                <w:sz w:val="19"/>
              </w:rPr>
              <w:t>[Werkzeug]</w:t>
            </w:r>
          </w:p>
        </w:tc>
      </w:tr>
      <w:tr>
        <w:tc>
          <w:tcPr>
            <w:tcW w:type="dxa" w:w="1882"/>
          </w:tcPr>
          <w:p>
            <w:r>
              <w:rPr>
                <w:color w:val="121110"/>
                <w:sz w:val="19"/>
              </w:rPr>
              <w:t>[Prozess]</w:t>
            </w:r>
          </w:p>
        </w:tc>
        <w:tc>
          <w:tcPr>
            <w:tcW w:type="dxa" w:w="1882"/>
          </w:tcPr>
          <w:p>
            <w:r>
              <w:rPr>
                <w:color w:val="121110"/>
                <w:sz w:val="19"/>
              </w:rPr>
              <w:t>[Bereich]</w:t>
            </w:r>
          </w:p>
        </w:tc>
        <w:tc>
          <w:tcPr>
            <w:tcW w:type="dxa" w:w="1882"/>
          </w:tcPr>
          <w:p>
            <w:r>
              <w:rPr>
                <w:color w:val="121110"/>
                <w:sz w:val="19"/>
              </w:rPr>
              <w:t>[Kurzbeschreibung]</w:t>
            </w:r>
          </w:p>
        </w:tc>
        <w:tc>
          <w:tcPr>
            <w:tcW w:type="dxa" w:w="1882"/>
          </w:tcPr>
          <w:p>
            <w:r>
              <w:rPr>
                <w:color w:val="121110"/>
                <w:sz w:val="19"/>
              </w:rPr>
              <w:t>[X] Std.</w:t>
            </w:r>
          </w:p>
        </w:tc>
        <w:tc>
          <w:tcPr>
            <w:tcW w:type="dxa" w:w="1882"/>
          </w:tcPr>
          <w:p>
            <w:r>
              <w:rPr>
                <w:color w:val="121110"/>
                <w:sz w:val="19"/>
              </w:rPr>
              <w:t>[Werkzeug]</w:t>
            </w:r>
          </w:p>
        </w:tc>
      </w:tr>
      <w:tr>
        <w:tc>
          <w:tcPr>
            <w:tcW w:type="dxa" w:w="1882"/>
          </w:tcPr>
          <w:p>
            <w:r>
              <w:rPr>
                <w:color w:val="121110"/>
                <w:sz w:val="19"/>
              </w:rPr>
              <w:t>[Prozess]</w:t>
            </w:r>
          </w:p>
        </w:tc>
        <w:tc>
          <w:tcPr>
            <w:tcW w:type="dxa" w:w="1882"/>
          </w:tcPr>
          <w:p>
            <w:r>
              <w:rPr>
                <w:color w:val="121110"/>
                <w:sz w:val="19"/>
              </w:rPr>
              <w:t>[Bereich]</w:t>
            </w:r>
          </w:p>
        </w:tc>
        <w:tc>
          <w:tcPr>
            <w:tcW w:type="dxa" w:w="1882"/>
          </w:tcPr>
          <w:p>
            <w:r>
              <w:rPr>
                <w:color w:val="121110"/>
                <w:sz w:val="19"/>
              </w:rPr>
              <w:t>[Kurzbeschreibung]</w:t>
            </w:r>
          </w:p>
        </w:tc>
        <w:tc>
          <w:tcPr>
            <w:tcW w:type="dxa" w:w="1882"/>
          </w:tcPr>
          <w:p>
            <w:r>
              <w:rPr>
                <w:color w:val="121110"/>
                <w:sz w:val="19"/>
              </w:rPr>
              <w:t>[X] Std.</w:t>
            </w:r>
          </w:p>
        </w:tc>
        <w:tc>
          <w:tcPr>
            <w:tcW w:type="dxa" w:w="1882"/>
          </w:tcPr>
          <w:p>
            <w:r>
              <w:rPr>
                <w:color w:val="121110"/>
                <w:sz w:val="19"/>
              </w:rPr>
              <w:t>[Werkzeug]</w:t>
            </w:r>
          </w:p>
        </w:tc>
      </w:tr>
      <w:tr>
        <w:tc>
          <w:tcPr>
            <w:tcW w:type="dxa" w:w="1882"/>
          </w:tcPr>
          <w:p>
            <w:r>
              <w:rPr>
                <w:color w:val="121110"/>
                <w:sz w:val="19"/>
              </w:rPr>
              <w:t>[Prozess]</w:t>
            </w:r>
          </w:p>
        </w:tc>
        <w:tc>
          <w:tcPr>
            <w:tcW w:type="dxa" w:w="1882"/>
          </w:tcPr>
          <w:p>
            <w:r>
              <w:rPr>
                <w:color w:val="121110"/>
                <w:sz w:val="19"/>
              </w:rPr>
              <w:t>[Bereich]</w:t>
            </w:r>
          </w:p>
        </w:tc>
        <w:tc>
          <w:tcPr>
            <w:tcW w:type="dxa" w:w="1882"/>
          </w:tcPr>
          <w:p>
            <w:r>
              <w:rPr>
                <w:color w:val="121110"/>
                <w:sz w:val="19"/>
              </w:rPr>
              <w:t>[Kurzbeschreibung]</w:t>
            </w:r>
          </w:p>
        </w:tc>
        <w:tc>
          <w:tcPr>
            <w:tcW w:type="dxa" w:w="1882"/>
          </w:tcPr>
          <w:p>
            <w:r>
              <w:rPr>
                <w:color w:val="121110"/>
                <w:sz w:val="19"/>
              </w:rPr>
              <w:t>[X] Std.</w:t>
            </w:r>
          </w:p>
        </w:tc>
        <w:tc>
          <w:tcPr>
            <w:tcW w:type="dxa" w:w="1882"/>
          </w:tcPr>
          <w:p>
            <w:r>
              <w:rPr>
                <w:color w:val="121110"/>
                <w:sz w:val="19"/>
              </w:rPr>
              <w:t>[Werkzeug]</w:t>
            </w:r>
          </w:p>
        </w:tc>
      </w:tr>
      <w:tr>
        <w:tc>
          <w:tcPr>
            <w:tcW w:type="dxa" w:w="1882"/>
          </w:tcPr>
          <w:p>
            <w:r>
              <w:rPr>
                <w:color w:val="121110"/>
                <w:sz w:val="19"/>
              </w:rPr>
              <w:t>[Prozess]</w:t>
            </w:r>
          </w:p>
        </w:tc>
        <w:tc>
          <w:tcPr>
            <w:tcW w:type="dxa" w:w="1882"/>
          </w:tcPr>
          <w:p>
            <w:r>
              <w:rPr>
                <w:color w:val="121110"/>
                <w:sz w:val="19"/>
              </w:rPr>
              <w:t>[Bereich]</w:t>
            </w:r>
          </w:p>
        </w:tc>
        <w:tc>
          <w:tcPr>
            <w:tcW w:type="dxa" w:w="1882"/>
          </w:tcPr>
          <w:p>
            <w:r>
              <w:rPr>
                <w:color w:val="121110"/>
                <w:sz w:val="19"/>
              </w:rPr>
              <w:t>[Kurzbeschreibung]</w:t>
            </w:r>
          </w:p>
        </w:tc>
        <w:tc>
          <w:tcPr>
            <w:tcW w:type="dxa" w:w="1882"/>
          </w:tcPr>
          <w:p>
            <w:r>
              <w:rPr>
                <w:color w:val="121110"/>
                <w:sz w:val="19"/>
              </w:rPr>
              <w:t>[X] Std.</w:t>
            </w:r>
          </w:p>
        </w:tc>
        <w:tc>
          <w:tcPr>
            <w:tcW w:type="dxa" w:w="1882"/>
          </w:tcPr>
          <w:p>
            <w:r>
              <w:rPr>
                <w:color w:val="121110"/>
                <w:sz w:val="19"/>
              </w:rPr>
              <w:t>[Werkzeug]</w:t>
            </w:r>
          </w:p>
        </w:tc>
      </w:tr>
      <w:tr>
        <w:tc>
          <w:tcPr>
            <w:tcW w:type="dxa" w:w="1882"/>
          </w:tcPr>
          <w:p>
            <w:r>
              <w:rPr>
                <w:color w:val="121110"/>
                <w:sz w:val="19"/>
              </w:rPr>
              <w:t>Summe</w:t>
            </w:r>
          </w:p>
        </w:tc>
        <w:tc>
          <w:tcPr>
            <w:tcW w:type="dxa" w:w="1882"/>
          </w:tcPr>
          <w:p/>
        </w:tc>
        <w:tc>
          <w:tcPr>
            <w:tcW w:type="dxa" w:w="1882"/>
          </w:tcPr>
          <w:p/>
        </w:tc>
        <w:tc>
          <w:tcPr>
            <w:tcW w:type="dxa" w:w="1882"/>
          </w:tcPr>
          <w:p>
            <w:r>
              <w:rPr>
                <w:color w:val="121110"/>
                <w:sz w:val="19"/>
              </w:rPr>
              <w:t>[X] Std.</w:t>
            </w:r>
          </w:p>
        </w:tc>
        <w:tc>
          <w:tcPr>
            <w:tcW w:type="dxa" w:w="1882"/>
          </w:tcPr>
          <w:p/>
        </w:tc>
      </w:tr>
    </w:tbl>
    <w:p>
      <w:pPr>
        <w:spacing w:after="80"/>
      </w:pPr>
      <w:r>
        <w:rPr>
          <w:b w:val="0"/>
          <w:i w:val="0"/>
          <w:color w:val="4E4943"/>
          <w:sz w:val="17"/>
        </w:rPr>
        <w:t>Die Einschätzung des Zeitaufwands basiert auf den Angaben von [Kundenname] im Discovery-Gespräch vom [Datum] und wurde nicht durch eine Zeiterfassung verifiziert. Sie dient der Priorisierung, nicht als exakte betriebswirtschaftliche Kennzahl.</w:t>
      </w:r>
    </w:p>
    <w:p>
      <w:pPr>
        <w:sectPr>
          <w:footerReference w:type="default" r:id="rId11"/>
          <w:pgSz w:w="11906" w:h="16838"/>
          <w:pgMar w:top="1134" w:right="1247" w:bottom="1361" w:left="1247" w:header="720" w:footer="624" w:gutter="0"/>
          <w:cols w:space="720"/>
          <w:docGrid w:linePitch="360"/>
        </w:sectPr>
      </w:pPr>
    </w:p>
    <w:p>
      <w:pPr>
        <w:spacing w:before="400" w:after="40"/>
      </w:pPr>
      <w:r>
        <w:rPr>
          <w:b/>
          <w:color w:val="BF7014"/>
          <w:sz w:val="18"/>
        </w:rPr>
        <w:t xml:space="preserve">3  </w:t>
      </w:r>
      <w:r>
        <w:rPr>
          <w:b/>
          <w:color w:val="4E4943"/>
          <w:sz w:val="18"/>
        </w:rPr>
        <w:t>POTENZIAL-MATRIX</w:t>
      </w:r>
    </w:p>
    <w:p>
      <w:pPr>
        <w:spacing w:before="360" w:after="120"/>
      </w:pPr>
      <w:r>
        <w:rPr>
          <w:rFonts w:ascii="Calibri" w:hAnsi="Calibri"/>
          <w:b/>
          <w:color w:val="121110"/>
          <w:sz w:val="40"/>
        </w:rPr>
        <w:t>Aufwand vs. Automatisierungspotenzial.</w:t>
      </w:r>
    </w:p>
    <w:p>
      <w:pPr>
        <w:spacing w:after="200"/>
      </w:pPr>
      <w:r>
        <w:rPr>
          <w:b w:val="0"/>
          <w:i w:val="0"/>
          <w:color w:val="857E73"/>
          <w:sz w:val="20"/>
        </w:rPr>
        <w:t>Die analysierten Prozesse eingeordnet nach Umsetzungsaufwand und erwartetem Nutzen.</w:t>
      </w:r>
    </w:p>
    <w:p>
      <w:pPr>
        <w:spacing w:after="200"/>
      </w:pPr>
      <w:r>
        <w:rPr>
          <w:i/>
          <w:color w:val="BF7014"/>
          <w:sz w:val="17"/>
        </w:rPr>
        <w:t>↳ Matrix-Grafik: Screenshot aus Excel-Blatt 'Bewertung' (Blasendiagramm rechts neben der Tabelle) hier einfügen — Achsen (Zeitaufwand × Umsetzbarkeit) stimmen mit diesem Layout überein, keine Neuzeichnung nötig.</w:t>
      </w:r>
    </w:p>
    <w:p>
      <w:pPr>
        <w:spacing w:before="400" w:after="400"/>
        <w:ind w:left="567" w:right="567"/>
        <w:jc w:val="center"/>
      </w:pPr>
      <w:r>
        <w:rPr>
          <w:i/>
          <w:color w:val="857E73"/>
          <w:sz w:val="20"/>
        </w:rPr>
        <w:t>[ HIER: Screenshot der Matrix-Grafik aus Excel einfügen — Bild &gt; Einfügen ]</w:t>
      </w:r>
    </w:p>
    <w:p>
      <w:pPr>
        <w:spacing w:after="40"/>
      </w:pPr>
      <w:r>
        <w:rPr>
          <w:b/>
          <w:color w:val="121110"/>
          <w:sz w:val="20"/>
        </w:rPr>
        <w:t>P1 — [Prozess 1]</w:t>
      </w:r>
    </w:p>
    <w:p>
      <w:pPr>
        <w:spacing w:after="160"/>
      </w:pPr>
      <w:r>
        <w:rPr>
          <w:b w:val="0"/>
          <w:i w:val="0"/>
          <w:color w:val="4E4943"/>
          <w:sz w:val="19"/>
        </w:rPr>
        <w:t>Geringer Aufwand, hoher Nutzen. Sofort umsetzbar, siehe Roadmap Phase 1.</w:t>
      </w:r>
    </w:p>
    <w:p>
      <w:pPr>
        <w:spacing w:after="40"/>
      </w:pPr>
      <w:r>
        <w:rPr>
          <w:b/>
          <w:color w:val="121110"/>
          <w:sz w:val="20"/>
        </w:rPr>
        <w:t>P2 / P3 — [Prozess 2] / [Prozess 3]</w:t>
      </w:r>
    </w:p>
    <w:p>
      <w:pPr>
        <w:spacing w:after="160"/>
      </w:pPr>
      <w:r>
        <w:rPr>
          <w:b w:val="0"/>
          <w:i w:val="0"/>
          <w:color w:val="4E4943"/>
          <w:sz w:val="19"/>
        </w:rPr>
        <w:t>Solides Potenzial bei mittlerem Aufwand. Für Phase 2 (3 Monate) eingeplant.</w:t>
      </w:r>
    </w:p>
    <w:p>
      <w:pPr>
        <w:spacing w:after="40"/>
      </w:pPr>
      <w:r>
        <w:rPr>
          <w:b/>
          <w:color w:val="121110"/>
          <w:sz w:val="20"/>
        </w:rPr>
        <w:t>P4 / P5 — [Prozess 4] / [Prozess 5]</w:t>
      </w:r>
    </w:p>
    <w:p>
      <w:pPr>
        <w:spacing w:after="160"/>
      </w:pPr>
      <w:r>
        <w:rPr>
          <w:b w:val="0"/>
          <w:i w:val="0"/>
          <w:color w:val="4E4943"/>
          <w:sz w:val="19"/>
        </w:rPr>
        <w:t>Perspektivisch relevant, aber aktuell nachrangig. Beobachten, in 6–12 Monaten neu bewerten.</w:t>
      </w:r>
    </w:p>
    <w:p>
      <w:pPr>
        <w:spacing w:after="160"/>
      </w:pPr>
      <w:r>
        <w:rPr>
          <w:b w:val="0"/>
          <w:i/>
          <w:color w:val="857E73"/>
          <w:sz w:val="17"/>
        </w:rPr>
        <w:t>Positionierung basiert auf einer qualitativen Einschätzung im Rahmen des Readiness-Checks, nicht auf einer quantitativen ROI-Berechnung.</w:t>
      </w:r>
    </w:p>
    <w:p>
      <w:pPr>
        <w:sectPr>
          <w:footerReference w:type="default" r:id="rId12"/>
          <w:pgSz w:w="11906" w:h="16838"/>
          <w:pgMar w:top="1134" w:right="1247" w:bottom="1361" w:left="1247" w:header="720" w:footer="624" w:gutter="0"/>
          <w:cols w:space="720"/>
          <w:docGrid w:linePitch="360"/>
        </w:sectPr>
      </w:pPr>
    </w:p>
    <w:p>
      <w:pPr>
        <w:spacing w:before="400" w:after="40"/>
      </w:pPr>
      <w:r>
        <w:rPr>
          <w:b/>
          <w:color w:val="BF7014"/>
          <w:sz w:val="18"/>
        </w:rPr>
        <w:t xml:space="preserve">4  </w:t>
      </w:r>
      <w:r>
        <w:rPr>
          <w:b/>
          <w:color w:val="4E4943"/>
          <w:sz w:val="18"/>
        </w:rPr>
        <w:t>ROADMAP</w:t>
      </w:r>
    </w:p>
    <w:p>
      <w:pPr>
        <w:spacing w:before="360" w:after="120"/>
      </w:pPr>
      <w:r>
        <w:rPr>
          <w:rFonts w:ascii="Calibri" w:hAnsi="Calibri"/>
          <w:b/>
          <w:color w:val="121110"/>
          <w:sz w:val="40"/>
        </w:rPr>
        <w:t>Priorisierte Maßnahmen.</w:t>
      </w:r>
    </w:p>
    <w:p>
      <w:pPr>
        <w:spacing w:after="200"/>
      </w:pPr>
      <w:r>
        <w:rPr>
          <w:b w:val="0"/>
          <w:i w:val="0"/>
          <w:color w:val="857E73"/>
          <w:sz w:val="20"/>
        </w:rPr>
        <w:t>Drei Phasen, vom schnellen Erfolg bis zur strukturellen Verankerung.</w:t>
      </w:r>
    </w:p>
    <w:p>
      <w:pPr>
        <w:spacing w:after="200"/>
      </w:pPr>
      <w:r>
        <w:rPr>
          <w:i/>
          <w:color w:val="BF7014"/>
          <w:sz w:val="17"/>
        </w:rPr>
        <w:t>↳ Phase 1 = Prozesse mit Score ≥60 aus Excel. Phase 2 = Score 20-59. Phase 3 = strategische Maßnahme, nicht direkt aus einem einzelnen Prozess abgeleitet, sondern aus dem Gesamtbild (z. B. Team-Schulung, KI-Guideline).</w:t>
      </w:r>
    </w:p>
    <w:p>
      <w:pPr>
        <w:spacing w:before="280" w:after="20"/>
      </w:pPr>
      <w:r>
        <w:rPr>
          <w:b/>
          <w:color w:val="BF7014"/>
          <w:sz w:val="18"/>
        </w:rPr>
        <w:t>PHASE 1 · SOFORT</w:t>
      </w:r>
    </w:p>
    <w:p>
      <w:pPr>
        <w:spacing w:after="120"/>
      </w:pPr>
      <w:r>
        <w:rPr>
          <w:b/>
          <w:color w:val="121110"/>
          <w:sz w:val="26"/>
        </w:rPr>
        <w:t>0–4 Wochen</w:t>
      </w:r>
    </w:p>
    <w:p>
      <w:pPr>
        <w:spacing w:after="20"/>
        <w:ind w:left="283"/>
      </w:pPr>
      <w:r>
        <w:rPr>
          <w:b/>
          <w:color w:val="121110"/>
          <w:sz w:val="21"/>
        </w:rPr>
        <w:t>[Maßnahme 1, z. B. Vorlagen-Automatisierung]</w:t>
      </w:r>
    </w:p>
    <w:p>
      <w:pPr>
        <w:spacing w:after="120"/>
        <w:ind w:left="283"/>
      </w:pPr>
      <w:r>
        <w:rPr>
          <w:color w:val="4E4943"/>
          <w:sz w:val="19"/>
        </w:rPr>
        <w:t>[Kurzbeschreibung: was konkret umgesetzt wird und welcher Prozess dadurch entlastet wird.]</w:t>
      </w:r>
    </w:p>
    <w:p>
      <w:pPr>
        <w:spacing w:after="20"/>
        <w:ind w:left="283"/>
      </w:pPr>
      <w:r>
        <w:rPr>
          <w:b/>
          <w:color w:val="121110"/>
          <w:sz w:val="21"/>
        </w:rPr>
        <w:t>[Maßnahme 2, z. B. Prompt-Bibliothek für Team]</w:t>
      </w:r>
    </w:p>
    <w:p>
      <w:pPr>
        <w:spacing w:after="120"/>
        <w:ind w:left="283"/>
      </w:pPr>
      <w:r>
        <w:rPr>
          <w:color w:val="4E4943"/>
          <w:sz w:val="19"/>
        </w:rPr>
        <w:t>[Kurzbeschreibung der zweiten Sofortmaßnahme.]</w:t>
      </w:r>
    </w:p>
    <w:p>
      <w:pPr>
        <w:spacing w:before="280" w:after="20"/>
      </w:pPr>
      <w:r>
        <w:rPr>
          <w:b/>
          <w:color w:val="BF7014"/>
          <w:sz w:val="18"/>
        </w:rPr>
        <w:t>PHASE 2 · 3 MONATE</w:t>
      </w:r>
    </w:p>
    <w:p>
      <w:pPr>
        <w:spacing w:after="120"/>
      </w:pPr>
      <w:r>
        <w:rPr>
          <w:b/>
          <w:color w:val="121110"/>
          <w:sz w:val="26"/>
        </w:rPr>
        <w:t>1–3 Monate</w:t>
      </w:r>
    </w:p>
    <w:p>
      <w:pPr>
        <w:spacing w:after="20"/>
        <w:ind w:left="283"/>
      </w:pPr>
      <w:r>
        <w:rPr>
          <w:b/>
          <w:color w:val="121110"/>
          <w:sz w:val="21"/>
        </w:rPr>
        <w:t>[Maßnahme 3, z. B. Workflow-Automatisierung mit n8n]</w:t>
      </w:r>
    </w:p>
    <w:p>
      <w:pPr>
        <w:spacing w:after="120"/>
        <w:ind w:left="283"/>
      </w:pPr>
      <w:r>
        <w:rPr>
          <w:color w:val="4E4943"/>
          <w:sz w:val="19"/>
        </w:rPr>
        <w:t>[Kurzbeschreibung: technische Umsetzung, beteiligte Systeme, erwarteter Effekt.]</w:t>
      </w:r>
    </w:p>
    <w:p>
      <w:pPr>
        <w:spacing w:after="20"/>
        <w:ind w:left="283"/>
      </w:pPr>
      <w:r>
        <w:rPr>
          <w:b/>
          <w:color w:val="121110"/>
          <w:sz w:val="21"/>
        </w:rPr>
        <w:t>[Maßnahme 4, z. B. Chatbot für Kundenanfragen]</w:t>
      </w:r>
    </w:p>
    <w:p>
      <w:pPr>
        <w:spacing w:after="120"/>
        <w:ind w:left="283"/>
      </w:pPr>
      <w:r>
        <w:rPr>
          <w:color w:val="4E4943"/>
          <w:sz w:val="19"/>
        </w:rPr>
        <w:t>[Kurzbeschreibung der zweiten Maßnahme für Phase 2.]</w:t>
      </w:r>
    </w:p>
    <w:p>
      <w:pPr>
        <w:spacing w:before="280" w:after="20"/>
      </w:pPr>
      <w:r>
        <w:rPr>
          <w:b/>
          <w:color w:val="BF7014"/>
          <w:sz w:val="18"/>
        </w:rPr>
        <w:t>PHASE 3 · 6–12 MONATE</w:t>
      </w:r>
    </w:p>
    <w:p>
      <w:pPr>
        <w:spacing w:after="120"/>
      </w:pPr>
      <w:r>
        <w:rPr>
          <w:b/>
          <w:color w:val="121110"/>
          <w:sz w:val="26"/>
        </w:rPr>
        <w:t>Struktur &amp; Skalierung</w:t>
      </w:r>
    </w:p>
    <w:p>
      <w:pPr>
        <w:spacing w:after="20"/>
        <w:ind w:left="283"/>
      </w:pPr>
      <w:r>
        <w:rPr>
          <w:b/>
          <w:color w:val="121110"/>
          <w:sz w:val="21"/>
        </w:rPr>
        <w:t>[Maßnahme 5, z. B. KI-Guideline &amp; Schulung im Team]</w:t>
      </w:r>
    </w:p>
    <w:p>
      <w:pPr>
        <w:spacing w:after="120"/>
        <w:ind w:left="283"/>
      </w:pPr>
      <w:r>
        <w:rPr>
          <w:color w:val="4E4943"/>
          <w:sz w:val="19"/>
        </w:rPr>
        <w:t>[Kurzbeschreibung: wie KI-Nutzung organisatorisch verankert wird.]</w:t>
      </w:r>
    </w:p>
    <w:p>
      <w:pPr>
        <w:spacing w:after="20"/>
        <w:ind w:left="283"/>
      </w:pPr>
      <w:r>
        <w:rPr>
          <w:b/>
          <w:color w:val="121110"/>
          <w:sz w:val="21"/>
        </w:rPr>
        <w:t>[Maßnahme 6, z. B. Integration in SAP-nahe Prozesse]</w:t>
      </w:r>
    </w:p>
    <w:p>
      <w:pPr>
        <w:spacing w:after="120"/>
        <w:ind w:left="283"/>
      </w:pPr>
      <w:r>
        <w:rPr>
          <w:color w:val="4E4943"/>
          <w:sz w:val="19"/>
        </w:rPr>
        <w:t>[Kurzbeschreibung der zweiten Maßnahme für Phase 3.]</w:t>
      </w:r>
    </w:p>
    <w:p>
      <w:pPr>
        <w:sectPr>
          <w:footerReference w:type="default" r:id="rId13"/>
          <w:pgSz w:w="11906" w:h="16838"/>
          <w:pgMar w:top="1134" w:right="1247" w:bottom="1361" w:left="1247" w:header="720" w:footer="624" w:gutter="0"/>
          <w:cols w:space="720"/>
          <w:docGrid w:linePitch="360"/>
        </w:sectPr>
      </w:pPr>
    </w:p>
    <w:p>
      <w:pPr>
        <w:spacing w:before="400" w:after="40"/>
      </w:pPr>
      <w:r>
        <w:rPr>
          <w:b/>
          <w:color w:val="BF7014"/>
          <w:sz w:val="18"/>
        </w:rPr>
        <w:t xml:space="preserve">5  </w:t>
      </w:r>
      <w:r>
        <w:rPr>
          <w:b/>
          <w:color w:val="4E4943"/>
          <w:sz w:val="18"/>
        </w:rPr>
        <w:t>TOOL-EMPFEHLUNGEN</w:t>
      </w:r>
    </w:p>
    <w:p>
      <w:pPr>
        <w:spacing w:before="360" w:after="120"/>
      </w:pPr>
      <w:r>
        <w:rPr>
          <w:rFonts w:ascii="Calibri" w:hAnsi="Calibri"/>
          <w:b/>
          <w:color w:val="121110"/>
          <w:sz w:val="40"/>
        </w:rPr>
        <w:t>Konkrete Werkzeuge.</w:t>
      </w:r>
    </w:p>
    <w:p>
      <w:pPr>
        <w:spacing w:after="200"/>
      </w:pPr>
      <w:r>
        <w:rPr>
          <w:b w:val="0"/>
          <w:i w:val="0"/>
          <w:color w:val="857E73"/>
          <w:sz w:val="20"/>
        </w:rPr>
        <w:t>Ausgewählt für die identifizierten Prozesse — bewusst schlank statt Tool-Wildwuchs.</w:t>
      </w:r>
    </w:p>
    <w:p>
      <w:pPr>
        <w:spacing w:after="200"/>
      </w:pPr>
      <w:r>
        <w:rPr>
          <w:i/>
          <w:color w:val="BF7014"/>
          <w:sz w:val="17"/>
        </w:rPr>
        <w:t>↳ Tool-Auswahl folgt der Tool-Logik in Methodik Abschnitt 4 (Reifegrad des Kunden, Systemintegration aus Intake-Frage 2).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fill="121110"/>
          </w:tcPr>
          <w:p>
            <w:r>
              <w:rPr>
                <w:b/>
                <w:color w:val="F5F1EA"/>
                <w:sz w:val="19"/>
              </w:rPr>
              <w:t>Tool</w:t>
            </w:r>
          </w:p>
        </w:tc>
        <w:tc>
          <w:tcPr>
            <w:tcW w:type="dxa" w:w="2353"/>
            <w:shd w:fill="121110"/>
          </w:tcPr>
          <w:p>
            <w:r>
              <w:rPr>
                <w:b/>
                <w:color w:val="F5F1EA"/>
                <w:sz w:val="19"/>
              </w:rPr>
              <w:t>Zweck</w:t>
            </w:r>
          </w:p>
        </w:tc>
        <w:tc>
          <w:tcPr>
            <w:tcW w:type="dxa" w:w="2353"/>
            <w:shd w:fill="121110"/>
          </w:tcPr>
          <w:p>
            <w:r>
              <w:rPr>
                <w:b/>
                <w:color w:val="F5F1EA"/>
                <w:sz w:val="19"/>
              </w:rPr>
              <w:t>Geschätzte Kosten</w:t>
            </w:r>
          </w:p>
        </w:tc>
        <w:tc>
          <w:tcPr>
            <w:tcW w:type="dxa" w:w="2353"/>
            <w:shd w:fill="121110"/>
          </w:tcPr>
          <w:p>
            <w:r>
              <w:rPr>
                <w:b/>
                <w:color w:val="F5F1EA"/>
                <w:sz w:val="19"/>
              </w:rPr>
              <w:t>Begründung</w:t>
            </w:r>
          </w:p>
        </w:tc>
      </w:tr>
      <w:tr>
        <w:tc>
          <w:tcPr>
            <w:tcW w:type="dxa" w:w="2353"/>
          </w:tcPr>
          <w:p>
            <w:r>
              <w:rPr>
                <w:color w:val="121110"/>
                <w:sz w:val="19"/>
              </w:rPr>
              <w:t>[Tool 1, z. B. ChatGPT Team]</w:t>
            </w:r>
          </w:p>
        </w:tc>
        <w:tc>
          <w:tcPr>
            <w:tcW w:type="dxa" w:w="2353"/>
          </w:tcPr>
          <w:p>
            <w:r>
              <w:rPr>
                <w:color w:val="121110"/>
                <w:sz w:val="19"/>
              </w:rPr>
              <w:t>[z. B. Textentwürfe, Recherche, Zusammenfassungen]</w:t>
            </w:r>
          </w:p>
        </w:tc>
        <w:tc>
          <w:tcPr>
            <w:tcW w:type="dxa" w:w="2353"/>
          </w:tcPr>
          <w:p>
            <w:r>
              <w:rPr>
                <w:color w:val="121110"/>
                <w:sz w:val="19"/>
              </w:rPr>
              <w:t>[X] €/Monat</w:t>
            </w:r>
          </w:p>
        </w:tc>
        <w:tc>
          <w:tcPr>
            <w:tcW w:type="dxa" w:w="2353"/>
          </w:tcPr>
          <w:p>
            <w:r>
              <w:rPr>
                <w:color w:val="121110"/>
                <w:sz w:val="19"/>
              </w:rPr>
              <w:t>[Warum dieses Tool für diesen Prozess passt.]</w:t>
            </w:r>
          </w:p>
        </w:tc>
      </w:tr>
      <w:tr>
        <w:tc>
          <w:tcPr>
            <w:tcW w:type="dxa" w:w="2353"/>
          </w:tcPr>
          <w:p>
            <w:r>
              <w:rPr>
                <w:color w:val="121110"/>
                <w:sz w:val="19"/>
              </w:rPr>
              <w:t>[Tool 2, z. B. n8n]</w:t>
            </w:r>
          </w:p>
        </w:tc>
        <w:tc>
          <w:tcPr>
            <w:tcW w:type="dxa" w:w="2353"/>
          </w:tcPr>
          <w:p>
            <w:r>
              <w:rPr>
                <w:color w:val="121110"/>
                <w:sz w:val="19"/>
              </w:rPr>
              <w:t>[z. B. Workflow-Automatisierung zwischen Systemen]</w:t>
            </w:r>
          </w:p>
        </w:tc>
        <w:tc>
          <w:tcPr>
            <w:tcW w:type="dxa" w:w="2353"/>
          </w:tcPr>
          <w:p>
            <w:r>
              <w:rPr>
                <w:color w:val="121110"/>
                <w:sz w:val="19"/>
              </w:rPr>
              <w:t>[X] €/Monat</w:t>
            </w:r>
          </w:p>
        </w:tc>
        <w:tc>
          <w:tcPr>
            <w:tcW w:type="dxa" w:w="2353"/>
          </w:tcPr>
          <w:p>
            <w:r>
              <w:rPr>
                <w:color w:val="121110"/>
                <w:sz w:val="19"/>
              </w:rPr>
              <w:t>[Begründung, z. B. Self-Hosting möglich, passt zu bestehender Systemlandschaft.]</w:t>
            </w:r>
          </w:p>
        </w:tc>
      </w:tr>
      <w:tr>
        <w:tc>
          <w:tcPr>
            <w:tcW w:type="dxa" w:w="2353"/>
          </w:tcPr>
          <w:p>
            <w:r>
              <w:rPr>
                <w:color w:val="121110"/>
                <w:sz w:val="19"/>
              </w:rPr>
              <w:t>[Tool 3, z. B. Zapier]</w:t>
            </w:r>
          </w:p>
        </w:tc>
        <w:tc>
          <w:tcPr>
            <w:tcW w:type="dxa" w:w="2353"/>
          </w:tcPr>
          <w:p>
            <w:r>
              <w:rPr>
                <w:color w:val="121110"/>
                <w:sz w:val="19"/>
              </w:rPr>
              <w:t>[z. B. einfache Trigger-Automatisierungen ohne IT-Ressourcen]</w:t>
            </w:r>
          </w:p>
        </w:tc>
        <w:tc>
          <w:tcPr>
            <w:tcW w:type="dxa" w:w="2353"/>
          </w:tcPr>
          <w:p>
            <w:r>
              <w:rPr>
                <w:color w:val="121110"/>
                <w:sz w:val="19"/>
              </w:rPr>
              <w:t>[X] €/Monat</w:t>
            </w:r>
          </w:p>
        </w:tc>
        <w:tc>
          <w:tcPr>
            <w:tcW w:type="dxa" w:w="2353"/>
          </w:tcPr>
          <w:p>
            <w:r>
              <w:rPr>
                <w:color w:val="121110"/>
                <w:sz w:val="19"/>
              </w:rPr>
              <w:t>[Begründung, z. B. schnellster Einstieg ohne Entwicklungsaufwand.]</w:t>
            </w:r>
          </w:p>
        </w:tc>
      </w:tr>
      <w:tr>
        <w:tc>
          <w:tcPr>
            <w:tcW w:type="dxa" w:w="2353"/>
          </w:tcPr>
          <w:p>
            <w:r>
              <w:rPr>
                <w:color w:val="121110"/>
                <w:sz w:val="19"/>
              </w:rPr>
              <w:t>[Tool 4, z. B. individuelle SAP-Schnittstelle]</w:t>
            </w:r>
          </w:p>
        </w:tc>
        <w:tc>
          <w:tcPr>
            <w:tcW w:type="dxa" w:w="2353"/>
          </w:tcPr>
          <w:p>
            <w:r>
              <w:rPr>
                <w:color w:val="121110"/>
                <w:sz w:val="19"/>
              </w:rPr>
              <w:t>[z. B. automatisierter Datenabgleich]</w:t>
            </w:r>
          </w:p>
        </w:tc>
        <w:tc>
          <w:tcPr>
            <w:tcW w:type="dxa" w:w="2353"/>
          </w:tcPr>
          <w:p>
            <w:r>
              <w:rPr>
                <w:color w:val="121110"/>
                <w:sz w:val="19"/>
              </w:rPr>
              <w:t>[X] € einmalig</w:t>
            </w:r>
          </w:p>
        </w:tc>
        <w:tc>
          <w:tcPr>
            <w:tcW w:type="dxa" w:w="2353"/>
          </w:tcPr>
          <w:p>
            <w:r>
              <w:rPr>
                <w:color w:val="121110"/>
                <w:sz w:val="19"/>
              </w:rPr>
              <w:t>[Begründung, z. B. notwendig für Phase 2/3, da Standardtool nicht ausreicht.]</w:t>
            </w:r>
          </w:p>
        </w:tc>
      </w:tr>
    </w:tbl>
    <w:p>
      <w:pPr>
        <w:spacing w:after="80"/>
      </w:pPr>
      <w:r>
        <w:rPr>
          <w:b w:val="0"/>
          <w:i w:val="0"/>
          <w:color w:val="4E4943"/>
          <w:sz w:val="17"/>
        </w:rPr>
        <w:t>Kostenangaben sind Schätzwerte auf Basis öffentlicher Preislisten (Stand [Monat/Jahr]) und können je nach Nutzerzahl und Vertragsmodell abweichen.</w:t>
      </w:r>
    </w:p>
    <w:p>
      <w:pPr>
        <w:sectPr>
          <w:footerReference w:type="default" r:id="rId14"/>
          <w:pgSz w:w="11906" w:h="16838"/>
          <w:pgMar w:top="1134" w:right="1247" w:bottom="1361" w:left="1247" w:header="720" w:footer="624" w:gutter="0"/>
          <w:cols w:space="720"/>
          <w:docGrid w:linePitch="360"/>
        </w:sectPr>
      </w:pPr>
    </w:p>
    <w:p>
      <w:pPr>
        <w:spacing w:before="400" w:after="40"/>
      </w:pPr>
      <w:r>
        <w:rPr>
          <w:b/>
          <w:color w:val="BF7014"/>
          <w:sz w:val="18"/>
        </w:rPr>
        <w:t xml:space="preserve">6  </w:t>
      </w:r>
      <w:r>
        <w:rPr>
          <w:b/>
          <w:color w:val="4E4943"/>
          <w:sz w:val="18"/>
        </w:rPr>
        <w:t>NÄCHSTE SCHRITTE</w:t>
      </w:r>
    </w:p>
    <w:p>
      <w:pPr>
        <w:spacing w:before="360" w:after="120"/>
      </w:pPr>
      <w:r>
        <w:rPr>
          <w:rFonts w:ascii="Calibri" w:hAnsi="Calibri"/>
          <w:b/>
          <w:color w:val="121110"/>
          <w:sz w:val="40"/>
        </w:rPr>
        <w:t>Vom Report zur Umsetzung.</w:t>
      </w:r>
    </w:p>
    <w:p>
      <w:pPr>
        <w:spacing w:after="280"/>
      </w:pPr>
      <w:r>
        <w:rPr>
          <w:b w:val="0"/>
          <w:i w:val="0"/>
          <w:color w:val="857E73"/>
          <w:sz w:val="20"/>
        </w:rPr>
        <w:t>Dieser Check zeigt das Potenzial. Das KI-Pilot-Projekt macht es sichtbar — in einem echten, abgegrenzten Anwendungsfall.</w:t>
      </w:r>
    </w:p>
    <w:p>
      <w:pPr>
        <w:spacing w:after="200"/>
      </w:pPr>
      <w:r>
        <w:rPr>
          <w:i/>
          <w:color w:val="BF7014"/>
          <w:sz w:val="17"/>
        </w:rPr>
        <w:t>↳ [Prozess aus Phase 1]: höchster Score mit Phase 'Sofort'. Falls keiner ≥60 erreicht: siehe Methodik Abschnitt 3.2 'Sonderfall' und Abschluss-Bogen für die vorbereitete Alternativ-Formulierung.</w:t>
      </w:r>
    </w:p>
    <w:p>
      <w:pPr>
        <w:spacing w:before="120"/>
      </w:pPr>
      <w:r>
        <w:rPr>
          <w:b/>
          <w:color w:val="121110"/>
          <w:sz w:val="28"/>
        </w:rPr>
        <w:t>Empfehlung für [Kundenname]</w:t>
      </w:r>
    </w:p>
    <w:p>
      <w:pPr>
        <w:spacing w:after="160"/>
      </w:pPr>
      <w:r>
        <w:rPr>
          <w:b w:val="0"/>
          <w:i w:val="0"/>
          <w:color w:val="4E4943"/>
          <w:sz w:val="21"/>
        </w:rPr>
        <w:t>Basierend auf der Analyse empfehlen wir, mit [Prozess aus Phase 1] als Pilotprojekt zu starten. Er liefert in kurzer Zeit ein sichtbares Ergebnis und schafft die Grundlage, um die weiteren Phasen der Roadmap mit Rückenwind anzugehen.</w:t>
      </w:r>
    </w:p>
    <w:p>
      <w:pPr>
        <w:spacing w:after="320"/>
      </w:pPr>
      <w:r>
        <w:rPr>
          <w:b w:val="0"/>
          <w:i w:val="0"/>
          <w:color w:val="4E4943"/>
          <w:sz w:val="21"/>
        </w:rPr>
        <w:t>In einem kostenlosen Auswertungsgespräch gehen wir die Ergebnisse gemeinsam durch, beantworten offene Fragen und stimmen den nächsten Schritt ab.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121110"/>
          </w:tcPr>
          <w:p>
            <w:r/>
            <w:r>
              <w:rPr>
                <w:b/>
                <w:color w:val="E08A1E"/>
                <w:sz w:val="36"/>
              </w:rPr>
              <w:t>ab 2.500 €</w:t>
            </w:r>
          </w:p>
          <w:p>
            <w:r>
              <w:rPr>
                <w:b/>
                <w:color w:val="F5F1EA"/>
                <w:sz w:val="26"/>
              </w:rPr>
              <w:t>KI-Pilot-Projekt</w:t>
            </w:r>
          </w:p>
          <w:p>
            <w:pPr>
              <w:pStyle w:val="ListBullet"/>
            </w:pPr>
            <w:r>
              <w:rPr>
                <w:color w:val="F5F1EA"/>
                <w:sz w:val="19"/>
              </w:rPr>
              <w:t>Ein klar abgegrenzter Anwendungsfall aus dieser Roadmap</w:t>
            </w:r>
          </w:p>
          <w:p>
            <w:pPr>
              <w:pStyle w:val="ListBullet"/>
            </w:pPr>
            <w:r>
              <w:rPr>
                <w:color w:val="F5F1EA"/>
                <w:sz w:val="19"/>
              </w:rPr>
              <w:t>Umsetzung in 2–4 Wochen, laufende Abstimmung</w:t>
            </w:r>
          </w:p>
          <w:p>
            <w:pPr>
              <w:pStyle w:val="ListBullet"/>
            </w:pPr>
            <w:r>
              <w:rPr>
                <w:color w:val="F5F1EA"/>
                <w:sz w:val="19"/>
              </w:rPr>
              <w:t>Übergabefähige Lösung inkl. kurzer Team-Einweisung</w:t>
            </w:r>
          </w:p>
          <w:p>
            <w:pPr>
              <w:pStyle w:val="ListBullet"/>
            </w:pPr>
            <w:r>
              <w:rPr>
                <w:color w:val="F5F1EA"/>
                <w:sz w:val="19"/>
              </w:rPr>
              <w:t>Basis für die weiteren Roadmap-Phasen</w:t>
            </w:r>
          </w:p>
          <w:p>
            <w:r>
              <w:rPr>
                <w:color w:val="E08A1E"/>
                <w:sz w:val="18"/>
              </w:rPr>
              <w:t>busche.cloud · hallo@busche.cloud</w:t>
            </w:r>
          </w:p>
        </w:tc>
      </w:tr>
    </w:tbl>
    <w:p>
      <w:pPr>
        <w:sectPr>
          <w:footerReference w:type="default" r:id="rId15"/>
          <w:pgSz w:w="11906" w:h="16838"/>
          <w:pgMar w:top="1134" w:right="1247" w:bottom="1361" w:left="1247" w:header="720" w:footer="624" w:gutter="0"/>
          <w:cols w:space="720"/>
          <w:docGrid w:linePitch="360"/>
        </w:sectPr>
      </w:pPr>
    </w:p>
    <w:p>
      <w:pPr>
        <w:spacing w:before="400" w:after="40"/>
      </w:pPr>
      <w:r>
        <w:rPr>
          <w:b/>
          <w:color w:val="BF7014"/>
          <w:sz w:val="18"/>
        </w:rPr>
        <w:t xml:space="preserve">7  </w:t>
      </w:r>
      <w:r>
        <w:rPr>
          <w:b/>
          <w:color w:val="4E4943"/>
          <w:sz w:val="18"/>
        </w:rPr>
        <w:t>ANHANG</w:t>
      </w:r>
    </w:p>
    <w:p>
      <w:pPr>
        <w:spacing w:before="360" w:after="120"/>
      </w:pPr>
      <w:r>
        <w:rPr>
          <w:rFonts w:ascii="Calibri" w:hAnsi="Calibri"/>
          <w:b/>
          <w:color w:val="121110"/>
          <w:sz w:val="40"/>
        </w:rPr>
        <w:t>Methodik &amp; Hinweise.</w:t>
      </w:r>
    </w:p>
    <w:p>
      <w:pPr>
        <w:spacing w:after="200"/>
      </w:pPr>
      <w:r>
        <w:rPr>
          <w:b w:val="0"/>
          <w:i w:val="0"/>
          <w:color w:val="857E73"/>
          <w:sz w:val="20"/>
        </w:rPr>
        <w:t>Transparenz zur Vorgehensweise dieses Reports.</w:t>
      </w:r>
    </w:p>
    <w:p>
      <w:pPr>
        <w:spacing w:before="200"/>
      </w:pPr>
      <w:r>
        <w:rPr>
          <w:b/>
          <w:color w:val="121110"/>
          <w:sz w:val="24"/>
        </w:rPr>
        <w:t>Vorgehen</w:t>
      </w:r>
    </w:p>
    <w:p>
      <w:pPr>
        <w:spacing w:after="80"/>
      </w:pPr>
      <w:r>
        <w:rPr>
          <w:b w:val="0"/>
          <w:i w:val="0"/>
          <w:color w:val="4E4943"/>
          <w:sz w:val="19"/>
        </w:rPr>
        <w:t>Der KI-Readiness-Check basiert auf einem strukturierten Discovery-Gespräch von [Dauer, z. B. 120 Minuten] mit [Kundenname]. Erfasst wurden Prozesse, geschätzte Zeitaufwände, eingesetzte Systeme und organisatorische Rahmenbedingungen. Die Einordnung in die Potenzial-Matrix sowie die Roadmap-Priorisierung erfolgten im Anschluss durch Busche Cloud.</w:t>
      </w:r>
    </w:p>
    <w:p>
      <w:pPr>
        <w:spacing w:before="200"/>
      </w:pPr>
      <w:r>
        <w:rPr>
          <w:b/>
          <w:color w:val="121110"/>
          <w:sz w:val="24"/>
        </w:rPr>
        <w:t>Geltungsbereich</w:t>
      </w:r>
    </w:p>
    <w:p>
      <w:pPr>
        <w:spacing w:after="80"/>
      </w:pPr>
      <w:r>
        <w:rPr>
          <w:b w:val="0"/>
          <w:i w:val="0"/>
          <w:color w:val="4E4943"/>
          <w:sz w:val="19"/>
        </w:rPr>
        <w:t>Dieser Report ersetzt keine technische Machbarkeitsprüfung, keine Datenschutz-Folgenabschätzung und keine rechtliche Beratung (z. B. zum EU AI Act). Er dient als strategische Grundlage für die Priorisierung von KI-Initiativen bei [Kundenname].</w:t>
      </w:r>
    </w:p>
    <w:p>
      <w:pPr>
        <w:spacing w:before="200"/>
      </w:pPr>
      <w:r>
        <w:rPr>
          <w:b/>
          <w:color w:val="121110"/>
          <w:sz w:val="24"/>
        </w:rPr>
        <w:t>Kontakt für Rückfragen</w:t>
      </w:r>
    </w:p>
    <w:p>
      <w:pPr>
        <w:spacing w:after="80"/>
      </w:pPr>
      <w:r>
        <w:rPr>
          <w:b w:val="0"/>
          <w:i w:val="0"/>
          <w:color w:val="4E4943"/>
          <w:sz w:val="19"/>
        </w:rPr>
        <w:t>Marlon Busche · Busche Cloud · hallo@busche.cloud · busche.cloud</w:t>
      </w:r>
    </w:p>
    <w:sectPr w:rsidR="00FC693F" w:rsidRPr="0006063C" w:rsidSect="00034616">
      <w:footerReference w:type="default" r:id="rId16"/>
      <w:pgSz w:w="11906" w:h="16838"/>
      <w:pgMar w:top="1134" w:right="1247" w:bottom="1361" w:left="1247" w:header="720" w:footer="62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706" w:val="left"/>
        <w:tab w:pos="9411" w:val="right"/>
      </w:tabs>
    </w:pPr>
    <w:r/>
    <w:r>
      <w:rPr>
        <w:b/>
        <w:color w:val="BF7014"/>
        <w:sz w:val="16"/>
      </w:rPr>
      <w:t>Busche Cloud</w:t>
    </w:r>
    <w:r>
      <w:tab/>
    </w:r>
    <w:r>
      <w:rPr>
        <w:color w:val="857E73"/>
        <w:sz w:val="16"/>
      </w:rPr>
      <w:t>Vertraulich — KI-Readiness-Check [Kundenname]</w:t>
    </w:r>
    <w:r>
      <w:tab/>
    </w:r>
    <w:r>
      <w:rPr>
        <w:color w:val="857E73"/>
        <w:sz w:val="16"/>
      </w:rPr>
      <w:t>1 / 8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706" w:val="left"/>
        <w:tab w:pos="9411" w:val="right"/>
      </w:tabs>
    </w:pPr>
    <w:r/>
    <w:r>
      <w:rPr>
        <w:b/>
        <w:color w:val="BF7014"/>
        <w:sz w:val="16"/>
      </w:rPr>
      <w:t>Busche Cloud</w:t>
    </w:r>
    <w:r>
      <w:tab/>
    </w:r>
    <w:r>
      <w:rPr>
        <w:color w:val="857E73"/>
        <w:sz w:val="16"/>
      </w:rPr>
      <w:t>Vertraulich — KI-Readiness-Check [Kundenname]</w:t>
    </w:r>
    <w:r>
      <w:tab/>
    </w:r>
    <w:r>
      <w:rPr>
        <w:color w:val="857E73"/>
        <w:sz w:val="16"/>
      </w:rPr>
      <w:t>2 / 8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706" w:val="left"/>
        <w:tab w:pos="9411" w:val="right"/>
      </w:tabs>
    </w:pPr>
    <w:r/>
    <w:r>
      <w:rPr>
        <w:b/>
        <w:color w:val="BF7014"/>
        <w:sz w:val="16"/>
      </w:rPr>
      <w:t>Busche Cloud</w:t>
    </w:r>
    <w:r>
      <w:tab/>
    </w:r>
    <w:r>
      <w:rPr>
        <w:color w:val="857E73"/>
        <w:sz w:val="16"/>
      </w:rPr>
      <w:t>Vertraulich — KI-Readiness-Check [Kundenname]</w:t>
    </w:r>
    <w:r>
      <w:tab/>
    </w:r>
    <w:r>
      <w:rPr>
        <w:color w:val="857E73"/>
        <w:sz w:val="16"/>
      </w:rPr>
      <w:t>3 / 8</w:t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706" w:val="left"/>
        <w:tab w:pos="9411" w:val="right"/>
      </w:tabs>
    </w:pPr>
    <w:r/>
    <w:r>
      <w:rPr>
        <w:b/>
        <w:color w:val="BF7014"/>
        <w:sz w:val="16"/>
      </w:rPr>
      <w:t>Busche Cloud</w:t>
    </w:r>
    <w:r>
      <w:tab/>
    </w:r>
    <w:r>
      <w:rPr>
        <w:color w:val="857E73"/>
        <w:sz w:val="16"/>
      </w:rPr>
      <w:t>Vertraulich — KI-Readiness-Check [Kundenname]</w:t>
    </w:r>
    <w:r>
      <w:tab/>
    </w:r>
    <w:r>
      <w:rPr>
        <w:color w:val="857E73"/>
        <w:sz w:val="16"/>
      </w:rPr>
      <w:t>4 / 8</w:t>
    </w:r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706" w:val="left"/>
        <w:tab w:pos="9411" w:val="right"/>
      </w:tabs>
    </w:pPr>
    <w:r/>
    <w:r>
      <w:rPr>
        <w:b/>
        <w:color w:val="BF7014"/>
        <w:sz w:val="16"/>
      </w:rPr>
      <w:t>Busche Cloud</w:t>
    </w:r>
    <w:r>
      <w:tab/>
    </w:r>
    <w:r>
      <w:rPr>
        <w:color w:val="857E73"/>
        <w:sz w:val="16"/>
      </w:rPr>
      <w:t>Vertraulich — KI-Readiness-Check [Kundenname]</w:t>
    </w:r>
    <w:r>
      <w:tab/>
    </w:r>
    <w:r>
      <w:rPr>
        <w:color w:val="857E73"/>
        <w:sz w:val="16"/>
      </w:rPr>
      <w:t>5 / 8</w:t>
    </w:r>
  </w:p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706" w:val="left"/>
        <w:tab w:pos="9411" w:val="right"/>
      </w:tabs>
    </w:pPr>
    <w:r/>
    <w:r>
      <w:rPr>
        <w:b/>
        <w:color w:val="BF7014"/>
        <w:sz w:val="16"/>
      </w:rPr>
      <w:t>Busche Cloud</w:t>
    </w:r>
    <w:r>
      <w:tab/>
    </w:r>
    <w:r>
      <w:rPr>
        <w:color w:val="857E73"/>
        <w:sz w:val="16"/>
      </w:rPr>
      <w:t>Vertraulich — KI-Readiness-Check [Kundenname]</w:t>
    </w:r>
    <w:r>
      <w:tab/>
    </w:r>
    <w:r>
      <w:rPr>
        <w:color w:val="857E73"/>
        <w:sz w:val="16"/>
      </w:rPr>
      <w:t>6 / 8</w:t>
    </w:r>
  </w:p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706" w:val="left"/>
        <w:tab w:pos="9411" w:val="right"/>
      </w:tabs>
    </w:pPr>
    <w:r/>
    <w:r>
      <w:rPr>
        <w:b/>
        <w:color w:val="BF7014"/>
        <w:sz w:val="16"/>
      </w:rPr>
      <w:t>Busche Cloud</w:t>
    </w:r>
    <w:r>
      <w:tab/>
    </w:r>
    <w:r>
      <w:rPr>
        <w:color w:val="857E73"/>
        <w:sz w:val="16"/>
      </w:rPr>
      <w:t>Vertraulich — KI-Readiness-Check [Kundenname]</w:t>
    </w:r>
    <w:r>
      <w:tab/>
    </w:r>
    <w:r>
      <w:rPr>
        <w:color w:val="857E73"/>
        <w:sz w:val="16"/>
      </w:rPr>
      <w:t>7 / 8</w:t>
    </w:r>
  </w:p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706" w:val="left"/>
        <w:tab w:pos="9411" w:val="right"/>
      </w:tabs>
    </w:pPr>
    <w:r/>
    <w:r>
      <w:rPr>
        <w:b/>
        <w:color w:val="BF7014"/>
        <w:sz w:val="16"/>
      </w:rPr>
      <w:t>Busche Cloud</w:t>
    </w:r>
    <w:r>
      <w:tab/>
    </w:r>
    <w:r>
      <w:rPr>
        <w:color w:val="857E73"/>
        <w:sz w:val="16"/>
      </w:rPr>
      <w:t>Vertraulich — KI-Readiness-Check [Kundenname]</w:t>
    </w:r>
    <w:r>
      <w:tab/>
    </w:r>
    <w:r>
      <w:rPr>
        <w:color w:val="857E73"/>
        <w:sz w:val="16"/>
      </w:rPr>
      <w:t>8 / 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2111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footer" Target="footer4.xml"/><Relationship Id="rId13" Type="http://schemas.openxmlformats.org/officeDocument/2006/relationships/footer" Target="footer5.xml"/><Relationship Id="rId14" Type="http://schemas.openxmlformats.org/officeDocument/2006/relationships/footer" Target="footer6.xml"/><Relationship Id="rId15" Type="http://schemas.openxmlformats.org/officeDocument/2006/relationships/footer" Target="footer7.xml"/><Relationship Id="rId16" Type="http://schemas.openxmlformats.org/officeDocument/2006/relationships/footer" Target="footer8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