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A53075" w14:textId="77777777" w:rsidR="00D12D16" w:rsidRPr="00B5131B" w:rsidRDefault="003A68BD" w:rsidP="00632B4B">
      <w:pPr>
        <w:jc w:val="left"/>
        <w:rPr>
          <w:sz w:val="24"/>
        </w:rPr>
      </w:pPr>
      <w:r w:rsidRPr="00B5131B">
        <w:rPr>
          <w:sz w:val="24"/>
        </w:rPr>
        <w:t>Supplementary Materials</w:t>
      </w:r>
      <w:r w:rsidR="000C2D37" w:rsidRPr="00B5131B">
        <w:rPr>
          <w:sz w:val="24"/>
        </w:rPr>
        <w:t xml:space="preserve"> for:</w:t>
      </w:r>
    </w:p>
    <w:p w14:paraId="3540BA11" w14:textId="77777777" w:rsidR="000C2D37" w:rsidRPr="00B5131B" w:rsidRDefault="000C2D37" w:rsidP="00632B4B">
      <w:pPr>
        <w:jc w:val="left"/>
        <w:rPr>
          <w:b/>
          <w:sz w:val="24"/>
        </w:rPr>
      </w:pPr>
      <w:r w:rsidRPr="00B5131B">
        <w:rPr>
          <w:rFonts w:hint="eastAsia"/>
          <w:b/>
          <w:sz w:val="24"/>
        </w:rPr>
        <w:t xml:space="preserve">Evaluating the </w:t>
      </w:r>
      <w:r w:rsidRPr="00B5131B">
        <w:rPr>
          <w:b/>
          <w:sz w:val="24"/>
        </w:rPr>
        <w:t>molecule based prediction of clinical drug responses in cancer</w:t>
      </w:r>
    </w:p>
    <w:p w14:paraId="0F2EF58C" w14:textId="77777777" w:rsidR="00D72D6F" w:rsidRPr="00B5131B" w:rsidRDefault="00D72D6F" w:rsidP="00632B4B">
      <w:pPr>
        <w:jc w:val="left"/>
        <w:rPr>
          <w:b/>
          <w:sz w:val="24"/>
        </w:rPr>
      </w:pPr>
    </w:p>
    <w:p w14:paraId="178EA765" w14:textId="77777777" w:rsidR="00D72D6F" w:rsidRPr="00B5131B" w:rsidRDefault="00D72D6F" w:rsidP="00632B4B">
      <w:pPr>
        <w:jc w:val="left"/>
        <w:rPr>
          <w:b/>
          <w:sz w:val="24"/>
        </w:rPr>
      </w:pPr>
      <w:r w:rsidRPr="00B5131B">
        <w:rPr>
          <w:b/>
          <w:sz w:val="24"/>
        </w:rPr>
        <w:t>Zijian Ding, Songpeng Zu and Jin Gu*</w:t>
      </w:r>
    </w:p>
    <w:p w14:paraId="56B8959F" w14:textId="77777777" w:rsidR="00D0348B" w:rsidRPr="00B5131B" w:rsidRDefault="00D72D6F" w:rsidP="00632B4B">
      <w:pPr>
        <w:jc w:val="left"/>
        <w:rPr>
          <w:rFonts w:cs="Arial"/>
        </w:rPr>
      </w:pPr>
      <w:r w:rsidRPr="00B5131B">
        <w:rPr>
          <w:rFonts w:cs="Arial"/>
        </w:rPr>
        <w:t>MOE Key Laboratory of Bioinformatics, TNLIST Bioinformatics Division &amp; Center for Synthetic and Systems Biology, Departm</w:t>
      </w:r>
      <w:r w:rsidR="004D1487" w:rsidRPr="00B5131B">
        <w:rPr>
          <w:rFonts w:cs="Arial"/>
        </w:rPr>
        <w:t>d</w:t>
      </w:r>
      <w:r w:rsidRPr="00B5131B">
        <w:rPr>
          <w:rFonts w:cs="Arial"/>
        </w:rPr>
        <w:t>ent of Automation, Tsing</w:t>
      </w:r>
      <w:r w:rsidR="00255A21" w:rsidRPr="00B5131B">
        <w:rPr>
          <w:rFonts w:cs="Arial"/>
        </w:rPr>
        <w:t>hua University, Beijing 100084,</w:t>
      </w:r>
      <w:r w:rsidRPr="00B5131B">
        <w:rPr>
          <w:rFonts w:cs="Arial"/>
        </w:rPr>
        <w:t xml:space="preserve">China </w:t>
      </w:r>
    </w:p>
    <w:p w14:paraId="0250DCFE" w14:textId="77777777" w:rsidR="00D0348B" w:rsidRPr="00B5131B" w:rsidRDefault="00D0348B" w:rsidP="00632B4B">
      <w:pPr>
        <w:jc w:val="left"/>
        <w:rPr>
          <w:noProof/>
        </w:rPr>
      </w:pPr>
    </w:p>
    <w:p w14:paraId="733AA2C9" w14:textId="77777777" w:rsidR="0006466D" w:rsidRPr="00B5131B" w:rsidRDefault="0006466D" w:rsidP="00632B4B">
      <w:pPr>
        <w:jc w:val="left"/>
        <w:rPr>
          <w:noProof/>
        </w:rPr>
      </w:pPr>
    </w:p>
    <w:p w14:paraId="2B83E0CD" w14:textId="77777777" w:rsidR="00D0348B" w:rsidRPr="00B5131B" w:rsidRDefault="00D0348B" w:rsidP="00632B4B">
      <w:pPr>
        <w:jc w:val="left"/>
        <w:rPr>
          <w:noProof/>
          <w:sz w:val="22"/>
          <w:u w:val="single"/>
        </w:rPr>
      </w:pPr>
      <w:r w:rsidRPr="00B5131B">
        <w:rPr>
          <w:noProof/>
          <w:sz w:val="22"/>
          <w:u w:val="single"/>
        </w:rPr>
        <w:t>Table of Contents:</w:t>
      </w:r>
    </w:p>
    <w:p w14:paraId="13C0EF92" w14:textId="54D74358" w:rsidR="00F91AFE" w:rsidRDefault="00D0348B" w:rsidP="008D52DF">
      <w:pPr>
        <w:jc w:val="left"/>
        <w:rPr>
          <w:noProof/>
        </w:rPr>
      </w:pPr>
      <w:r w:rsidRPr="00B5131B">
        <w:rPr>
          <w:b/>
          <w:noProof/>
        </w:rPr>
        <w:t>Supplementary Figures</w:t>
      </w:r>
      <w:r w:rsidR="00F91AFE">
        <w:rPr>
          <w:rFonts w:hint="eastAsia"/>
          <w:noProof/>
        </w:rPr>
        <w:t xml:space="preserve"> (p.2 </w:t>
      </w:r>
      <w:r w:rsidR="00F91AFE">
        <w:rPr>
          <w:noProof/>
        </w:rPr>
        <w:t>–</w:t>
      </w:r>
      <w:r w:rsidR="00CD1D75">
        <w:rPr>
          <w:rFonts w:hint="eastAsia"/>
          <w:noProof/>
        </w:rPr>
        <w:t xml:space="preserve"> p.6</w:t>
      </w:r>
      <w:r w:rsidR="00F91AFE">
        <w:rPr>
          <w:rFonts w:hint="eastAsia"/>
          <w:noProof/>
        </w:rPr>
        <w:t>)</w:t>
      </w:r>
    </w:p>
    <w:p w14:paraId="6BB37C31" w14:textId="475EFE87" w:rsidR="00D0348B" w:rsidRPr="008D52DF" w:rsidRDefault="00D0348B" w:rsidP="00BF775F">
      <w:pPr>
        <w:rPr>
          <w:rFonts w:cs="Arial"/>
          <w:sz w:val="18"/>
          <w:szCs w:val="18"/>
        </w:rPr>
      </w:pPr>
      <w:r w:rsidRPr="008D52DF">
        <w:rPr>
          <w:noProof/>
          <w:sz w:val="18"/>
          <w:szCs w:val="18"/>
        </w:rPr>
        <w:t>Figure S1</w:t>
      </w:r>
      <w:r w:rsidR="008535CE" w:rsidRPr="008D52DF">
        <w:rPr>
          <w:noProof/>
          <w:sz w:val="18"/>
          <w:szCs w:val="18"/>
        </w:rPr>
        <w:t>.</w:t>
      </w:r>
      <w:r w:rsidRPr="008D52DF">
        <w:rPr>
          <w:noProof/>
          <w:sz w:val="18"/>
          <w:szCs w:val="18"/>
        </w:rPr>
        <w:t xml:space="preserve"> </w:t>
      </w:r>
      <w:r w:rsidRPr="008D52DF">
        <w:rPr>
          <w:rFonts w:cs="Arial"/>
          <w:sz w:val="18"/>
          <w:szCs w:val="18"/>
        </w:rPr>
        <w:t xml:space="preserve">Clinical Responses to </w:t>
      </w:r>
      <w:r w:rsidR="00BF775F" w:rsidRPr="008D52DF">
        <w:rPr>
          <w:rFonts w:cs="Arial"/>
          <w:sz w:val="18"/>
          <w:szCs w:val="18"/>
        </w:rPr>
        <w:t xml:space="preserve">anti-cancer drugs across cancer </w:t>
      </w:r>
      <w:r w:rsidRPr="008D52DF">
        <w:rPr>
          <w:rFonts w:cs="Arial"/>
          <w:sz w:val="18"/>
          <w:szCs w:val="18"/>
        </w:rPr>
        <w:t>types</w:t>
      </w:r>
    </w:p>
    <w:p w14:paraId="5FB060EE" w14:textId="6AA90941" w:rsidR="00D0348B" w:rsidRPr="008D52DF" w:rsidRDefault="008535CE" w:rsidP="00BF775F">
      <w:pPr>
        <w:rPr>
          <w:rFonts w:cs="Arial"/>
          <w:sz w:val="18"/>
          <w:szCs w:val="18"/>
        </w:rPr>
      </w:pPr>
      <w:r w:rsidRPr="008D52DF">
        <w:rPr>
          <w:rFonts w:cs="Arial"/>
          <w:sz w:val="18"/>
          <w:szCs w:val="18"/>
        </w:rPr>
        <w:t xml:space="preserve">Figure </w:t>
      </w:r>
      <w:r w:rsidR="00D0348B" w:rsidRPr="008D52DF">
        <w:rPr>
          <w:rFonts w:cs="Arial"/>
          <w:sz w:val="18"/>
          <w:szCs w:val="18"/>
        </w:rPr>
        <w:t>S2</w:t>
      </w:r>
      <w:r w:rsidRPr="008D52DF">
        <w:rPr>
          <w:rFonts w:cs="Arial"/>
          <w:sz w:val="18"/>
          <w:szCs w:val="18"/>
        </w:rPr>
        <w:t>.</w:t>
      </w:r>
      <w:r w:rsidR="00D0348B" w:rsidRPr="008D52DF">
        <w:rPr>
          <w:rFonts w:cs="Arial"/>
          <w:sz w:val="18"/>
          <w:szCs w:val="18"/>
        </w:rPr>
        <w:t xml:space="preserve"> </w:t>
      </w:r>
      <w:r w:rsidR="00D84F33" w:rsidRPr="008D52DF">
        <w:rPr>
          <w:rFonts w:cs="Arial"/>
          <w:sz w:val="18"/>
          <w:szCs w:val="18"/>
        </w:rPr>
        <w:t>Chronological orders between drug treatments and tumor resections, new tumor events respectively</w:t>
      </w:r>
    </w:p>
    <w:p w14:paraId="0C83717E" w14:textId="4EC46B3E" w:rsidR="00D84F33" w:rsidRPr="008D52DF" w:rsidRDefault="00D84F33" w:rsidP="00BF775F">
      <w:pPr>
        <w:rPr>
          <w:rFonts w:cs="Arial"/>
          <w:sz w:val="18"/>
          <w:szCs w:val="18"/>
        </w:rPr>
      </w:pPr>
      <w:r w:rsidRPr="008D52DF">
        <w:rPr>
          <w:rFonts w:cs="Arial"/>
          <w:sz w:val="18"/>
          <w:szCs w:val="18"/>
        </w:rPr>
        <w:t>Figure S3</w:t>
      </w:r>
      <w:r w:rsidR="008535CE" w:rsidRPr="008D52DF">
        <w:rPr>
          <w:rFonts w:cs="Arial"/>
          <w:sz w:val="18"/>
          <w:szCs w:val="18"/>
        </w:rPr>
        <w:t>.</w:t>
      </w:r>
      <w:r w:rsidRPr="008D52DF">
        <w:rPr>
          <w:rFonts w:cs="Arial"/>
          <w:sz w:val="18"/>
          <w:szCs w:val="18"/>
        </w:rPr>
        <w:t xml:space="preserve"> Overview of the com</w:t>
      </w:r>
      <w:r w:rsidR="00BF775F" w:rsidRPr="008D52DF">
        <w:rPr>
          <w:rFonts w:cs="Arial"/>
          <w:sz w:val="18"/>
          <w:szCs w:val="18"/>
        </w:rPr>
        <w:t>putational framework</w:t>
      </w:r>
    </w:p>
    <w:p w14:paraId="29A598E3" w14:textId="697A9919" w:rsidR="005A7FB5" w:rsidRPr="008D52DF" w:rsidRDefault="005A7FB5" w:rsidP="00C81B3E">
      <w:pPr>
        <w:jc w:val="left"/>
        <w:rPr>
          <w:rFonts w:cs="Arial"/>
          <w:sz w:val="18"/>
          <w:szCs w:val="18"/>
        </w:rPr>
      </w:pPr>
      <w:r w:rsidRPr="008D52DF">
        <w:rPr>
          <w:rFonts w:cs="Arial"/>
          <w:sz w:val="18"/>
          <w:szCs w:val="18"/>
        </w:rPr>
        <w:t>Figure S4</w:t>
      </w:r>
      <w:r w:rsidR="008535CE" w:rsidRPr="008D52DF">
        <w:rPr>
          <w:rFonts w:cs="Arial"/>
          <w:sz w:val="18"/>
          <w:szCs w:val="18"/>
        </w:rPr>
        <w:t>.</w:t>
      </w:r>
      <w:r w:rsidRPr="008D52DF">
        <w:rPr>
          <w:rFonts w:cs="Arial"/>
          <w:sz w:val="18"/>
          <w:szCs w:val="18"/>
        </w:rPr>
        <w:t xml:space="preserve"> </w:t>
      </w:r>
      <w:r w:rsidR="00AA1CE9" w:rsidRPr="008D52DF">
        <w:rPr>
          <w:rFonts w:cs="Arial"/>
          <w:sz w:val="18"/>
          <w:szCs w:val="18"/>
          <w:lang w:val="en-GB"/>
        </w:rPr>
        <w:t>The prognostic power of the two mRNA signature</w:t>
      </w:r>
      <w:r w:rsidR="008D52DF">
        <w:rPr>
          <w:rFonts w:cs="Arial"/>
          <w:sz w:val="18"/>
          <w:szCs w:val="18"/>
          <w:lang w:val="en-GB"/>
        </w:rPr>
        <w:t>s</w:t>
      </w:r>
      <w:r w:rsidR="00AA1CE9" w:rsidRPr="008D52DF">
        <w:rPr>
          <w:rFonts w:cs="Arial"/>
          <w:sz w:val="18"/>
          <w:szCs w:val="18"/>
          <w:lang w:val="en-GB"/>
        </w:rPr>
        <w:t xml:space="preserve"> of cisplatin-BLCA and cisplatin-CESC</w:t>
      </w:r>
    </w:p>
    <w:p w14:paraId="50E6F316" w14:textId="518C3522" w:rsidR="00235E04" w:rsidRPr="008D52DF" w:rsidRDefault="00235E04" w:rsidP="00235E04">
      <w:pPr>
        <w:jc w:val="left"/>
        <w:rPr>
          <w:rFonts w:cs="Arial"/>
          <w:sz w:val="18"/>
          <w:szCs w:val="18"/>
          <w:lang w:val="en-GB"/>
        </w:rPr>
      </w:pPr>
      <w:r w:rsidRPr="008D52DF">
        <w:rPr>
          <w:rFonts w:cs="Arial"/>
          <w:sz w:val="18"/>
          <w:szCs w:val="18"/>
          <w:lang w:val="en-GB"/>
        </w:rPr>
        <w:t>Figure S5</w:t>
      </w:r>
      <w:r w:rsidR="00DC3A2B" w:rsidRPr="008D52DF">
        <w:rPr>
          <w:rFonts w:cs="Arial"/>
          <w:sz w:val="18"/>
          <w:szCs w:val="18"/>
          <w:lang w:val="en-GB"/>
        </w:rPr>
        <w:t>.</w:t>
      </w:r>
      <w:r w:rsidRPr="008D52DF">
        <w:rPr>
          <w:rFonts w:cs="Arial"/>
          <w:sz w:val="18"/>
          <w:szCs w:val="18"/>
          <w:lang w:val="en-GB"/>
        </w:rPr>
        <w:t xml:space="preserve"> </w:t>
      </w:r>
      <w:r w:rsidRPr="008D52DF">
        <w:rPr>
          <w:rFonts w:cs="Arial"/>
          <w:sz w:val="18"/>
          <w:szCs w:val="18"/>
        </w:rPr>
        <w:t>The predictive performances for cisplatin or carboplatin responses in multiple cancer analysis</w:t>
      </w:r>
    </w:p>
    <w:p w14:paraId="47087CCA" w14:textId="403E6EBE" w:rsidR="00A92D92" w:rsidRPr="00B5131B" w:rsidRDefault="00A92D92" w:rsidP="008D52DF">
      <w:pPr>
        <w:spacing w:beforeLines="100" w:before="312" w:line="480" w:lineRule="auto"/>
        <w:rPr>
          <w:noProof/>
        </w:rPr>
      </w:pPr>
      <w:r w:rsidRPr="00B5131B">
        <w:rPr>
          <w:rFonts w:hint="eastAsia"/>
          <w:b/>
          <w:noProof/>
        </w:rPr>
        <w:t>S</w:t>
      </w:r>
      <w:r w:rsidR="00A4589F" w:rsidRPr="00B5131B">
        <w:rPr>
          <w:rFonts w:hint="eastAsia"/>
          <w:b/>
          <w:noProof/>
        </w:rPr>
        <w:t>uppleme</w:t>
      </w:r>
      <w:r w:rsidR="002D7E0F" w:rsidRPr="00B5131B">
        <w:rPr>
          <w:b/>
          <w:noProof/>
        </w:rPr>
        <w:t>n</w:t>
      </w:r>
      <w:r w:rsidR="00A4589F" w:rsidRPr="00B5131B">
        <w:rPr>
          <w:rFonts w:hint="eastAsia"/>
          <w:b/>
          <w:noProof/>
        </w:rPr>
        <w:t>tary Materials and Methods</w:t>
      </w:r>
      <w:r w:rsidR="00F91AFE">
        <w:rPr>
          <w:rFonts w:hint="eastAsia"/>
          <w:noProof/>
        </w:rPr>
        <w:t xml:space="preserve"> (</w:t>
      </w:r>
      <w:r w:rsidR="00CD1D75">
        <w:rPr>
          <w:noProof/>
        </w:rPr>
        <w:t>p.7</w:t>
      </w:r>
      <w:r w:rsidR="00F91AFE">
        <w:rPr>
          <w:rFonts w:hint="eastAsia"/>
          <w:noProof/>
        </w:rPr>
        <w:t xml:space="preserve"> </w:t>
      </w:r>
      <w:r w:rsidR="00F91AFE">
        <w:rPr>
          <w:noProof/>
        </w:rPr>
        <w:t>–</w:t>
      </w:r>
      <w:r w:rsidR="00657509">
        <w:rPr>
          <w:rFonts w:hint="eastAsia"/>
          <w:noProof/>
        </w:rPr>
        <w:t xml:space="preserve"> p.10</w:t>
      </w:r>
      <w:r w:rsidR="00F91AFE">
        <w:rPr>
          <w:rFonts w:hint="eastAsia"/>
          <w:noProof/>
        </w:rPr>
        <w:t>)</w:t>
      </w:r>
    </w:p>
    <w:p w14:paraId="2BA83D82" w14:textId="3A8E59E2" w:rsidR="002D7E0F" w:rsidRPr="00B5131B" w:rsidRDefault="002D7E0F" w:rsidP="008D52DF">
      <w:pPr>
        <w:spacing w:line="480" w:lineRule="auto"/>
        <w:rPr>
          <w:noProof/>
        </w:rPr>
      </w:pPr>
      <w:r w:rsidRPr="00B5131B">
        <w:rPr>
          <w:b/>
          <w:noProof/>
        </w:rPr>
        <w:t>Supplementary Results</w:t>
      </w:r>
      <w:r w:rsidR="00F91AFE">
        <w:rPr>
          <w:rFonts w:hint="eastAsia"/>
          <w:noProof/>
        </w:rPr>
        <w:t xml:space="preserve"> (</w:t>
      </w:r>
      <w:r w:rsidR="00657509">
        <w:rPr>
          <w:noProof/>
        </w:rPr>
        <w:t>p.11</w:t>
      </w:r>
      <w:r w:rsidR="00530DCD">
        <w:rPr>
          <w:noProof/>
        </w:rPr>
        <w:t xml:space="preserve"> </w:t>
      </w:r>
      <w:r w:rsidR="00530DCD">
        <w:rPr>
          <w:noProof/>
        </w:rPr>
        <w:t>–</w:t>
      </w:r>
      <w:r w:rsidR="00530DCD">
        <w:rPr>
          <w:noProof/>
        </w:rPr>
        <w:t xml:space="preserve"> p.12</w:t>
      </w:r>
      <w:r w:rsidR="00F91AFE">
        <w:rPr>
          <w:rFonts w:hint="eastAsia"/>
          <w:noProof/>
        </w:rPr>
        <w:t>)</w:t>
      </w:r>
    </w:p>
    <w:p w14:paraId="704C5BD2" w14:textId="32BF875A" w:rsidR="008535CE" w:rsidRPr="00B5131B" w:rsidRDefault="008535CE" w:rsidP="008D52DF">
      <w:pPr>
        <w:spacing w:line="480" w:lineRule="auto"/>
        <w:rPr>
          <w:noProof/>
        </w:rPr>
      </w:pPr>
      <w:r w:rsidRPr="00B5131B">
        <w:rPr>
          <w:b/>
          <w:noProof/>
        </w:rPr>
        <w:t>References</w:t>
      </w:r>
      <w:r w:rsidR="00F91AFE">
        <w:rPr>
          <w:rFonts w:hint="eastAsia"/>
          <w:noProof/>
        </w:rPr>
        <w:t xml:space="preserve"> (</w:t>
      </w:r>
      <w:r w:rsidRPr="00B5131B">
        <w:rPr>
          <w:noProof/>
        </w:rPr>
        <w:t>p.</w:t>
      </w:r>
      <w:r w:rsidR="00C9735A">
        <w:rPr>
          <w:noProof/>
        </w:rPr>
        <w:t>13</w:t>
      </w:r>
      <w:r w:rsidR="00F91AFE">
        <w:rPr>
          <w:rFonts w:hint="eastAsia"/>
          <w:noProof/>
        </w:rPr>
        <w:t>)</w:t>
      </w:r>
    </w:p>
    <w:p w14:paraId="3C6B7EF3" w14:textId="77777777" w:rsidR="00A4589F" w:rsidRPr="00B5131B" w:rsidRDefault="00A4589F" w:rsidP="00632B4B">
      <w:pPr>
        <w:jc w:val="left"/>
        <w:rPr>
          <w:noProof/>
        </w:rPr>
      </w:pPr>
    </w:p>
    <w:p w14:paraId="02F20D44" w14:textId="77777777" w:rsidR="00A4589F" w:rsidRPr="00B5131B" w:rsidRDefault="00A4589F" w:rsidP="00A4589F">
      <w:pPr>
        <w:jc w:val="center"/>
      </w:pPr>
    </w:p>
    <w:p w14:paraId="1AF3AD24" w14:textId="77777777" w:rsidR="00C62D42" w:rsidRPr="00B5131B" w:rsidRDefault="00C62D42" w:rsidP="00632B4B">
      <w:pPr>
        <w:jc w:val="left"/>
        <w:rPr>
          <w:b/>
          <w:sz w:val="28"/>
        </w:rPr>
      </w:pPr>
      <w:r w:rsidRPr="00B5131B">
        <w:rPr>
          <w:noProof/>
        </w:rPr>
        <w:lastRenderedPageBreak/>
        <w:drawing>
          <wp:inline distT="0" distB="0" distL="0" distR="0" wp14:anchorId="6DABE258" wp14:editId="76173903">
            <wp:extent cx="6037978" cy="6900545"/>
            <wp:effectExtent l="0" t="0" r="1270" b="0"/>
            <wp:docPr id="2" name="图片 2" descr="C:\Users\zding\workspace\projects\drug_sensitivity\data\drug\responses_all_cancers-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ding\workspace\projects\drug_sensitivity\data\drug\responses_all_cancers-01.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3668" cy="6907048"/>
                    </a:xfrm>
                    <a:prstGeom prst="rect">
                      <a:avLst/>
                    </a:prstGeom>
                    <a:noFill/>
                    <a:ln>
                      <a:noFill/>
                    </a:ln>
                  </pic:spPr>
                </pic:pic>
              </a:graphicData>
            </a:graphic>
          </wp:inline>
        </w:drawing>
      </w:r>
    </w:p>
    <w:p w14:paraId="114603D8" w14:textId="77777777" w:rsidR="00EC2E6E" w:rsidRPr="00B5131B" w:rsidRDefault="00EC2E6E" w:rsidP="00EC2E6E">
      <w:pPr>
        <w:rPr>
          <w:rFonts w:cs="Arial"/>
        </w:rPr>
      </w:pPr>
      <w:r w:rsidRPr="00B5131B">
        <w:rPr>
          <w:rFonts w:cs="Arial"/>
          <w:b/>
        </w:rPr>
        <w:t>Figure S1</w:t>
      </w:r>
      <w:r w:rsidR="006A2514" w:rsidRPr="00B5131B">
        <w:rPr>
          <w:rFonts w:cs="Arial"/>
        </w:rPr>
        <w:t>.</w:t>
      </w:r>
      <w:r w:rsidRPr="00B5131B">
        <w:rPr>
          <w:rFonts w:cs="Arial"/>
        </w:rPr>
        <w:t xml:space="preserve"> </w:t>
      </w:r>
      <w:r w:rsidRPr="00B5131B">
        <w:rPr>
          <w:rFonts w:cs="Arial"/>
          <w:b/>
        </w:rPr>
        <w:t>Clinical Responses to anti-cancer drugs across cancer types</w:t>
      </w:r>
      <w:r w:rsidRPr="00B5131B">
        <w:rPr>
          <w:rFonts w:cs="Arial"/>
        </w:rPr>
        <w:t>. The number in each bar represents the number of patients belonging to one of the four clinical responses</w:t>
      </w:r>
      <w:r w:rsidR="003D5B2A" w:rsidRPr="00B5131B">
        <w:rPr>
          <w:rFonts w:cs="Arial"/>
        </w:rPr>
        <w:t>. Please check the full names of each cancer acronyms in Supplementary Table S2.</w:t>
      </w:r>
    </w:p>
    <w:p w14:paraId="460E1DB5" w14:textId="77777777" w:rsidR="00D12D16" w:rsidRPr="00B5131B" w:rsidRDefault="00D12D16" w:rsidP="00EC2E6E">
      <w:pPr>
        <w:rPr>
          <w:rFonts w:cs="Arial"/>
        </w:rPr>
      </w:pPr>
    </w:p>
    <w:p w14:paraId="269670FD" w14:textId="77777777" w:rsidR="00931AA4" w:rsidRPr="00B5131B" w:rsidRDefault="00931AA4" w:rsidP="00FF16BD">
      <w:pPr>
        <w:sectPr w:rsidR="00931AA4" w:rsidRPr="00B5131B" w:rsidSect="00E96D68">
          <w:headerReference w:type="even" r:id="rId8"/>
          <w:headerReference w:type="default" r:id="rId9"/>
          <w:footerReference w:type="default" r:id="rId10"/>
          <w:pgSz w:w="11907" w:h="16839" w:code="9"/>
          <w:pgMar w:top="1440" w:right="1440" w:bottom="1440" w:left="1440" w:header="851" w:footer="992" w:gutter="0"/>
          <w:cols w:space="425"/>
          <w:docGrid w:type="lines" w:linePitch="312"/>
        </w:sectPr>
      </w:pPr>
    </w:p>
    <w:p w14:paraId="74795147" w14:textId="77777777" w:rsidR="001430F7" w:rsidRPr="00B5131B" w:rsidRDefault="00600862" w:rsidP="00CE2C26">
      <w:pPr>
        <w:jc w:val="left"/>
      </w:pPr>
      <w:r w:rsidRPr="00600862">
        <w:rPr>
          <w:noProof/>
        </w:rPr>
        <w:drawing>
          <wp:inline distT="0" distB="0" distL="0" distR="0" wp14:anchorId="73F314CF" wp14:editId="4F72389E">
            <wp:extent cx="5732145" cy="2602836"/>
            <wp:effectExtent l="0" t="0" r="1905" b="7620"/>
            <wp:docPr id="3" name="图片 3" descr="C:\Users\zding\workspace\projects\drug_sensitivity\results\present_results\z_supplementary_figure\FigureS2.update_neoadjuvant-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ing\workspace\projects\drug_sensitivity\results\present_results\z_supplementary_figure\FigureS2.update_neoadjuvant-0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602836"/>
                    </a:xfrm>
                    <a:prstGeom prst="rect">
                      <a:avLst/>
                    </a:prstGeom>
                    <a:noFill/>
                    <a:ln>
                      <a:noFill/>
                    </a:ln>
                  </pic:spPr>
                </pic:pic>
              </a:graphicData>
            </a:graphic>
          </wp:inline>
        </w:drawing>
      </w:r>
    </w:p>
    <w:p w14:paraId="6D3019E9" w14:textId="4A8A71B8" w:rsidR="00CE2C26" w:rsidRPr="00B5131B" w:rsidRDefault="00CE2C26" w:rsidP="00CE2C26">
      <w:r w:rsidRPr="00B5131B">
        <w:rPr>
          <w:b/>
        </w:rPr>
        <w:t>Figure S2.</w:t>
      </w:r>
      <w:r w:rsidRPr="00B5131B">
        <w:t xml:space="preserve"> </w:t>
      </w:r>
      <w:r w:rsidRPr="00B5131B">
        <w:rPr>
          <w:b/>
        </w:rPr>
        <w:t>Chronological orders between drug treatments and tumor resections, new tumor events respectively</w:t>
      </w:r>
      <w:r w:rsidRPr="00B5131B">
        <w:t>. (</w:t>
      </w:r>
      <w:r w:rsidRPr="00B5131B">
        <w:rPr>
          <w:b/>
        </w:rPr>
        <w:t>A</w:t>
      </w:r>
      <w:r w:rsidRPr="00B5131B">
        <w:t xml:space="preserve">) </w:t>
      </w:r>
      <w:r w:rsidR="002E758D" w:rsidRPr="00B5131B">
        <w:t>99</w:t>
      </w:r>
      <w:r w:rsidR="00DD3233">
        <w:t>.4</w:t>
      </w:r>
      <w:r w:rsidRPr="00B5131B">
        <w:t>% Tumor resections were ahead of the drug treatments for t</w:t>
      </w:r>
      <w:r w:rsidR="002B71AA">
        <w:t>he corresponding patients. “Tumor resections (days)</w:t>
      </w:r>
      <w:r w:rsidR="00881D55">
        <w:t>” means that the days</w:t>
      </w:r>
      <w:r w:rsidRPr="00B5131B">
        <w:t xml:space="preserve"> from the initial pathological diagnosis to the procurement of tumor sam</w:t>
      </w:r>
      <w:r w:rsidR="00DD29EB">
        <w:t>p</w:t>
      </w:r>
      <w:r w:rsidR="007D755C">
        <w:t>les from patients. A black star</w:t>
      </w:r>
      <w:r w:rsidR="000876A3">
        <w:t xml:space="preserve"> repre</w:t>
      </w:r>
      <w:r w:rsidR="00E733DA">
        <w:t>se</w:t>
      </w:r>
      <w:r w:rsidR="000876A3">
        <w:t>nts</w:t>
      </w:r>
      <w:r w:rsidR="00DE3C17" w:rsidRPr="00B5131B">
        <w:t xml:space="preserve"> </w:t>
      </w:r>
      <w:r w:rsidR="00D86DBA" w:rsidRPr="00B5131B">
        <w:t>one patient’s drug start</w:t>
      </w:r>
      <w:r w:rsidRPr="00B5131B">
        <w:t xml:space="preserve"> time and tumor resection time.</w:t>
      </w:r>
      <w:r w:rsidR="00F15E87">
        <w:t xml:space="preserve"> T</w:t>
      </w:r>
      <w:r w:rsidR="007E02F1">
        <w:t>he red circles represent those patients who received tumor resections prior to drug treatments</w:t>
      </w:r>
      <w:r w:rsidR="0050451D">
        <w:t>.</w:t>
      </w:r>
      <w:r w:rsidRPr="00B5131B">
        <w:t xml:space="preserve"> (</w:t>
      </w:r>
      <w:r w:rsidRPr="00B5131B">
        <w:rPr>
          <w:b/>
        </w:rPr>
        <w:t>B</w:t>
      </w:r>
      <w:r w:rsidR="00CF4814" w:rsidRPr="00B5131B">
        <w:t>) 86.2</w:t>
      </w:r>
      <w:r w:rsidRPr="00B5131B">
        <w:t>% drug treatments were started without or before ne</w:t>
      </w:r>
      <w:r w:rsidR="0088120A">
        <w:t>w tumor events. “N</w:t>
      </w:r>
      <w:r w:rsidRPr="00B5131B">
        <w:t>ew tumor events</w:t>
      </w:r>
      <w:r w:rsidR="00C53195">
        <w:t xml:space="preserve"> (days)</w:t>
      </w:r>
      <w:r w:rsidRPr="00B5131B">
        <w:t xml:space="preserve">” means the </w:t>
      </w:r>
      <w:r w:rsidR="005C4026">
        <w:t>day</w:t>
      </w:r>
      <w:r w:rsidRPr="00B5131B">
        <w:t>s from the initial pathological diagnosis to the time a new tumor occurred.</w:t>
      </w:r>
      <w:r w:rsidR="00B04F00">
        <w:t xml:space="preserve"> A black star represents</w:t>
      </w:r>
      <w:r w:rsidR="00FD21D5" w:rsidRPr="00B5131B">
        <w:t xml:space="preserve"> </w:t>
      </w:r>
      <w:r w:rsidR="00DE3C17" w:rsidRPr="00B5131B">
        <w:t>on</w:t>
      </w:r>
      <w:r w:rsidR="00D86DBA" w:rsidRPr="00B5131B">
        <w:t>e patient’s drug start time</w:t>
      </w:r>
      <w:r w:rsidR="00B34C62" w:rsidRPr="00B5131B">
        <w:t xml:space="preserve"> and new tumor event time.</w:t>
      </w:r>
      <w:r w:rsidR="00276A30">
        <w:t xml:space="preserve"> In both (A) and (B), “Drug treatment starts (days)” means the days from the initial pathological diagnosis to the time a drug treatment started</w:t>
      </w:r>
      <w:r w:rsidR="00516F3D">
        <w:t>.</w:t>
      </w:r>
    </w:p>
    <w:p w14:paraId="695EE911" w14:textId="77777777" w:rsidR="006A2514" w:rsidRPr="00B5131B" w:rsidRDefault="006A2514" w:rsidP="00CE2C26">
      <w:r w:rsidRPr="00B5131B">
        <w:rPr>
          <w:noProof/>
        </w:rPr>
        <w:drawing>
          <wp:inline distT="0" distB="0" distL="0" distR="0" wp14:anchorId="6BF2E322" wp14:editId="6000721B">
            <wp:extent cx="5633602" cy="4285891"/>
            <wp:effectExtent l="0" t="0" r="5715" b="635"/>
            <wp:docPr id="1" name="图片 1" descr="C:\Users\zding\workspace\projects\drug_sensitivity\results\present_results\paper_writing\manuscript\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ing\workspace\projects\drug_sensitivity\results\present_results\paper_writing\manuscript\Figure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6563" cy="4295752"/>
                    </a:xfrm>
                    <a:prstGeom prst="rect">
                      <a:avLst/>
                    </a:prstGeom>
                    <a:noFill/>
                    <a:ln>
                      <a:noFill/>
                    </a:ln>
                  </pic:spPr>
                </pic:pic>
              </a:graphicData>
            </a:graphic>
          </wp:inline>
        </w:drawing>
      </w:r>
    </w:p>
    <w:p w14:paraId="764EAA4B" w14:textId="4A640CFE" w:rsidR="006A2514" w:rsidRPr="00DD29EB" w:rsidRDefault="006A2514" w:rsidP="00DD29EB">
      <w:pPr>
        <w:spacing w:line="480" w:lineRule="auto"/>
        <w:rPr>
          <w:szCs w:val="20"/>
        </w:rPr>
      </w:pPr>
      <w:r w:rsidRPr="00B5131B">
        <w:rPr>
          <w:b/>
          <w:szCs w:val="20"/>
        </w:rPr>
        <w:t>Figure S3</w:t>
      </w:r>
      <w:r w:rsidRPr="00B5131B">
        <w:rPr>
          <w:szCs w:val="20"/>
        </w:rPr>
        <w:t xml:space="preserve">. </w:t>
      </w:r>
      <w:r w:rsidRPr="00B5131B">
        <w:rPr>
          <w:b/>
          <w:szCs w:val="20"/>
        </w:rPr>
        <w:t>Overview of the computational framework.</w:t>
      </w:r>
      <w:r w:rsidRPr="00B5131B">
        <w:rPr>
          <w:szCs w:val="20"/>
        </w:rPr>
        <w:t xml:space="preserve"> (</w:t>
      </w:r>
      <w:r w:rsidRPr="00B5131B">
        <w:rPr>
          <w:b/>
          <w:szCs w:val="20"/>
        </w:rPr>
        <w:t>A</w:t>
      </w:r>
      <w:r w:rsidRPr="00B5131B">
        <w:rPr>
          <w:szCs w:val="20"/>
        </w:rPr>
        <w:t>) The pipeline of the framework to evaluate the molecule-based predictions of clinical drug responses. (</w:t>
      </w:r>
      <w:r w:rsidRPr="00B5131B">
        <w:rPr>
          <w:b/>
          <w:szCs w:val="20"/>
        </w:rPr>
        <w:t>B</w:t>
      </w:r>
      <w:r w:rsidRPr="00B5131B">
        <w:rPr>
          <w:szCs w:val="20"/>
        </w:rPr>
        <w:t>) The construction of classifiers using elastic net with bootstrapping. “BS set” is short for bootstrapping dataset.</w:t>
      </w:r>
    </w:p>
    <w:p w14:paraId="42E7F85E" w14:textId="77777777" w:rsidR="00A5651A" w:rsidRPr="00B5131B" w:rsidRDefault="00A5651A" w:rsidP="0027359A">
      <w:pPr>
        <w:spacing w:line="240" w:lineRule="auto"/>
        <w:jc w:val="center"/>
        <w:rPr>
          <w:noProof/>
        </w:rPr>
      </w:pPr>
      <w:r w:rsidRPr="00B5131B">
        <w:rPr>
          <w:noProof/>
          <w:szCs w:val="20"/>
        </w:rPr>
        <w:drawing>
          <wp:inline distT="0" distB="0" distL="0" distR="0" wp14:anchorId="0C265F3C" wp14:editId="37204A14">
            <wp:extent cx="4984750" cy="4616450"/>
            <wp:effectExtent l="0" t="0" r="6350" b="0"/>
            <wp:docPr id="4" name="图片 4" descr="C:\Users\zding\workspace\projects\drug_sensitivity\results\present_results\z_supplementary_figure\FigureS5-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ing\workspace\projects\drug_sensitivity\results\present_results\z_supplementary_figure\FigureS5-01.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4750" cy="4616450"/>
                    </a:xfrm>
                    <a:prstGeom prst="rect">
                      <a:avLst/>
                    </a:prstGeom>
                    <a:noFill/>
                    <a:ln>
                      <a:noFill/>
                    </a:ln>
                  </pic:spPr>
                </pic:pic>
              </a:graphicData>
            </a:graphic>
          </wp:inline>
        </w:drawing>
      </w:r>
    </w:p>
    <w:p w14:paraId="61CD3919" w14:textId="77777777" w:rsidR="00CD7BEC" w:rsidRDefault="00A5651A" w:rsidP="00A5651A">
      <w:pPr>
        <w:spacing w:line="480" w:lineRule="auto"/>
        <w:rPr>
          <w:szCs w:val="20"/>
          <w:lang w:val="en-GB"/>
        </w:rPr>
      </w:pPr>
      <w:r w:rsidRPr="004776F1">
        <w:rPr>
          <w:rFonts w:hint="eastAsia"/>
          <w:b/>
          <w:szCs w:val="20"/>
          <w:lang w:val="en-GB"/>
        </w:rPr>
        <w:t xml:space="preserve">Figure S4. </w:t>
      </w:r>
      <w:r w:rsidRPr="00B5131B">
        <w:rPr>
          <w:b/>
          <w:szCs w:val="20"/>
          <w:lang w:val="en-GB"/>
        </w:rPr>
        <w:t>The prognostic power of the two mRNA signature</w:t>
      </w:r>
      <w:r w:rsidR="00132BBD">
        <w:rPr>
          <w:rFonts w:hint="eastAsia"/>
          <w:b/>
          <w:szCs w:val="20"/>
          <w:lang w:val="en-GB"/>
        </w:rPr>
        <w:t>s</w:t>
      </w:r>
      <w:r w:rsidRPr="00B5131B">
        <w:rPr>
          <w:b/>
          <w:szCs w:val="20"/>
          <w:lang w:val="en-GB"/>
        </w:rPr>
        <w:t xml:space="preserve"> of cisplatin-BLCA and cisplatin-CESC</w:t>
      </w:r>
      <w:r w:rsidRPr="00B5131B">
        <w:rPr>
          <w:szCs w:val="20"/>
          <w:lang w:val="en-GB"/>
        </w:rPr>
        <w:t>. (A) The mRNA signature of cisplatin-BLCA significantly stratifies all BLCA patients into 2 or 3 groups. (B) The mRNA signature of cisplatin-LUAD fails to stratify all CESC patients into 2 or 3 groups.</w:t>
      </w:r>
    </w:p>
    <w:p w14:paraId="58300CC8" w14:textId="2BF405D4" w:rsidR="00A5651A" w:rsidRPr="00CD7BEC" w:rsidRDefault="00CD7BEC" w:rsidP="00A5651A">
      <w:pPr>
        <w:spacing w:line="480" w:lineRule="auto"/>
        <w:rPr>
          <w:szCs w:val="20"/>
        </w:rPr>
      </w:pPr>
      <w:r w:rsidRPr="00CD7BE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6673E4E" w14:textId="187B94AA" w:rsidR="00F967EE" w:rsidRPr="00B5131B" w:rsidRDefault="00510D71" w:rsidP="0027359A">
      <w:pPr>
        <w:spacing w:line="240" w:lineRule="auto"/>
        <w:jc w:val="center"/>
        <w:rPr>
          <w:lang w:val="en-GB"/>
        </w:rPr>
      </w:pPr>
      <w:r w:rsidRPr="00510D71">
        <w:rPr>
          <w:noProof/>
        </w:rPr>
        <w:drawing>
          <wp:inline distT="0" distB="0" distL="0" distR="0" wp14:anchorId="657F2FDB" wp14:editId="3CA2E4DA">
            <wp:extent cx="4996396" cy="6460177"/>
            <wp:effectExtent l="0" t="0" r="0" b="0"/>
            <wp:docPr id="5" name="图片 5" descr="C:\Users\zding\workspace\projects\drug_sensitivity\results\present_results\main_figure_4_pancancer\Figure4.0428-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ing\workspace\projects\drug_sensitivity\results\present_results\main_figure_4_pancancer\Figure4.0428-01.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7018" cy="6486840"/>
                    </a:xfrm>
                    <a:prstGeom prst="rect">
                      <a:avLst/>
                    </a:prstGeom>
                    <a:noFill/>
                    <a:ln>
                      <a:noFill/>
                    </a:ln>
                  </pic:spPr>
                </pic:pic>
              </a:graphicData>
            </a:graphic>
          </wp:inline>
        </w:drawing>
      </w:r>
    </w:p>
    <w:p w14:paraId="59F61884" w14:textId="7AE5F5A1" w:rsidR="00B5131B" w:rsidRPr="00B5131B" w:rsidRDefault="00A5651A" w:rsidP="00562B29">
      <w:pPr>
        <w:rPr>
          <w:b/>
          <w:sz w:val="21"/>
        </w:rPr>
      </w:pPr>
      <w:r w:rsidRPr="00B5131B">
        <w:rPr>
          <w:b/>
          <w:szCs w:val="20"/>
        </w:rPr>
        <w:t>Figure S5</w:t>
      </w:r>
      <w:r w:rsidR="00F967EE" w:rsidRPr="00B5131B">
        <w:rPr>
          <w:szCs w:val="20"/>
        </w:rPr>
        <w:t xml:space="preserve">. </w:t>
      </w:r>
      <w:r w:rsidR="00F967EE" w:rsidRPr="00B5131B">
        <w:rPr>
          <w:b/>
          <w:szCs w:val="20"/>
          <w:lang w:val="en-GB"/>
        </w:rPr>
        <w:t xml:space="preserve">The predictive performances for cisplatin or carboplatin responses in multiple cancer analysis. </w:t>
      </w:r>
      <w:r w:rsidR="00F967EE" w:rsidRPr="00B5131B">
        <w:rPr>
          <w:szCs w:val="20"/>
          <w:lang w:val="en-GB"/>
        </w:rPr>
        <w:t>“CNA” is short for copy number alteration and “Methy” is short for DNA methylation.</w:t>
      </w:r>
      <w:r w:rsidR="000D2DA5" w:rsidRPr="000D2DA5">
        <w:t xml:space="preserve"> </w:t>
      </w:r>
      <w:r w:rsidR="000D2DA5" w:rsidRPr="000D2DA5">
        <w:rPr>
          <w:szCs w:val="20"/>
          <w:lang w:val="en-GB"/>
        </w:rPr>
        <w:t>The black dots represent the AUC values. In each box</w:t>
      </w:r>
      <w:r w:rsidR="00F02C62">
        <w:rPr>
          <w:szCs w:val="20"/>
          <w:lang w:val="en-GB"/>
        </w:rPr>
        <w:t xml:space="preserve"> plot</w:t>
      </w:r>
      <w:r w:rsidR="000D2DA5" w:rsidRPr="000D2DA5">
        <w:rPr>
          <w:szCs w:val="20"/>
          <w:lang w:val="en-GB"/>
        </w:rPr>
        <w:t xml:space="preserve">, the middle line represents the mean value, the upper and lower lines represent the values </w:t>
      </w:r>
      <w:r w:rsidR="0031388E">
        <w:rPr>
          <w:szCs w:val="20"/>
          <w:lang w:val="en-GB"/>
        </w:rPr>
        <w:t>of mean±sd.</w:t>
      </w:r>
      <w:r w:rsidR="00F967EE" w:rsidRPr="00B5131B">
        <w:rPr>
          <w:b/>
          <w:szCs w:val="20"/>
          <w:lang w:val="en-GB"/>
        </w:rPr>
        <w:t xml:space="preserve"> (A)</w:t>
      </w:r>
      <w:r w:rsidR="00F967EE" w:rsidRPr="00B5131B">
        <w:rPr>
          <w:szCs w:val="20"/>
          <w:lang w:val="en-GB"/>
        </w:rPr>
        <w:t xml:space="preserve"> Predictive performances across cancer types. The AUC values are based on predictions from different cancer types. (</w:t>
      </w:r>
      <w:r w:rsidR="00F967EE" w:rsidRPr="00B5131B">
        <w:rPr>
          <w:b/>
          <w:szCs w:val="20"/>
          <w:lang w:val="en-GB"/>
        </w:rPr>
        <w:t>B</w:t>
      </w:r>
      <w:r w:rsidR="00F967EE" w:rsidRPr="00B5131B">
        <w:rPr>
          <w:szCs w:val="20"/>
          <w:lang w:val="en-GB"/>
        </w:rPr>
        <w:t>) Predictive performances in single cancer types. “Multiple-cancer” means that the classifiers were trained on the datasets from multiple cancer types. “Single-cancer” means that the classifiers were trained on the datasets from the single cancer type. But, both classifiers were evaluated on the testing datasets from the same single cancer type</w:t>
      </w:r>
      <w:r w:rsidR="00293B21">
        <w:rPr>
          <w:szCs w:val="20"/>
          <w:lang w:val="en-GB"/>
        </w:rPr>
        <w:t>.</w:t>
      </w:r>
      <w:r w:rsidR="00B5131B" w:rsidRPr="00B5131B">
        <w:rPr>
          <w:b/>
          <w:sz w:val="21"/>
        </w:rPr>
        <w:br w:type="page"/>
      </w:r>
    </w:p>
    <w:p w14:paraId="511776DE" w14:textId="77777777" w:rsidR="006A2514" w:rsidRPr="00B5131B" w:rsidRDefault="0026645D" w:rsidP="0036376C">
      <w:pPr>
        <w:jc w:val="left"/>
        <w:rPr>
          <w:b/>
          <w:sz w:val="21"/>
        </w:rPr>
      </w:pPr>
      <w:r w:rsidRPr="00B5131B">
        <w:rPr>
          <w:rFonts w:hint="eastAsia"/>
          <w:b/>
          <w:sz w:val="21"/>
        </w:rPr>
        <w:t>Supplementary Materials and Methods</w:t>
      </w:r>
    </w:p>
    <w:p w14:paraId="0C37F73F" w14:textId="77777777" w:rsidR="00E7237D" w:rsidRPr="00B5131B" w:rsidRDefault="006D3FE5" w:rsidP="0036376C">
      <w:pPr>
        <w:jc w:val="left"/>
        <w:rPr>
          <w:b/>
        </w:rPr>
      </w:pPr>
      <w:r w:rsidRPr="00B5131B">
        <w:rPr>
          <w:rFonts w:hint="eastAsia"/>
          <w:b/>
        </w:rPr>
        <w:t xml:space="preserve">Drug </w:t>
      </w:r>
      <w:r w:rsidRPr="00B5131B">
        <w:rPr>
          <w:b/>
        </w:rPr>
        <w:t>response acquisition</w:t>
      </w:r>
    </w:p>
    <w:p w14:paraId="0D23C404" w14:textId="77777777" w:rsidR="00B53824" w:rsidRDefault="00E441AD" w:rsidP="008546D6">
      <w:pPr>
        <w:spacing w:after="0"/>
        <w:jc w:val="left"/>
        <w:rPr>
          <w:lang w:val="en-GB"/>
        </w:rPr>
      </w:pPr>
      <w:r w:rsidRPr="00B5131B">
        <w:rPr>
          <w:lang w:val="en-GB"/>
        </w:rPr>
        <w:t xml:space="preserve">We observed that different drugs have the same or very close treatment start and end time for some patients (see the full list of treatment time points in Supplementary Table S2). These entries may be recorded due to drug combinations. However, this information is hard to be checked based on the available annotations. Therefore, we can only ignore the possible effects of drug combinations in this study. </w:t>
      </w:r>
    </w:p>
    <w:p w14:paraId="272B4B8B" w14:textId="078C0363" w:rsidR="00DC5827" w:rsidRDefault="00E864BA" w:rsidP="00BF662C">
      <w:pPr>
        <w:spacing w:after="0"/>
        <w:ind w:firstLineChars="150" w:firstLine="300"/>
        <w:jc w:val="left"/>
        <w:rPr>
          <w:lang w:val="en-GB"/>
        </w:rPr>
      </w:pPr>
      <w:r>
        <w:rPr>
          <w:rFonts w:hint="eastAsia"/>
          <w:lang w:val="en-GB"/>
        </w:rPr>
        <w:t xml:space="preserve">We also </w:t>
      </w:r>
      <w:r w:rsidR="00EB3491">
        <w:rPr>
          <w:lang w:val="en-GB"/>
        </w:rPr>
        <w:t>identified</w:t>
      </w:r>
      <w:r w:rsidR="000147D3">
        <w:rPr>
          <w:rFonts w:hint="eastAsia"/>
          <w:lang w:val="en-GB"/>
        </w:rPr>
        <w:t xml:space="preserve"> the patients who received drug treatm</w:t>
      </w:r>
      <w:r w:rsidR="00523507">
        <w:rPr>
          <w:rFonts w:hint="eastAsia"/>
          <w:lang w:val="en-GB"/>
        </w:rPr>
        <w:t>ents prior to tumor resections, as the molecular data of these patients might be interfered by these drug t</w:t>
      </w:r>
      <w:r w:rsidR="00523507">
        <w:rPr>
          <w:lang w:val="en-GB"/>
        </w:rPr>
        <w:t>reatments.</w:t>
      </w:r>
      <w:r w:rsidR="00B97A06">
        <w:rPr>
          <w:lang w:val="en-GB"/>
        </w:rPr>
        <w:t xml:space="preserve"> </w:t>
      </w:r>
      <w:r w:rsidR="00D2206B">
        <w:rPr>
          <w:lang w:val="en-GB"/>
        </w:rPr>
        <w:t>W</w:t>
      </w:r>
      <w:r w:rsidR="000A2201">
        <w:rPr>
          <w:lang w:val="en-GB"/>
        </w:rPr>
        <w:t xml:space="preserve">e collected the time points of drug treatments and tumor resections (recorded in </w:t>
      </w:r>
      <w:r w:rsidR="000A2201" w:rsidRPr="00B5131B">
        <w:rPr>
          <w:lang w:val="en-GB"/>
        </w:rPr>
        <w:t>“clinical_drug_cancer.txt”</w:t>
      </w:r>
      <w:r w:rsidR="000A2201">
        <w:rPr>
          <w:lang w:val="en-GB"/>
        </w:rPr>
        <w:t xml:space="preserve"> and "biospeciman_cqcf_cancer.txt", respectively)</w:t>
      </w:r>
      <w:r w:rsidR="00AB208C">
        <w:rPr>
          <w:lang w:val="en-GB"/>
        </w:rPr>
        <w:t xml:space="preserve"> and also the history of neo-adjuvant therapies (recorded in “</w:t>
      </w:r>
      <w:r w:rsidR="00AB208C" w:rsidRPr="00AB208C">
        <w:rPr>
          <w:lang w:val="en-GB"/>
        </w:rPr>
        <w:t>nationwidechildrens.org_clinical_patient_cancer.txt</w:t>
      </w:r>
      <w:r w:rsidR="00AB208C">
        <w:rPr>
          <w:lang w:val="en-GB"/>
        </w:rPr>
        <w:t>”). W</w:t>
      </w:r>
      <w:r w:rsidR="00D62217">
        <w:rPr>
          <w:lang w:val="en-GB"/>
        </w:rPr>
        <w:t>e found</w:t>
      </w:r>
      <w:r w:rsidR="007E191A">
        <w:rPr>
          <w:lang w:val="en-GB"/>
        </w:rPr>
        <w:t xml:space="preserve"> </w:t>
      </w:r>
      <w:r w:rsidR="00C10B68">
        <w:rPr>
          <w:lang w:val="en-GB"/>
        </w:rPr>
        <w:t>16</w:t>
      </w:r>
      <w:r w:rsidR="00D62217">
        <w:rPr>
          <w:lang w:val="en-GB"/>
        </w:rPr>
        <w:t xml:space="preserve"> drug-patient pairs</w:t>
      </w:r>
      <w:r w:rsidR="00D2206B">
        <w:rPr>
          <w:lang w:val="en-GB"/>
        </w:rPr>
        <w:t xml:space="preserve"> </w:t>
      </w:r>
      <w:r w:rsidR="00CA3F03">
        <w:rPr>
          <w:lang w:val="en-GB"/>
        </w:rPr>
        <w:t>(0.4% of all records)</w:t>
      </w:r>
      <w:r w:rsidR="00977FD6">
        <w:rPr>
          <w:lang w:val="en-GB"/>
        </w:rPr>
        <w:t xml:space="preserve"> </w:t>
      </w:r>
      <w:r w:rsidR="00D2206B">
        <w:rPr>
          <w:lang w:val="en-GB"/>
        </w:rPr>
        <w:t>who</w:t>
      </w:r>
      <w:r w:rsidR="00AB208C">
        <w:rPr>
          <w:lang w:val="en-GB"/>
        </w:rPr>
        <w:t xml:space="preserve"> </w:t>
      </w:r>
      <w:r w:rsidR="00D2206B">
        <w:rPr>
          <w:lang w:val="en-GB"/>
        </w:rPr>
        <w:t>1) had earlier drug starts time than tumor resections time or 2) had records of</w:t>
      </w:r>
      <w:r w:rsidR="00994E13">
        <w:rPr>
          <w:lang w:val="en-GB"/>
        </w:rPr>
        <w:t xml:space="preserve"> neo-adjuvant therapies</w:t>
      </w:r>
      <w:r w:rsidR="001179F6">
        <w:rPr>
          <w:lang w:val="en-GB"/>
        </w:rPr>
        <w:t xml:space="preserve"> (Supplementary Figure S2</w:t>
      </w:r>
      <w:r w:rsidR="008C3D9A">
        <w:rPr>
          <w:lang w:val="en-GB"/>
        </w:rPr>
        <w:t>A</w:t>
      </w:r>
      <w:r w:rsidR="001179F6">
        <w:rPr>
          <w:lang w:val="en-GB"/>
        </w:rPr>
        <w:t>)</w:t>
      </w:r>
      <w:r w:rsidR="00994E13">
        <w:rPr>
          <w:lang w:val="en-GB"/>
        </w:rPr>
        <w:t>.</w:t>
      </w:r>
      <w:r w:rsidR="00D62217">
        <w:rPr>
          <w:lang w:val="en-GB"/>
        </w:rPr>
        <w:t xml:space="preserve"> These patients were not involved in </w:t>
      </w:r>
      <w:r w:rsidR="002D4532">
        <w:rPr>
          <w:lang w:val="en-GB"/>
        </w:rPr>
        <w:t>the evaluation of drug response prediction.</w:t>
      </w:r>
      <w:r w:rsidR="00BF662C">
        <w:rPr>
          <w:rFonts w:hint="eastAsia"/>
          <w:lang w:val="en-GB"/>
        </w:rPr>
        <w:t xml:space="preserve"> </w:t>
      </w:r>
      <w:r w:rsidR="00DC5827">
        <w:rPr>
          <w:lang w:val="en-GB"/>
        </w:rPr>
        <w:t>We further identified the patients who had new tumor e</w:t>
      </w:r>
      <w:r w:rsidR="00695A8B">
        <w:rPr>
          <w:lang w:val="en-GB"/>
        </w:rPr>
        <w:t>vents prior to drug treatments</w:t>
      </w:r>
      <w:r w:rsidR="00027D1A">
        <w:rPr>
          <w:lang w:val="en-GB"/>
        </w:rPr>
        <w:t>.</w:t>
      </w:r>
      <w:r w:rsidR="002746F6">
        <w:rPr>
          <w:lang w:val="en-GB"/>
        </w:rPr>
        <w:t xml:space="preserve"> We collected the records of new tumor events </w:t>
      </w:r>
      <w:r w:rsidR="00E62453">
        <w:rPr>
          <w:lang w:val="en-GB"/>
        </w:rPr>
        <w:t xml:space="preserve">(according to </w:t>
      </w:r>
      <w:r w:rsidR="00E62453" w:rsidRPr="00B5131B">
        <w:rPr>
          <w:lang w:val="en-GB"/>
        </w:rPr>
        <w:t>"clinical_nte_cancer.txt"</w:t>
      </w:r>
      <w:r w:rsidR="00E62453">
        <w:rPr>
          <w:lang w:val="en-GB"/>
        </w:rPr>
        <w:t xml:space="preserve">) </w:t>
      </w:r>
      <w:r w:rsidR="002746F6">
        <w:rPr>
          <w:lang w:val="en-GB"/>
        </w:rPr>
        <w:t>and compared to the drug treatments.</w:t>
      </w:r>
      <w:r w:rsidR="00B65E39">
        <w:rPr>
          <w:lang w:val="en-GB"/>
        </w:rPr>
        <w:t xml:space="preserve"> 86.2% of drug treatments were started with</w:t>
      </w:r>
      <w:r w:rsidR="0001299B">
        <w:rPr>
          <w:lang w:val="en-GB"/>
        </w:rPr>
        <w:t>out or before new tumor events</w:t>
      </w:r>
      <w:r w:rsidR="008C3D9A">
        <w:rPr>
          <w:lang w:val="en-GB"/>
        </w:rPr>
        <w:t xml:space="preserve"> (Supplementary Figure S2B)</w:t>
      </w:r>
      <w:r w:rsidR="0001299B">
        <w:rPr>
          <w:lang w:val="en-GB"/>
        </w:rPr>
        <w:t>.</w:t>
      </w:r>
    </w:p>
    <w:p w14:paraId="6E341FAB" w14:textId="77777777" w:rsidR="0021410D" w:rsidRPr="00B5131B" w:rsidRDefault="0021410D" w:rsidP="009857D3">
      <w:pPr>
        <w:spacing w:before="240"/>
        <w:jc w:val="left"/>
        <w:rPr>
          <w:b/>
        </w:rPr>
      </w:pPr>
      <w:r w:rsidRPr="00B5131B">
        <w:rPr>
          <w:b/>
        </w:rPr>
        <w:t>Molecular data collection</w:t>
      </w:r>
    </w:p>
    <w:p w14:paraId="60AFE3D9" w14:textId="77777777" w:rsidR="0021410D" w:rsidRPr="00B5131B" w:rsidRDefault="0021410D" w:rsidP="0036376C">
      <w:pPr>
        <w:spacing w:after="0"/>
        <w:jc w:val="left"/>
        <w:rPr>
          <w:lang w:val="en-GB"/>
        </w:rPr>
      </w:pPr>
      <w:r w:rsidRPr="00B5131B">
        <w:rPr>
          <w:lang w:val="en-GB"/>
        </w:rPr>
        <w:t xml:space="preserve">For CNAs we used the level-4 non-discretized gene-level focal alterations computed by GISTIC2.0 </w:t>
      </w:r>
      <w:r w:rsidRPr="00B5131B">
        <w:rPr>
          <w:lang w:val="en-GB"/>
        </w:rPr>
        <w:fldChar w:fldCharType="begin" w:fldLock="1"/>
      </w:r>
      <w:r w:rsidRPr="00B5131B">
        <w:rPr>
          <w:lang w:val="en-GB"/>
        </w:rPr>
        <w:instrText>ADDIN CSL_CITATION { "citationItems" : [ { "id" : "ITEM-1", "itemData" : { "DOI" : "10.1186/gb-2011-12-4-r41", "ISBN" : "1465-6914 (Electronic)\\n1465-6906 (Linking)", "ISSN" : "1465-6906", "PMID" : "21527027", "abstract" : "We describe methods with enhanced power and specificity to identify genes targeted by somatic copy-number alterations (SCNAs) that drive cancer growth. By separating SCNA profiles into underlying arm-level and focal alterations, we improve the estimation of background rates for each category. We additionally describe a probabilistic method for defining the boundaries of selected-for SCNA regions with user-defined confidence. Here we detail this revised computational approach, GISTIC2.0, and validate its performance in real and simulated datasets.", "author" : [ { "dropping-particle" : "", "family" : "Mermel", "given" : "Craig H", "non-dropping-particle" : "", "parse-names" : false, "suffix" : "" }, { "dropping-particle" : "", "family" : "Schumacher", "given" : "Steven E", "non-dropping-particle" : "", "parse-names" : false, "suffix" : "" }, { "dropping-particle" : "", "family" : "Hill", "given" : "Barbara", "non-dropping-particle" : "", "parse-names" : false, "suffix" : "" }, { "dropping-particle" : "", "family" : "Meyerson", "given" : "Matthew L", "non-dropping-particle" : "", "parse-names" : false, "suffix" : "" }, { "dropping-particle" : "", "family" : "Beroukhim", "given" : "Rameen", "non-dropping-particle" : "", "parse-names" : false, "suffix" : "" }, { "dropping-particle" : "", "family" : "Getz", "given" : "Gad", "non-dropping-particle" : "", "parse-names" : false, "suffix" : "" } ], "container-title" : "Genome Biology", "id" : "ITEM-1", "issue" : "4", "issued" : { "date-parts" : [ [ "2011" ] ] }, "page" : "R41", "publisher" : "BioMed Central Ltd", "title" : "GISTIC2.0 facilitates sensitive and confident localization of the targets of focal somatic copy-number alteration in human cancers", "type" : "article-journal", "volume" : "12" }, "uris" : [ "http://www.mendeley.com/documents/?uuid=1f08d514-09df-4cc2-afdf-6f55c5ecbfde" ] } ], "mendeley" : { "formattedCitation" : "(Mermel &lt;i&gt;et al.&lt;/i&gt;, 2011)", "plainTextFormattedCitation" : "(Mermel et al., 2011)", "previouslyFormattedCitation" : "(Mermel &lt;i&gt;et al.&lt;/i&gt;, 2011)" }, "properties" : { "noteIndex" : 0 }, "schema" : "https://github.com/citation-style-language/schema/raw/master/csl-citation.json" }</w:instrText>
      </w:r>
      <w:r w:rsidRPr="00B5131B">
        <w:rPr>
          <w:lang w:val="en-GB"/>
        </w:rPr>
        <w:fldChar w:fldCharType="separate"/>
      </w:r>
      <w:r w:rsidRPr="00B5131B">
        <w:rPr>
          <w:noProof/>
          <w:lang w:val="en-GB"/>
        </w:rPr>
        <w:t xml:space="preserve">(Mermel </w:t>
      </w:r>
      <w:r w:rsidRPr="00B5131B">
        <w:rPr>
          <w:i/>
          <w:noProof/>
          <w:lang w:val="en-GB"/>
        </w:rPr>
        <w:t>et al.</w:t>
      </w:r>
      <w:r w:rsidRPr="00B5131B">
        <w:rPr>
          <w:noProof/>
          <w:lang w:val="en-GB"/>
        </w:rPr>
        <w:t>, 2011)</w:t>
      </w:r>
      <w:r w:rsidRPr="00B5131B">
        <w:fldChar w:fldCharType="end"/>
      </w:r>
      <w:r w:rsidRPr="00B5131B">
        <w:rPr>
          <w:lang w:val="en-GB"/>
        </w:rPr>
        <w:t xml:space="preserve"> (Affymetrix Genome-wide Human SNP Array 6.0). Other data types were from level-3 processed data: gene mutations were detected by exome-sequencing as gene-level 0/1 binary values; for DNA methylations we used the probes annotated with known genes (Illumina HumanMethylation450 BeadChip); mRNA and miRNA expressions were calculated from sequencing data, as log2-transformed and quantile-normalized RSEM values for mRNAs and log2-transformed RPMs (reads per million mapped) for miRNAs; protein activities were profiled by reverse phase protein array (RPPA).</w:t>
      </w:r>
    </w:p>
    <w:p w14:paraId="56C4D811" w14:textId="77777777" w:rsidR="000B1E0E" w:rsidRPr="00B5131B" w:rsidRDefault="000B1E0E" w:rsidP="0036376C">
      <w:pPr>
        <w:spacing w:after="0"/>
        <w:ind w:firstLine="284"/>
        <w:jc w:val="left"/>
        <w:rPr>
          <w:lang w:val="en-GB"/>
        </w:rPr>
      </w:pPr>
      <w:r w:rsidRPr="00B5131B">
        <w:rPr>
          <w:bCs/>
          <w:lang w:val="en-GB"/>
        </w:rPr>
        <w:t>The</w:t>
      </w:r>
      <w:r w:rsidRPr="00B5131B">
        <w:rPr>
          <w:lang w:val="en-GB"/>
        </w:rPr>
        <w:t xml:space="preserve"> building process </w:t>
      </w:r>
      <w:r w:rsidR="00612558" w:rsidRPr="00B5131B">
        <w:rPr>
          <w:lang w:val="en-GB"/>
        </w:rPr>
        <w:t xml:space="preserve">of the 21 core datasets </w:t>
      </w:r>
      <w:r w:rsidRPr="00B5131B">
        <w:rPr>
          <w:lang w:val="en-GB"/>
        </w:rPr>
        <w:t>was based on the available patients with both drug responses and molecular data: 1) for one drug-cancer pair, the number of non-responders was at least 5 and the total number of patients was at least 30, since too few non-responders or all patients made it difficult to generate reliable results; 2) one specific drug-cancer pair was chosen if at least three different kinds of molecular data meet the requirement 1). The gene mutation and protein expression data did not meet the above two requirements and were not applied in our following analysis. We deleted the genes or probes with missing values (NA) in more than 10% patients for mRNA, miRNA and methylation data, and deleted the genes with CNAs in less than 10% patients. In this study, each molecular data type for one drug-cancer pair was used as a separate “dataset”.</w:t>
      </w:r>
    </w:p>
    <w:p w14:paraId="58A1F504" w14:textId="77777777" w:rsidR="00751B57" w:rsidRPr="00B5131B" w:rsidRDefault="00751B57" w:rsidP="0036376C">
      <w:pPr>
        <w:spacing w:before="240"/>
        <w:jc w:val="left"/>
        <w:rPr>
          <w:b/>
        </w:rPr>
      </w:pPr>
      <w:r w:rsidRPr="00B5131B">
        <w:rPr>
          <w:rFonts w:hint="eastAsia"/>
          <w:b/>
        </w:rPr>
        <w:t xml:space="preserve">Molecule based </w:t>
      </w:r>
      <w:r w:rsidRPr="00B5131B">
        <w:rPr>
          <w:b/>
        </w:rPr>
        <w:t>prediction of clinical drug responses</w:t>
      </w:r>
    </w:p>
    <w:p w14:paraId="5841896C" w14:textId="77777777" w:rsidR="00751B57" w:rsidRPr="00B5131B" w:rsidRDefault="00751B57" w:rsidP="0036376C">
      <w:pPr>
        <w:jc w:val="left"/>
        <w:rPr>
          <w:bCs/>
          <w:lang w:val="en-GB"/>
        </w:rPr>
      </w:pPr>
      <w:r w:rsidRPr="00B5131B">
        <w:rPr>
          <w:rFonts w:hint="eastAsia"/>
          <w:bCs/>
          <w:lang w:val="en-GB"/>
        </w:rPr>
        <w:t xml:space="preserve">The computational framework was implemented to </w:t>
      </w:r>
      <w:r w:rsidRPr="00B5131B">
        <w:rPr>
          <w:bCs/>
          <w:lang w:val="en-GB"/>
        </w:rPr>
        <w:t>estimate performances of individual data types on predicting clinical drug responses (Supplementary Figure S3)</w:t>
      </w:r>
      <w:r w:rsidR="0036376C" w:rsidRPr="00B5131B">
        <w:rPr>
          <w:bCs/>
          <w:lang w:val="en-GB"/>
        </w:rPr>
        <w:t>. The steps are as follows:</w:t>
      </w:r>
    </w:p>
    <w:p w14:paraId="6541CE72" w14:textId="77777777" w:rsidR="00751B57" w:rsidRPr="00B5131B" w:rsidRDefault="00751B57" w:rsidP="0036376C">
      <w:pPr>
        <w:spacing w:after="0"/>
        <w:ind w:firstLine="284"/>
        <w:jc w:val="left"/>
        <w:rPr>
          <w:lang w:val="en-GB"/>
        </w:rPr>
      </w:pPr>
      <w:r w:rsidRPr="00B5131B">
        <w:rPr>
          <w:b/>
          <w:bCs/>
          <w:lang w:val="en-GB"/>
        </w:rPr>
        <w:t>Molecular feature pre-selection</w:t>
      </w:r>
      <w:r w:rsidRPr="00B5131B">
        <w:rPr>
          <w:lang w:val="en-GB"/>
        </w:rPr>
        <w:t>. As the features far outnumbered the patients in each dataset, we firstly filtered the features with poor association with the responses (univariate logistic regression, p-value &gt; 0.05). In the multiple cancer type analysis, this univariate model also took the cancer type indictor into consideration.</w:t>
      </w:r>
    </w:p>
    <w:p w14:paraId="2899DFEE" w14:textId="77777777" w:rsidR="00751B57" w:rsidRPr="00B5131B" w:rsidRDefault="00751B57" w:rsidP="0036376C">
      <w:pPr>
        <w:spacing w:after="0"/>
        <w:ind w:firstLine="284"/>
        <w:jc w:val="left"/>
        <w:rPr>
          <w:lang w:val="en-GB"/>
        </w:rPr>
      </w:pPr>
      <w:r w:rsidRPr="00B5131B">
        <w:rPr>
          <w:b/>
          <w:bCs/>
          <w:lang w:val="en-GB"/>
        </w:rPr>
        <w:t>Molecular signature identification</w:t>
      </w:r>
      <w:r w:rsidRPr="00B5131B">
        <w:rPr>
          <w:lang w:val="en-GB"/>
        </w:rPr>
        <w:t xml:space="preserve">. We further identified a group of predictive features from the pre-selected candidates via elastic net classification </w:t>
      </w:r>
      <w:r w:rsidRPr="00B5131B">
        <w:rPr>
          <w:lang w:val="en-GB"/>
        </w:rPr>
        <w:fldChar w:fldCharType="begin" w:fldLock="1"/>
      </w:r>
      <w:r w:rsidRPr="00B5131B">
        <w:rPr>
          <w:lang w:val="en-GB"/>
        </w:rPr>
        <w:instrText>ADDIN CSL_CITATION { "citationItems" : [ { "id" : "ITEM-1", "itemData" : { "DOI" : "10.1111/j.1467-9868.2005.00503.x", "ISBN" : "1369-7412", "ISSN" : "13697412", "PMID" : "20713001", "abstract" : "We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p\u226bn case. An algorithm called LARS-EN is proposed for computing elastic net regularization paths efficiently, much like algorithm LARS does for the lasso.", "author" : [ { "dropping-particle" : "", "family" : "Zou", "given" : "Hui", "non-dropping-particle" : "", "parse-names" : false, "suffix" : "" }, { "dropping-particle" : "", "family" : "Hastie", "given" : "Trevor", "non-dropping-particle" : "", "parse-names" : false, "suffix" : "" } ], "container-title" : "Journal of the Royal Statistical Society. Series B: Statistical Methodology", "id" : "ITEM-1", "issue" : "2", "issued" : { "date-parts" : [ [ "2005" ] ] }, "page" : "301-320", "title" : "Regularization and variable selection via the elastic net", "type" : "article-journal", "volume" : "67" }, "uris" : [ "http://www.mendeley.com/documents/?uuid=0b3a399e-3101-4473-9e78-b98a0428312f" ] } ], "mendeley" : { "formattedCitation" : "(Zou and Hastie, 2005)", "plainTextFormattedCitation" : "(Zou and Hastie, 2005)", "previouslyFormattedCitation" : "(Zou and Hastie, 2005)" }, "properties" : { "noteIndex" : 0 }, "schema" : "https://github.com/citation-style-language/schema/raw/master/csl-citation.json" }</w:instrText>
      </w:r>
      <w:r w:rsidRPr="00B5131B">
        <w:rPr>
          <w:lang w:val="en-GB"/>
        </w:rPr>
        <w:fldChar w:fldCharType="separate"/>
      </w:r>
      <w:r w:rsidRPr="00B5131B">
        <w:rPr>
          <w:noProof/>
          <w:lang w:val="en-GB"/>
        </w:rPr>
        <w:t>(Zou and Hastie, 2005)</w:t>
      </w:r>
      <w:r w:rsidRPr="00B5131B">
        <w:fldChar w:fldCharType="end"/>
      </w:r>
      <w:r w:rsidRPr="00B5131B">
        <w:rPr>
          <w:lang w:val="en-GB"/>
        </w:rPr>
        <w:t xml:space="preserve">. However, since the numbers of responders are much more than non-responders, the training processes need to deal with the imbalanced data problem which made a model perform poorly in predicting the minority class </w:t>
      </w:r>
      <w:r w:rsidRPr="00B5131B">
        <w:rPr>
          <w:lang w:val="en-GB"/>
        </w:rPr>
        <w:fldChar w:fldCharType="begin" w:fldLock="1"/>
      </w:r>
      <w:r w:rsidRPr="00B5131B">
        <w:rPr>
          <w:lang w:val="en-GB"/>
        </w:rPr>
        <w:instrText>ADDIN CSL_CITATION { "citationItems" : [ { "id" : "ITEM-1", "itemData" : { "DOI" : "10.1109/TKDE.2008.239", "ISBN" : "1041-4347", "ISSN" : "10414347", "PMID" : "24807526", "abstract" : "With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 "author" : [ { "dropping-particle" : "", "family" : "He", "given" : "Haibo", "non-dropping-particle" : "", "parse-names" : false, "suffix" : "" }, { "dropping-particle" : "", "family" : "Garcia", "given" : "Edwardo a.", "non-dropping-particle" : "", "parse-names" : false, "suffix" : "" } ], "container-title" : "IEEE Transactions on Knowledge and Data Engineering", "id" : "ITEM-1", "issue" : "9", "issued" : { "date-parts" : [ [ "2009" ] ] }, "page" : "1263-1284", "title" : "Learning from imbalanced data", "type" : "article-journal", "volume" : "21" }, "uris" : [ "http://www.mendeley.com/documents/?uuid=6b6c9a68-4d02-477c-9725-dcbae4acc532" ] } ], "mendeley" : { "formattedCitation" : "(He and Garcia, 2009)", "plainTextFormattedCitation" : "(He and Garcia, 2009)", "previouslyFormattedCitation" : "(He and Garcia, 2009)" }, "properties" : { "noteIndex" : 0 }, "schema" : "https://github.com/citation-style-language/schema/raw/master/csl-citation.json" }</w:instrText>
      </w:r>
      <w:r w:rsidRPr="00B5131B">
        <w:rPr>
          <w:lang w:val="en-GB"/>
        </w:rPr>
        <w:fldChar w:fldCharType="separate"/>
      </w:r>
      <w:r w:rsidRPr="00B5131B">
        <w:rPr>
          <w:noProof/>
          <w:lang w:val="en-GB"/>
        </w:rPr>
        <w:t>(He and Garcia, 2009)</w:t>
      </w:r>
      <w:r w:rsidRPr="00B5131B">
        <w:fldChar w:fldCharType="end"/>
      </w:r>
      <w:r w:rsidRPr="00B5131B">
        <w:rPr>
          <w:lang w:val="en-GB"/>
        </w:rPr>
        <w:t>. Bootstrapping was used to solve this problem, via generating 100 balance datasets by under-sampling responders and over-sampling non-responders, meanwhile keeping the sizes of each bootstrapping dataset equal to that of the original dataset. Based on each bootstrapping dataset, an elastic net regularized multivariate logistic regression was fitted:</w:t>
      </w:r>
    </w:p>
    <w:p w14:paraId="3230723F" w14:textId="77777777" w:rsidR="00751B57" w:rsidRPr="00B5131B" w:rsidRDefault="00EB69D8" w:rsidP="0036376C">
      <w:pPr>
        <w:jc w:val="left"/>
        <w:rPr>
          <w:lang w:val=""/>
        </w:rPr>
      </w:pPr>
      <m:oMathPara>
        <m:oMath>
          <m:func>
            <m:funcPr>
              <m:ctrlPr>
                <w:rPr>
                  <w:rFonts w:ascii="Cambria Math" w:hAnsi="Cambria Math"/>
                  <w:i/>
                  <w:lang w:val=""/>
                </w:rPr>
              </m:ctrlPr>
            </m:funcPr>
            <m:fName>
              <m:limLow>
                <m:limLowPr>
                  <m:ctrlPr>
                    <w:rPr>
                      <w:rFonts w:ascii="Cambria Math" w:hAnsi="Cambria Math"/>
                      <w:i/>
                      <w:lang w:val=""/>
                    </w:rPr>
                  </m:ctrlPr>
                </m:limLowPr>
                <m:e>
                  <m:r>
                    <m:rPr>
                      <m:sty m:val="p"/>
                    </m:rPr>
                    <w:rPr>
                      <w:rFonts w:ascii="Cambria Math" w:hAnsi="Cambria Math"/>
                      <w:lang w:val=""/>
                    </w:rPr>
                    <m:t>min</m:t>
                  </m:r>
                  <m:ctrlPr>
                    <w:rPr>
                      <w:rFonts w:ascii="Cambria Math" w:hAnsi="Cambria Math"/>
                      <w:lang w:val=""/>
                    </w:rPr>
                  </m:ctrlPr>
                </m:e>
                <m:lim>
                  <m:d>
                    <m:dPr>
                      <m:ctrlPr>
                        <w:rPr>
                          <w:rFonts w:ascii="Cambria Math" w:hAnsi="Cambria Math"/>
                          <w:i/>
                          <w:lang w:val=""/>
                        </w:rPr>
                      </m:ctrlPr>
                    </m:dPr>
                    <m:e>
                      <m:sSub>
                        <m:sSubPr>
                          <m:ctrlPr>
                            <w:rPr>
                              <w:rFonts w:ascii="Cambria Math" w:hAnsi="Cambria Math"/>
                              <w:i/>
                              <w:lang w:val=""/>
                            </w:rPr>
                          </m:ctrlPr>
                        </m:sSubPr>
                        <m:e>
                          <m:r>
                            <w:rPr>
                              <w:rFonts w:ascii="Cambria Math" w:hAnsi="Cambria Math"/>
                              <w:lang w:val=""/>
                            </w:rPr>
                            <m:t>β</m:t>
                          </m:r>
                        </m:e>
                        <m:sub>
                          <m:r>
                            <w:rPr>
                              <w:rFonts w:ascii="Cambria Math" w:hAnsi="Cambria Math"/>
                              <w:lang w:val=""/>
                            </w:rPr>
                            <m:t>0</m:t>
                          </m:r>
                        </m:sub>
                      </m:sSub>
                      <m:r>
                        <w:rPr>
                          <w:rFonts w:ascii="Cambria Math" w:hAnsi="Cambria Math"/>
                          <w:lang w:val=""/>
                        </w:rPr>
                        <m:t>,β</m:t>
                      </m:r>
                    </m:e>
                  </m:d>
                  <m:r>
                    <w:rPr>
                      <w:rFonts w:ascii="Cambria Math" w:hAnsi="Cambria Math" w:hint="eastAsia"/>
                      <w:lang w:val=""/>
                    </w:rPr>
                    <m:t>∈</m:t>
                  </m:r>
                  <m:sSup>
                    <m:sSupPr>
                      <m:ctrlPr>
                        <w:rPr>
                          <w:rFonts w:ascii="Cambria Math" w:hAnsi="Cambria Math"/>
                          <w:i/>
                          <w:lang w:val=""/>
                        </w:rPr>
                      </m:ctrlPr>
                    </m:sSupPr>
                    <m:e>
                      <m:r>
                        <m:rPr>
                          <m:scr m:val="double-struck"/>
                        </m:rPr>
                        <w:rPr>
                          <w:rFonts w:ascii="Cambria Math" w:hAnsi="Cambria Math"/>
                          <w:lang w:val=""/>
                        </w:rPr>
                        <m:t>R</m:t>
                      </m:r>
                    </m:e>
                    <m:sup>
                      <m:r>
                        <w:rPr>
                          <w:rFonts w:ascii="Cambria Math" w:hAnsi="Cambria Math"/>
                          <w:lang w:val=""/>
                        </w:rPr>
                        <m:t>p+1</m:t>
                      </m:r>
                    </m:sup>
                  </m:sSup>
                  <m:ctrlPr>
                    <w:rPr>
                      <w:rFonts w:ascii="Cambria Math" w:hAnsi="Cambria Math"/>
                      <w:lang w:val=""/>
                    </w:rPr>
                  </m:ctrlPr>
                </m:lim>
              </m:limLow>
            </m:fName>
            <m:e>
              <m:f>
                <m:fPr>
                  <m:ctrlPr>
                    <w:rPr>
                      <w:rFonts w:ascii="Cambria Math" w:hAnsi="Cambria Math"/>
                      <w:lang w:val=""/>
                    </w:rPr>
                  </m:ctrlPr>
                </m:fPr>
                <m:num>
                  <m:r>
                    <m:rPr>
                      <m:sty m:val="p"/>
                    </m:rPr>
                    <w:rPr>
                      <w:rFonts w:ascii="Cambria Math" w:hAnsi="Cambria Math"/>
                      <w:lang w:val=""/>
                    </w:rPr>
                    <m:t>1</m:t>
                  </m:r>
                </m:num>
                <m:den>
                  <m:r>
                    <w:rPr>
                      <w:rFonts w:ascii="Cambria Math" w:hAnsi="Cambria Math"/>
                      <w:lang w:val=""/>
                    </w:rPr>
                    <m:t>N</m:t>
                  </m:r>
                </m:den>
              </m:f>
              <m:nary>
                <m:naryPr>
                  <m:chr m:val="∑"/>
                  <m:ctrlPr>
                    <w:rPr>
                      <w:rFonts w:ascii="Cambria Math" w:hAnsi="Cambria Math"/>
                      <w:lang w:val=""/>
                    </w:rPr>
                  </m:ctrlPr>
                </m:naryPr>
                <m:sub>
                  <m:r>
                    <w:rPr>
                      <w:rFonts w:ascii="Cambria Math" w:hAnsi="Cambria Math"/>
                      <w:lang w:val=""/>
                    </w:rPr>
                    <m:t>i</m:t>
                  </m:r>
                  <m:r>
                    <m:rPr>
                      <m:sty m:val="p"/>
                    </m:rPr>
                    <w:rPr>
                      <w:rFonts w:ascii="Cambria Math" w:hAnsi="Cambria Math"/>
                      <w:lang w:val=""/>
                    </w:rPr>
                    <m:t>=1</m:t>
                  </m:r>
                </m:sub>
                <m:sup>
                  <m:r>
                    <w:rPr>
                      <w:rFonts w:ascii="Cambria Math" w:hAnsi="Cambria Math"/>
                      <w:lang w:val=""/>
                    </w:rPr>
                    <m:t>N</m:t>
                  </m:r>
                </m:sup>
                <m:e>
                  <m:r>
                    <w:rPr>
                      <w:rFonts w:ascii="Cambria Math" w:hAnsi="Cambria Math"/>
                      <w:lang w:val=""/>
                    </w:rPr>
                    <m:t>l</m:t>
                  </m:r>
                  <m:r>
                    <m:rPr>
                      <m:sty m:val="p"/>
                    </m:rPr>
                    <w:rPr>
                      <w:rFonts w:ascii="Cambria Math" w:hAnsi="Cambria Math"/>
                      <w:lang w:val=""/>
                    </w:rPr>
                    <m:t>(</m:t>
                  </m:r>
                  <m:sSub>
                    <m:sSubPr>
                      <m:ctrlPr>
                        <w:rPr>
                          <w:rFonts w:ascii="Cambria Math" w:hAnsi="Cambria Math"/>
                          <w:lang w:val=""/>
                        </w:rPr>
                      </m:ctrlPr>
                    </m:sSubPr>
                    <m:e>
                      <m:r>
                        <w:rPr>
                          <w:rFonts w:ascii="Cambria Math" w:hAnsi="Cambria Math"/>
                          <w:lang w:val=""/>
                        </w:rPr>
                        <m:t>y</m:t>
                      </m:r>
                    </m:e>
                    <m:sub>
                      <m:r>
                        <w:rPr>
                          <w:rFonts w:ascii="Cambria Math" w:hAnsi="Cambria Math"/>
                          <w:lang w:val=""/>
                        </w:rPr>
                        <m:t>i</m:t>
                      </m:r>
                    </m:sub>
                  </m:sSub>
                </m:e>
              </m:nary>
              <m:r>
                <m:rPr>
                  <m:sty m:val="p"/>
                </m:rPr>
                <w:rPr>
                  <w:rFonts w:ascii="Cambria Math" w:hAnsi="Cambria Math"/>
                  <w:lang w:val=""/>
                </w:rPr>
                <m:t>,</m:t>
              </m:r>
              <m:sSub>
                <m:sSubPr>
                  <m:ctrlPr>
                    <w:rPr>
                      <w:rFonts w:ascii="Cambria Math" w:hAnsi="Cambria Math"/>
                      <w:lang w:val=""/>
                    </w:rPr>
                  </m:ctrlPr>
                </m:sSubPr>
                <m:e>
                  <m:r>
                    <w:rPr>
                      <w:rFonts w:ascii="Cambria Math" w:hAnsi="Cambria Math"/>
                      <w:lang w:val=""/>
                    </w:rPr>
                    <m:t>β</m:t>
                  </m:r>
                </m:e>
                <m:sub>
                  <m:r>
                    <m:rPr>
                      <m:sty m:val="p"/>
                    </m:rPr>
                    <w:rPr>
                      <w:rFonts w:ascii="Cambria Math" w:hAnsi="Cambria Math"/>
                      <w:lang w:val=""/>
                    </w:rPr>
                    <m:t>0</m:t>
                  </m:r>
                </m:sub>
              </m:sSub>
              <m:r>
                <m:rPr>
                  <m:sty m:val="p"/>
                </m:rPr>
                <w:rPr>
                  <w:rFonts w:ascii="Cambria Math" w:hAnsi="Cambria Math"/>
                  <w:lang w:val=""/>
                </w:rPr>
                <m:t>+</m:t>
              </m:r>
              <m:sSup>
                <m:sSupPr>
                  <m:ctrlPr>
                    <w:rPr>
                      <w:rFonts w:ascii="Cambria Math" w:hAnsi="Cambria Math"/>
                      <w:lang w:val=""/>
                    </w:rPr>
                  </m:ctrlPr>
                </m:sSupPr>
                <m:e>
                  <m:r>
                    <w:rPr>
                      <w:rFonts w:ascii="Cambria Math" w:hAnsi="Cambria Math"/>
                      <w:lang w:val=""/>
                    </w:rPr>
                    <m:t>β</m:t>
                  </m:r>
                </m:e>
                <m:sup>
                  <m:r>
                    <w:rPr>
                      <w:rFonts w:ascii="Cambria Math" w:hAnsi="Cambria Math"/>
                      <w:lang w:val=""/>
                    </w:rPr>
                    <m:t>T</m:t>
                  </m:r>
                </m:sup>
              </m:sSup>
              <m:sSub>
                <m:sSubPr>
                  <m:ctrlPr>
                    <w:rPr>
                      <w:rFonts w:ascii="Cambria Math" w:hAnsi="Cambria Math"/>
                      <w:lang w:val=""/>
                    </w:rPr>
                  </m:ctrlPr>
                </m:sSubPr>
                <m:e>
                  <m:r>
                    <w:rPr>
                      <w:rFonts w:ascii="Cambria Math" w:hAnsi="Cambria Math"/>
                      <w:lang w:val=""/>
                    </w:rPr>
                    <m:t>x</m:t>
                  </m:r>
                </m:e>
                <m:sub>
                  <m:r>
                    <w:rPr>
                      <w:rFonts w:ascii="Cambria Math" w:hAnsi="Cambria Math"/>
                      <w:lang w:val=""/>
                    </w:rPr>
                    <m:t>i</m:t>
                  </m:r>
                </m:sub>
              </m:sSub>
              <m:r>
                <m:rPr>
                  <m:sty m:val="p"/>
                </m:rPr>
                <w:rPr>
                  <w:rFonts w:ascii="Cambria Math" w:hAnsi="Cambria Math"/>
                  <w:lang w:val=""/>
                </w:rPr>
                <m:t>)+</m:t>
              </m:r>
              <m:r>
                <w:rPr>
                  <w:rFonts w:ascii="Cambria Math" w:hAnsi="Cambria Math"/>
                  <w:lang w:val=""/>
                </w:rPr>
                <m:t>λ</m:t>
              </m:r>
              <m:d>
                <m:dPr>
                  <m:begChr m:val="["/>
                  <m:endChr m:val="]"/>
                  <m:ctrlPr>
                    <w:rPr>
                      <w:rFonts w:ascii="Cambria Math" w:hAnsi="Cambria Math"/>
                      <w:lang w:val=""/>
                    </w:rPr>
                  </m:ctrlPr>
                </m:dPr>
                <m:e>
                  <m:d>
                    <m:dPr>
                      <m:ctrlPr>
                        <w:rPr>
                          <w:rFonts w:ascii="Cambria Math" w:hAnsi="Cambria Math"/>
                          <w:lang w:val=""/>
                        </w:rPr>
                      </m:ctrlPr>
                    </m:dPr>
                    <m:e>
                      <m:r>
                        <m:rPr>
                          <m:sty m:val="p"/>
                        </m:rPr>
                        <w:rPr>
                          <w:rFonts w:ascii="Cambria Math" w:hAnsi="Cambria Math"/>
                          <w:lang w:val=""/>
                        </w:rPr>
                        <m:t>1-</m:t>
                      </m:r>
                      <m:r>
                        <w:rPr>
                          <w:rFonts w:ascii="Cambria Math" w:hAnsi="Cambria Math"/>
                          <w:lang w:val=""/>
                        </w:rPr>
                        <m:t>α</m:t>
                      </m:r>
                    </m:e>
                  </m:d>
                  <m:r>
                    <m:rPr>
                      <m:sty m:val="p"/>
                    </m:rPr>
                    <w:rPr>
                      <w:rFonts w:ascii="Cambria Math" w:hAnsi="Cambria Math"/>
                      <w:lang w:val=""/>
                    </w:rPr>
                    <m:t> </m:t>
                  </m:r>
                  <m:f>
                    <m:fPr>
                      <m:ctrlPr>
                        <w:rPr>
                          <w:rFonts w:ascii="Cambria Math" w:hAnsi="Cambria Math"/>
                          <w:lang w:val=""/>
                        </w:rPr>
                      </m:ctrlPr>
                    </m:fPr>
                    <m:num>
                      <m:r>
                        <w:rPr>
                          <w:rFonts w:ascii="Cambria Math" w:hAnsi="Cambria Math"/>
                          <w:lang w:val=""/>
                        </w:rPr>
                        <m:t>1</m:t>
                      </m:r>
                    </m:num>
                    <m:den>
                      <m:r>
                        <w:rPr>
                          <w:rFonts w:ascii="Cambria Math" w:hAnsi="Cambria Math"/>
                          <w:lang w:val=""/>
                        </w:rPr>
                        <m:t>2</m:t>
                      </m:r>
                    </m:den>
                  </m:f>
                  <m:r>
                    <m:rPr>
                      <m:sty m:val="p"/>
                    </m:rPr>
                    <w:rPr>
                      <w:rFonts w:ascii="Cambria Math" w:hAnsi="Cambria Math"/>
                      <w:lang w:val=""/>
                    </w:rPr>
                    <m:t xml:space="preserve"> </m:t>
                  </m:r>
                  <m:r>
                    <m:rPr>
                      <m:sty m:val="p"/>
                    </m:rPr>
                    <w:rPr>
                      <w:rFonts w:ascii="Cambria Math" w:hAnsi="Cambria Math" w:hint="eastAsia"/>
                      <w:lang w:val=""/>
                    </w:rPr>
                    <m:t>∥</m:t>
                  </m:r>
                  <m:r>
                    <w:rPr>
                      <w:rFonts w:ascii="Cambria Math" w:hAnsi="Cambria Math"/>
                      <w:lang w:val=""/>
                    </w:rPr>
                    <m:t>β</m:t>
                  </m:r>
                  <m:sSubSup>
                    <m:sSubSupPr>
                      <m:ctrlPr>
                        <w:rPr>
                          <w:rFonts w:ascii="Cambria Math" w:hAnsi="Cambria Math"/>
                          <w:lang w:val=""/>
                        </w:rPr>
                      </m:ctrlPr>
                    </m:sSubSupPr>
                    <m:e>
                      <m:r>
                        <m:rPr>
                          <m:sty m:val="p"/>
                        </m:rPr>
                        <w:rPr>
                          <w:rFonts w:ascii="Cambria Math" w:hAnsi="Cambria Math" w:hint="eastAsia"/>
                          <w:lang w:val=""/>
                        </w:rPr>
                        <m:t>∥</m:t>
                      </m:r>
                    </m:e>
                    <m:sub>
                      <m:r>
                        <m:rPr>
                          <m:scr m:val="script"/>
                          <m:sty m:val="p"/>
                        </m:rPr>
                        <w:rPr>
                          <w:rFonts w:ascii="Cambria Math" w:hAnsi="Cambria Math"/>
                          <w:lang w:val=""/>
                        </w:rPr>
                        <m:t>l</m:t>
                      </m:r>
                      <m:r>
                        <m:rPr>
                          <m:sty m:val="p"/>
                        </m:rPr>
                        <w:rPr>
                          <w:rFonts w:ascii="Cambria Math" w:hAnsi="Cambria Math"/>
                          <w:lang w:val=""/>
                        </w:rPr>
                        <m:t>2</m:t>
                      </m:r>
                    </m:sub>
                    <m:sup>
                      <m:r>
                        <m:rPr>
                          <m:sty m:val="p"/>
                        </m:rPr>
                        <w:rPr>
                          <w:rFonts w:ascii="Cambria Math" w:hAnsi="Cambria Math"/>
                          <w:lang w:val=""/>
                        </w:rPr>
                        <m:t>2</m:t>
                      </m:r>
                    </m:sup>
                  </m:sSubSup>
                  <m:r>
                    <m:rPr>
                      <m:sty m:val="p"/>
                    </m:rPr>
                    <w:rPr>
                      <w:rFonts w:ascii="Cambria Math" w:hAnsi="Cambria Math"/>
                      <w:lang w:val=""/>
                    </w:rPr>
                    <m:t xml:space="preserve"> +</m:t>
                  </m:r>
                  <m:r>
                    <w:rPr>
                      <w:rFonts w:ascii="Cambria Math" w:hAnsi="Cambria Math"/>
                      <w:lang w:val=""/>
                    </w:rPr>
                    <m:t>α</m:t>
                  </m:r>
                  <m:r>
                    <m:rPr>
                      <m:sty m:val="p"/>
                    </m:rPr>
                    <w:rPr>
                      <w:rFonts w:ascii="Cambria Math" w:hAnsi="Cambria Math" w:hint="eastAsia"/>
                      <w:lang w:val=""/>
                    </w:rPr>
                    <m:t>∥</m:t>
                  </m:r>
                  <m:r>
                    <w:rPr>
                      <w:rFonts w:ascii="Cambria Math" w:hAnsi="Cambria Math"/>
                      <w:lang w:val=""/>
                    </w:rPr>
                    <m:t>β</m:t>
                  </m:r>
                  <m:sSub>
                    <m:sSubPr>
                      <m:ctrlPr>
                        <w:rPr>
                          <w:rFonts w:ascii="Cambria Math" w:hAnsi="Cambria Math"/>
                          <w:lang w:val=""/>
                        </w:rPr>
                      </m:ctrlPr>
                    </m:sSubPr>
                    <m:e>
                      <m:r>
                        <m:rPr>
                          <m:sty m:val="p"/>
                        </m:rPr>
                        <w:rPr>
                          <w:rFonts w:ascii="Cambria Math" w:hAnsi="Cambria Math" w:hint="eastAsia"/>
                          <w:lang w:val=""/>
                        </w:rPr>
                        <m:t>∥</m:t>
                      </m:r>
                    </m:e>
                    <m:sub>
                      <m:r>
                        <m:rPr>
                          <m:scr m:val="script"/>
                          <m:sty m:val="p"/>
                        </m:rPr>
                        <w:rPr>
                          <w:rFonts w:ascii="Cambria Math" w:hAnsi="Cambria Math"/>
                          <w:lang w:val=""/>
                        </w:rPr>
                        <m:t>l</m:t>
                      </m:r>
                      <m:r>
                        <m:rPr>
                          <m:sty m:val="p"/>
                        </m:rPr>
                        <w:rPr>
                          <w:rFonts w:ascii="Cambria Math" w:hAnsi="Cambria Math"/>
                          <w:lang w:val=""/>
                        </w:rPr>
                        <m:t>1</m:t>
                      </m:r>
                    </m:sub>
                  </m:sSub>
                </m:e>
              </m:d>
            </m:e>
          </m:func>
        </m:oMath>
      </m:oMathPara>
    </w:p>
    <w:p w14:paraId="079BAAFD" w14:textId="77777777" w:rsidR="00751B57" w:rsidRPr="00B5131B" w:rsidRDefault="00751B57" w:rsidP="0036376C">
      <w:pPr>
        <w:spacing w:after="0"/>
        <w:jc w:val="left"/>
        <w:rPr>
          <w:lang w:val="en-GB"/>
        </w:rPr>
      </w:pPr>
      <w:r w:rsidRPr="00B5131B">
        <w:rPr>
          <w:lang w:val="en-GB"/>
        </w:rPr>
        <w:t xml:space="preserve">This objective function consisted of the negative log-likelihood function and the elastic net penalty. The likelihood function fit the unknown parameters </w:t>
      </w:r>
      <m:oMath>
        <m:r>
          <w:rPr>
            <w:rFonts w:ascii="Cambria Math" w:hAnsi="Cambria Math"/>
            <w:lang w:val="en-GB"/>
          </w:rPr>
          <m:t>β</m:t>
        </m:r>
      </m:oMath>
      <w:r w:rsidRPr="00B5131B">
        <w:rPr>
          <w:lang w:val="en-GB"/>
        </w:rPr>
        <w:t xml:space="preserve"> according to the drug response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w:r w:rsidRPr="00B5131B">
        <w:rPr>
          <w:lang w:val="en-GB"/>
        </w:rPr>
        <w:t xml:space="preserve"> and molecular features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T</m:t>
            </m:r>
          </m:sup>
        </m:sSubSup>
      </m:oMath>
      <w:r w:rsidRPr="00B5131B">
        <w:rPr>
          <w:lang w:val="en-GB"/>
        </w:rPr>
        <w:t xml:space="preserve"> of the </w:t>
      </w:r>
      <m:oMath>
        <m:r>
          <w:rPr>
            <w:rFonts w:ascii="Cambria Math" w:hAnsi="Cambria Math"/>
            <w:lang w:val="en-GB"/>
          </w:rPr>
          <m:t>i</m:t>
        </m:r>
      </m:oMath>
      <w:r w:rsidRPr="00B5131B">
        <w:rPr>
          <w:lang w:val="en-GB"/>
        </w:rPr>
        <w:t xml:space="preserve">th patient and a total of </w:t>
      </w:r>
      <m:oMath>
        <m:r>
          <w:rPr>
            <w:rFonts w:ascii="Cambria Math" w:hAnsi="Cambria Math"/>
            <w:lang w:val="en-GB"/>
          </w:rPr>
          <m:t>N</m:t>
        </m:r>
      </m:oMath>
      <w:r w:rsidRPr="00B5131B">
        <w:rPr>
          <w:lang w:val="en-GB"/>
        </w:rPr>
        <w:t xml:space="preserve"> patients. The elastic net penalty dealt with the problem that features far outnumbered patients via making most of</w:t>
      </w:r>
      <w:r w:rsidRPr="00B5131B">
        <w:rPr>
          <w:i/>
          <w:lang w:val="en-GB"/>
        </w:rPr>
        <w:t xml:space="preserve"> </w:t>
      </w:r>
      <m:oMath>
        <m:r>
          <w:rPr>
            <w:rFonts w:ascii="Cambria Math" w:hAnsi="Cambria Math"/>
            <w:lang w:val="en-GB"/>
          </w:rPr>
          <m:t>β</m:t>
        </m:r>
      </m:oMath>
      <w:r w:rsidRPr="00B5131B">
        <w:rPr>
          <w:lang w:val="en-GB"/>
        </w:rPr>
        <w:t xml:space="preserve"> shrink to zero. In this penalty, </w:t>
      </w:r>
      <m:oMath>
        <m:r>
          <w:rPr>
            <w:rFonts w:ascii="Cambria Math" w:hAnsi="Cambria Math"/>
            <w:lang w:val="en-GB"/>
          </w:rPr>
          <m:t>α</m:t>
        </m:r>
      </m:oMath>
      <w:r w:rsidRPr="00B5131B">
        <w:rPr>
          <w:lang w:val="en-GB"/>
        </w:rPr>
        <w:t xml:space="preserve"> controls the balance of L1 and L2 penalties and </w:t>
      </w:r>
      <m:oMath>
        <m:r>
          <w:rPr>
            <w:rFonts w:ascii="Cambria Math" w:hAnsi="Cambria Math"/>
            <w:lang w:val="en-GB"/>
          </w:rPr>
          <m:t>λ</m:t>
        </m:r>
      </m:oMath>
      <w:r w:rsidRPr="00B5131B">
        <w:rPr>
          <w:lang w:val="en-GB"/>
        </w:rPr>
        <w:t xml:space="preserve"> controls the overall strength. We used the glmnet package </w:t>
      </w:r>
      <w:r w:rsidRPr="00B5131B">
        <w:rPr>
          <w:lang w:val="en-GB"/>
        </w:rPr>
        <w:fldChar w:fldCharType="begin" w:fldLock="1"/>
      </w:r>
      <w:r w:rsidRPr="00B5131B">
        <w:rPr>
          <w:lang w:val="en-GB"/>
        </w:rPr>
        <w:instrText>ADDIN CSL_CITATION { "citationItems" : [ { "id" : "ITEM-1", "itemData" : { "DOI" : "10.1359/JBMR.0301229", "ISBN" : "096368910X", "ISSN" : "1548-7660", "PMID" : "20808728", "abstract" : "We develop fast algorithms for estimation of generalized linear models with convex penalties. The models include linear regression, two-class logistic regression, and multinomial regression problems while the penalties include \u2113(1) (the lasso), \u2113(2)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 "author" : [ { "dropping-particle" : "", "family" : "Friedman", "given" : "Jerome", "non-dropping-particle" : "", "parse-names" : false, "suffix" : "" }, { "dropping-particle" : "", "family" : "Hastie", "given" : "Trevor", "non-dropping-particle" : "", "parse-names" : false, "suffix" : "" }, { "dropping-particle" : "", "family" : "Tibshirani", "given" : "Rob", "non-dropping-particle" : "", "parse-names" : false, "suffix" : "" } ], "container-title" : "Journal of statistical software", "id" : "ITEM-1", "issue" : "1", "issued" : { "date-parts" : [ [ "2010" ] ] }, "page" : "1-22", "title" : "Regularization Paths for Generalized Linear Models via Coordinate Descent.", "type" : "article-journal", "volume" : "33" }, "uris" : [ "http://www.mendeley.com/documents/?uuid=d2663766-dc6d-4f82-974d-141014b82ca5" ] } ], "mendeley" : { "formattedCitation" : "(Friedman &lt;i&gt;et al.&lt;/i&gt;, 2010)", "plainTextFormattedCitation" : "(Friedman et al., 2010)", "previouslyFormattedCitation" : "(Friedman &lt;i&gt;et al.&lt;/i&gt;, 2010)" }, "properties" : { "noteIndex" : 0 }, "schema" : "https://github.com/citation-style-language/schema/raw/master/csl-citation.json" }</w:instrText>
      </w:r>
      <w:r w:rsidRPr="00B5131B">
        <w:rPr>
          <w:lang w:val="en-GB"/>
        </w:rPr>
        <w:fldChar w:fldCharType="separate"/>
      </w:r>
      <w:r w:rsidRPr="00B5131B">
        <w:rPr>
          <w:noProof/>
          <w:lang w:val="en-GB"/>
        </w:rPr>
        <w:t xml:space="preserve">(Friedman </w:t>
      </w:r>
      <w:r w:rsidRPr="00B5131B">
        <w:rPr>
          <w:i/>
          <w:noProof/>
          <w:lang w:val="en-GB"/>
        </w:rPr>
        <w:t>et al.</w:t>
      </w:r>
      <w:r w:rsidRPr="00B5131B">
        <w:rPr>
          <w:noProof/>
          <w:lang w:val="en-GB"/>
        </w:rPr>
        <w:t>, 2010)</w:t>
      </w:r>
      <w:r w:rsidRPr="00B5131B">
        <w:fldChar w:fldCharType="end"/>
      </w:r>
      <w:r w:rsidRPr="00B5131B">
        <w:rPr>
          <w:lang w:val="en-GB"/>
        </w:rPr>
        <w:t xml:space="preserve"> to solve the objective function in order to obtain the best sparse linear model. Firstly, </w:t>
      </w:r>
      <m:oMath>
        <m:r>
          <w:rPr>
            <w:rFonts w:ascii="Cambria Math" w:hAnsi="Cambria Math"/>
            <w:lang w:val="en-GB"/>
          </w:rPr>
          <m:t>α</m:t>
        </m:r>
      </m:oMath>
      <w:r w:rsidRPr="00B5131B">
        <w:rPr>
          <w:lang w:val="en-GB"/>
        </w:rPr>
        <w:t xml:space="preserve"> was set to be 0~1 with the step of 0.1 and </w:t>
      </w:r>
      <m:oMath>
        <m:r>
          <w:rPr>
            <w:rFonts w:ascii="Cambria Math" w:hAnsi="Cambria Math"/>
            <w:lang w:val="en-GB"/>
          </w:rPr>
          <m:t>λ</m:t>
        </m:r>
      </m:oMath>
      <w:r w:rsidRPr="00B5131B">
        <w:rPr>
          <w:lang w:val="en-GB"/>
        </w:rPr>
        <w:t xml:space="preserve"> was set by glmnet's grid method. Then under each value of </w:t>
      </w:r>
      <m:oMath>
        <m:r>
          <w:rPr>
            <w:rFonts w:ascii="Cambria Math" w:hAnsi="Cambria Math"/>
            <w:lang w:val="en-GB"/>
          </w:rPr>
          <m:t>α</m:t>
        </m:r>
      </m:oMath>
      <w:r w:rsidRPr="00B5131B">
        <w:rPr>
          <w:lang w:val="en-GB"/>
        </w:rPr>
        <w:t xml:space="preserve">, glmnet's cross-validation was applied to find the best </w:t>
      </w:r>
      <m:oMath>
        <m:r>
          <w:rPr>
            <w:rFonts w:ascii="Cambria Math" w:hAnsi="Cambria Math"/>
            <w:lang w:val="en-GB"/>
          </w:rPr>
          <m:t>β</m:t>
        </m:r>
      </m:oMath>
      <w:r w:rsidRPr="00B5131B">
        <w:rPr>
          <w:lang w:val="en-GB"/>
        </w:rPr>
        <w:t xml:space="preserve">. The final best model was the one with the largest AUC under a pair of </w:t>
      </w:r>
      <m:oMath>
        <m:r>
          <w:rPr>
            <w:rFonts w:ascii="Cambria Math" w:hAnsi="Cambria Math"/>
            <w:lang w:val="en-GB"/>
          </w:rPr>
          <m:t>α</m:t>
        </m:r>
      </m:oMath>
      <w:r w:rsidRPr="00B5131B">
        <w:rPr>
          <w:lang w:val="en-GB"/>
        </w:rPr>
        <w:t xml:space="preserve"> and</w:t>
      </w:r>
      <w:r w:rsidR="00E6128F" w:rsidRPr="00B5131B">
        <w:rPr>
          <w:lang w:val="en-GB"/>
        </w:rPr>
        <w:t xml:space="preserve"> </w:t>
      </w:r>
      <m:oMath>
        <m:r>
          <w:rPr>
            <w:rFonts w:ascii="Cambria Math" w:hAnsi="Cambria Math"/>
            <w:lang w:val="en-GB"/>
          </w:rPr>
          <m:t>β</m:t>
        </m:r>
      </m:oMath>
      <w:r w:rsidRPr="00B5131B">
        <w:rPr>
          <w:lang w:val="en-GB"/>
        </w:rPr>
        <w:t>.</w:t>
      </w:r>
    </w:p>
    <w:p w14:paraId="79FB660D" w14:textId="7086FB48" w:rsidR="0036376C" w:rsidRPr="00B5131B" w:rsidRDefault="00751B57" w:rsidP="0036376C">
      <w:pPr>
        <w:spacing w:after="0"/>
        <w:ind w:firstLine="284"/>
        <w:jc w:val="left"/>
        <w:rPr>
          <w:lang w:val="en-GB"/>
        </w:rPr>
      </w:pPr>
      <w:r w:rsidRPr="00B5131B">
        <w:rPr>
          <w:lang w:val="en-GB"/>
        </w:rPr>
        <w:t xml:space="preserve">We then identified a group of predictive features for drug responses, i.e. a molecular signature, in which each feature was recurrently selected by above steps. A feature score for the </w:t>
      </w:r>
      <w:r w:rsidRPr="00B5131B">
        <w:rPr>
          <w:i/>
          <w:lang w:val="en-GB"/>
        </w:rPr>
        <w:t>p</w:t>
      </w:r>
      <w:r w:rsidR="0036376C" w:rsidRPr="00B5131B">
        <w:rPr>
          <w:lang w:val="en-GB"/>
        </w:rPr>
        <w:t>th coefficient was defined as</w:t>
      </w:r>
      <m:oMath>
        <m:d>
          <m:dPr>
            <m:ctrlPr>
              <w:rPr>
                <w:rFonts w:ascii="Cambria Math" w:hAnsi="Cambria Math"/>
                <w:lang w:val="en-GB"/>
              </w:rPr>
            </m:ctrlPr>
          </m:dPr>
          <m:e>
            <m:sSubSup>
              <m:sSubSupPr>
                <m:ctrlPr>
                  <w:rPr>
                    <w:rFonts w:ascii="Cambria Math" w:hAnsi="Cambria Math"/>
                    <w:i/>
                    <w:lang w:val="en-GB"/>
                  </w:rPr>
                </m:ctrlPr>
              </m:sSubSupPr>
              <m:e>
                <m:r>
                  <m:rPr>
                    <m:scr m:val="script"/>
                    <m:sty m:val="p"/>
                  </m:rPr>
                  <w:rPr>
                    <w:rFonts w:ascii="Cambria Math" w:hAnsi="Cambria Math"/>
                    <w:lang w:val="en-GB"/>
                  </w:rPr>
                  <m:t>F</m:t>
                </m:r>
                <m:ctrlPr>
                  <w:rPr>
                    <w:rFonts w:ascii="Cambria Math" w:hAnsi="Cambria Math"/>
                    <w:lang w:val="en-GB"/>
                  </w:rPr>
                </m:ctrlPr>
              </m:e>
              <m:sub>
                <m:r>
                  <w:rPr>
                    <w:rFonts w:ascii="Cambria Math" w:hAnsi="Cambria Math"/>
                    <w:lang w:val="en-GB"/>
                  </w:rPr>
                  <m:t>p</m:t>
                </m:r>
              </m:sub>
              <m:sup>
                <m:r>
                  <w:rPr>
                    <w:rFonts w:ascii="Cambria Math" w:hAnsi="Cambria Math"/>
                    <w:lang w:val="en-GB"/>
                  </w:rPr>
                  <m:t>+</m:t>
                </m:r>
              </m:sup>
            </m:sSubSup>
            <m:r>
              <w:rPr>
                <w:rFonts w:ascii="Cambria Math" w:hAnsi="Cambria Math"/>
                <w:lang w:val="en-GB"/>
              </w:rPr>
              <m:t>-</m:t>
            </m:r>
            <m:sSubSup>
              <m:sSubSupPr>
                <m:ctrlPr>
                  <w:rPr>
                    <w:rFonts w:ascii="Cambria Math" w:hAnsi="Cambria Math"/>
                    <w:i/>
                    <w:lang w:val="en-GB"/>
                  </w:rPr>
                </m:ctrlPr>
              </m:sSubSupPr>
              <m:e>
                <m:r>
                  <m:rPr>
                    <m:scr m:val="script"/>
                    <m:sty m:val="p"/>
                  </m:rPr>
                  <w:rPr>
                    <w:rFonts w:ascii="Cambria Math" w:hAnsi="Cambria Math"/>
                    <w:lang w:val="en-GB"/>
                  </w:rPr>
                  <m:t>F</m:t>
                </m:r>
                <m:ctrlPr>
                  <w:rPr>
                    <w:rFonts w:ascii="Cambria Math" w:hAnsi="Cambria Math"/>
                    <w:lang w:val="en-GB"/>
                  </w:rPr>
                </m:ctrlPr>
              </m:e>
              <m:sub>
                <m:r>
                  <w:rPr>
                    <w:rFonts w:ascii="Cambria Math" w:hAnsi="Cambria Math"/>
                    <w:lang w:val="en-GB"/>
                  </w:rPr>
                  <m:t>p</m:t>
                </m:r>
              </m:sub>
              <m:sup>
                <m:r>
                  <w:rPr>
                    <w:rFonts w:ascii="Cambria Math" w:hAnsi="Cambria Math"/>
                    <w:lang w:val="en-GB"/>
                  </w:rPr>
                  <m:t>-</m:t>
                </m:r>
              </m:sup>
            </m:sSubSup>
            <m:ctrlPr>
              <w:rPr>
                <w:rFonts w:ascii="Cambria Math" w:hAnsi="Cambria Math"/>
                <w:i/>
                <w:lang w:val="en-GB"/>
              </w:rPr>
            </m:ctrlPr>
          </m:e>
        </m:d>
        <m:r>
          <w:rPr>
            <w:rFonts w:ascii="Cambria Math" w:hAnsi="Cambria Math"/>
            <w:lang w:val="en-GB"/>
          </w:rPr>
          <m:t>*</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p</m:t>
                </m:r>
              </m:sub>
            </m:sSub>
          </m:e>
        </m:acc>
      </m:oMath>
      <w:r w:rsidR="0036376C" w:rsidRPr="00B5131B">
        <w:rPr>
          <w:lang w:val="en-GB"/>
        </w:rPr>
        <w:t>.</w:t>
      </w:r>
      <w:r w:rsidRPr="00B5131B">
        <w:rPr>
          <w:lang w:val="en-GB"/>
        </w:rPr>
        <w:t xml:space="preserve"> In this definition, </w:t>
      </w:r>
      <m:oMath>
        <m:sSubSup>
          <m:sSubSupPr>
            <m:ctrlPr>
              <w:rPr>
                <w:rFonts w:ascii="Cambria Math" w:hAnsi="Cambria Math"/>
                <w:i/>
                <w:lang w:val="en-GB"/>
              </w:rPr>
            </m:ctrlPr>
          </m:sSubSupPr>
          <m:e>
            <m:r>
              <m:rPr>
                <m:scr m:val="script"/>
                <m:sty m:val="p"/>
              </m:rPr>
              <w:rPr>
                <w:rFonts w:ascii="Cambria Math" w:hAnsi="Cambria Math"/>
                <w:lang w:val="en-GB"/>
              </w:rPr>
              <m:t>F</m:t>
            </m:r>
            <m:ctrlPr>
              <w:rPr>
                <w:rFonts w:ascii="Cambria Math" w:hAnsi="Cambria Math"/>
                <w:lang w:val="en-GB"/>
              </w:rPr>
            </m:ctrlPr>
          </m:e>
          <m:sub>
            <m:r>
              <w:rPr>
                <w:rFonts w:ascii="Cambria Math" w:hAnsi="Cambria Math"/>
                <w:lang w:val="en-GB"/>
              </w:rPr>
              <m:t>p</m:t>
            </m:r>
            <m:ctrlPr>
              <w:rPr>
                <w:rFonts w:ascii="Cambria Math" w:hAnsi="Cambria Math"/>
                <w:lang w:val="en-GB"/>
              </w:rPr>
            </m:ctrlPr>
          </m:sub>
          <m:sup>
            <m:r>
              <w:rPr>
                <w:rFonts w:ascii="Cambria Math" w:hAnsi="Cambria Math"/>
                <w:lang w:val="en-GB"/>
              </w:rPr>
              <m:t>+</m:t>
            </m:r>
          </m:sup>
        </m:sSub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K</m:t>
            </m:r>
          </m:den>
        </m:f>
        <m:nary>
          <m:naryPr>
            <m:chr m:val="∑"/>
            <m:limLoc m:val="subSup"/>
            <m:ctrlPr>
              <w:rPr>
                <w:rFonts w:ascii="Cambria Math" w:hAnsi="Cambria Math"/>
                <w:lang w:val="en-GB"/>
              </w:rPr>
            </m:ctrlPr>
          </m:naryPr>
          <m:sub>
            <m:r>
              <w:rPr>
                <w:rFonts w:ascii="Cambria Math" w:hAnsi="Cambria Math"/>
                <w:lang w:val="en-GB"/>
              </w:rPr>
              <m:t>k=1</m:t>
            </m:r>
          </m:sub>
          <m:sup>
            <m:r>
              <w:rPr>
                <w:rFonts w:ascii="Cambria Math" w:hAnsi="Cambria Math"/>
                <w:lang w:val="en-GB"/>
              </w:rPr>
              <m:t>K</m:t>
            </m:r>
          </m:sup>
          <m:e>
            <m:r>
              <w:rPr>
                <w:rFonts w:ascii="Cambria Math" w:hAnsi="Cambria Math"/>
                <w:lang w:val="en-GB"/>
              </w:rPr>
              <m:t>I</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β</m:t>
                    </m:r>
                  </m:e>
                  <m:sub>
                    <m:r>
                      <w:rPr>
                        <w:rFonts w:ascii="Cambria Math" w:hAnsi="Cambria Math"/>
                        <w:lang w:val="en-GB"/>
                      </w:rPr>
                      <m:t>p</m:t>
                    </m:r>
                  </m:sub>
                  <m:sup>
                    <m:d>
                      <m:dPr>
                        <m:ctrlPr>
                          <w:rPr>
                            <w:rFonts w:ascii="Cambria Math" w:hAnsi="Cambria Math"/>
                            <w:i/>
                            <w:lang w:val="en-GB"/>
                          </w:rPr>
                        </m:ctrlPr>
                      </m:dPr>
                      <m:e>
                        <m:r>
                          <w:rPr>
                            <w:rFonts w:ascii="Cambria Math" w:hAnsi="Cambria Math"/>
                            <w:lang w:val="en-GB"/>
                          </w:rPr>
                          <m:t>k</m:t>
                        </m:r>
                      </m:e>
                    </m:d>
                  </m:sup>
                </m:sSubSup>
                <m:r>
                  <w:rPr>
                    <w:rFonts w:ascii="Cambria Math" w:hAnsi="Cambria Math" w:hint="eastAsia"/>
                    <w:lang w:val="en-GB"/>
                  </w:rPr>
                  <m:t>&gt;</m:t>
                </m:r>
                <m:r>
                  <w:rPr>
                    <w:rFonts w:ascii="Cambria Math" w:hAnsi="Cambria Math"/>
                    <w:lang w:val="en-GB"/>
                  </w:rPr>
                  <m:t>0</m:t>
                </m:r>
              </m:e>
            </m:d>
            <m:r>
              <w:rPr>
                <w:rFonts w:ascii="Cambria Math" w:hAnsi="Cambria Math"/>
                <w:lang w:val="en-GB"/>
              </w:rPr>
              <m:t xml:space="preserve">, </m:t>
            </m:r>
          </m:e>
        </m:nary>
        <m:r>
          <w:rPr>
            <w:rFonts w:ascii="Cambria Math" w:hAnsi="Cambria Math"/>
            <w:lang w:val="en-GB"/>
          </w:rPr>
          <m:t xml:space="preserve"> </m:t>
        </m:r>
        <m:sSubSup>
          <m:sSubSupPr>
            <m:ctrlPr>
              <w:rPr>
                <w:rFonts w:ascii="Cambria Math" w:hAnsi="Cambria Math"/>
                <w:i/>
                <w:lang w:val="en-GB"/>
              </w:rPr>
            </m:ctrlPr>
          </m:sSubSupPr>
          <m:e>
            <m:r>
              <m:rPr>
                <m:scr m:val="script"/>
                <m:sty m:val="p"/>
              </m:rPr>
              <w:rPr>
                <w:rFonts w:ascii="Cambria Math" w:hAnsi="Cambria Math"/>
                <w:lang w:val="en-GB"/>
              </w:rPr>
              <m:t>F</m:t>
            </m:r>
            <m:ctrlPr>
              <w:rPr>
                <w:rFonts w:ascii="Cambria Math" w:hAnsi="Cambria Math"/>
                <w:lang w:val="en-GB"/>
              </w:rPr>
            </m:ctrlPr>
          </m:e>
          <m:sub>
            <m:r>
              <w:rPr>
                <w:rFonts w:ascii="Cambria Math" w:hAnsi="Cambria Math"/>
                <w:lang w:val="en-GB"/>
              </w:rPr>
              <m:t>p</m:t>
            </m:r>
            <m:ctrlPr>
              <w:rPr>
                <w:rFonts w:ascii="Cambria Math" w:hAnsi="Cambria Math"/>
                <w:lang w:val="en-GB"/>
              </w:rPr>
            </m:ctrlPr>
          </m:sub>
          <m:sup>
            <m:r>
              <w:rPr>
                <w:rFonts w:ascii="Cambria Math" w:hAnsi="Cambria Math"/>
                <w:lang w:val="en-GB"/>
              </w:rPr>
              <m:t>-</m:t>
            </m:r>
          </m:sup>
        </m:sSub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K</m:t>
            </m:r>
          </m:den>
        </m:f>
        <m:nary>
          <m:naryPr>
            <m:chr m:val="∑"/>
            <m:limLoc m:val="subSup"/>
            <m:ctrlPr>
              <w:rPr>
                <w:rFonts w:ascii="Cambria Math" w:hAnsi="Cambria Math"/>
                <w:lang w:val="en-GB"/>
              </w:rPr>
            </m:ctrlPr>
          </m:naryPr>
          <m:sub>
            <m:r>
              <w:rPr>
                <w:rFonts w:ascii="Cambria Math" w:hAnsi="Cambria Math"/>
                <w:lang w:val="en-GB"/>
              </w:rPr>
              <m:t>k=1</m:t>
            </m:r>
          </m:sub>
          <m:sup>
            <m:r>
              <w:rPr>
                <w:rFonts w:ascii="Cambria Math" w:hAnsi="Cambria Math"/>
                <w:lang w:val="en-GB"/>
              </w:rPr>
              <m:t>K</m:t>
            </m:r>
          </m:sup>
          <m:e>
            <m:r>
              <w:rPr>
                <w:rFonts w:ascii="Cambria Math" w:hAnsi="Cambria Math"/>
                <w:lang w:val="en-GB"/>
              </w:rPr>
              <m:t>I</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β</m:t>
                    </m:r>
                  </m:e>
                  <m:sub>
                    <m:r>
                      <w:rPr>
                        <w:rFonts w:ascii="Cambria Math" w:hAnsi="Cambria Math"/>
                        <w:lang w:val="en-GB"/>
                      </w:rPr>
                      <m:t>p</m:t>
                    </m:r>
                  </m:sub>
                  <m:sup>
                    <m:d>
                      <m:dPr>
                        <m:ctrlPr>
                          <w:rPr>
                            <w:rFonts w:ascii="Cambria Math" w:hAnsi="Cambria Math"/>
                            <w:i/>
                            <w:lang w:val="en-GB"/>
                          </w:rPr>
                        </m:ctrlPr>
                      </m:dPr>
                      <m:e>
                        <m:r>
                          <w:rPr>
                            <w:rFonts w:ascii="Cambria Math" w:hAnsi="Cambria Math"/>
                            <w:lang w:val="en-GB"/>
                          </w:rPr>
                          <m:t>k</m:t>
                        </m:r>
                      </m:e>
                    </m:d>
                  </m:sup>
                </m:sSubSup>
                <m:r>
                  <w:rPr>
                    <w:rFonts w:ascii="Cambria Math" w:hAnsi="Cambria Math" w:hint="eastAsia"/>
                    <w:lang w:val="en-GB"/>
                  </w:rPr>
                  <m:t>&lt;</m:t>
                </m:r>
                <m:r>
                  <w:rPr>
                    <w:rFonts w:ascii="Cambria Math" w:hAnsi="Cambria Math"/>
                    <w:lang w:val="en-GB"/>
                  </w:rPr>
                  <m:t>0</m:t>
                </m:r>
              </m:e>
            </m:d>
            <m:r>
              <w:rPr>
                <w:rFonts w:ascii="Cambria Math" w:hAnsi="Cambria Math"/>
                <w:lang w:val="en-GB"/>
              </w:rPr>
              <m:t xml:space="preserve"> </m:t>
            </m:r>
          </m:e>
        </m:nary>
      </m:oMath>
      <w:r w:rsidRPr="00B5131B">
        <w:rPr>
          <w:lang w:val="en-GB"/>
        </w:rPr>
        <w:t xml:space="preserve">represented the percentages of coefficients larger or smaller than 0. The differential frequency </w:t>
      </w:r>
      <m:oMath>
        <m:sSubSup>
          <m:sSubSupPr>
            <m:ctrlPr>
              <w:rPr>
                <w:rFonts w:ascii="Cambria Math" w:hAnsi="Cambria Math"/>
                <w:i/>
                <w:lang w:val="en-GB"/>
              </w:rPr>
            </m:ctrlPr>
          </m:sSubSupPr>
          <m:e>
            <m:r>
              <m:rPr>
                <m:scr m:val="script"/>
                <m:sty m:val="p"/>
              </m:rPr>
              <w:rPr>
                <w:rFonts w:ascii="Cambria Math" w:hAnsi="Cambria Math"/>
                <w:lang w:val="en-GB"/>
              </w:rPr>
              <m:t>F</m:t>
            </m:r>
            <m:ctrlPr>
              <w:rPr>
                <w:rFonts w:ascii="Cambria Math" w:hAnsi="Cambria Math"/>
                <w:lang w:val="en-GB"/>
              </w:rPr>
            </m:ctrlPr>
          </m:e>
          <m:sub>
            <m:r>
              <w:rPr>
                <w:rFonts w:ascii="Cambria Math" w:hAnsi="Cambria Math"/>
                <w:lang w:val="en-GB"/>
              </w:rPr>
              <m:t>p</m:t>
            </m:r>
          </m:sub>
          <m:sup>
            <m:r>
              <w:rPr>
                <w:rFonts w:ascii="Cambria Math" w:hAnsi="Cambria Math"/>
                <w:lang w:val="en-GB"/>
              </w:rPr>
              <m:t>+</m:t>
            </m:r>
          </m:sup>
        </m:sSubSup>
        <m:r>
          <w:rPr>
            <w:rFonts w:ascii="Cambria Math" w:hAnsi="Cambria Math"/>
            <w:lang w:val="en-GB"/>
          </w:rPr>
          <m:t>-</m:t>
        </m:r>
        <m:sSubSup>
          <m:sSubSupPr>
            <m:ctrlPr>
              <w:rPr>
                <w:rFonts w:ascii="Cambria Math" w:hAnsi="Cambria Math"/>
                <w:i/>
                <w:lang w:val="en-GB"/>
              </w:rPr>
            </m:ctrlPr>
          </m:sSubSupPr>
          <m:e>
            <m:r>
              <m:rPr>
                <m:scr m:val="script"/>
                <m:sty m:val="p"/>
              </m:rPr>
              <w:rPr>
                <w:rFonts w:ascii="Cambria Math" w:hAnsi="Cambria Math"/>
                <w:lang w:val="en-GB"/>
              </w:rPr>
              <m:t>F</m:t>
            </m:r>
            <m:ctrlPr>
              <w:rPr>
                <w:rFonts w:ascii="Cambria Math" w:hAnsi="Cambria Math"/>
                <w:lang w:val="en-GB"/>
              </w:rPr>
            </m:ctrlPr>
          </m:e>
          <m:sub>
            <m:r>
              <w:rPr>
                <w:rFonts w:ascii="Cambria Math" w:hAnsi="Cambria Math"/>
                <w:lang w:val="en-GB"/>
              </w:rPr>
              <m:t>p</m:t>
            </m:r>
          </m:sub>
          <m:sup>
            <m:r>
              <w:rPr>
                <w:rFonts w:ascii="Cambria Math" w:hAnsi="Cambria Math"/>
                <w:lang w:val="en-GB"/>
              </w:rPr>
              <m:t>-</m:t>
            </m:r>
          </m:sup>
        </m:sSubSup>
        <m:r>
          <w:rPr>
            <w:rFonts w:ascii="Cambria Math" w:hAnsi="Cambria Math"/>
            <w:lang w:val="en-GB"/>
          </w:rPr>
          <m:t>,p=1..P</m:t>
        </m:r>
      </m:oMath>
      <w:r w:rsidRPr="00B5131B">
        <w:rPr>
          <w:lang w:val="en-GB"/>
        </w:rPr>
        <w:t xml:space="preserve"> favored the features which are more consistently and recurrently selected.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p</m:t>
                </m:r>
              </m:sub>
            </m:sSub>
            <m:ctrlPr>
              <w:rPr>
                <w:rFonts w:ascii="Cambria Math" w:hAnsi="Cambria Math"/>
                <w:i/>
                <w:lang w:val="en-GB"/>
              </w:rPr>
            </m:ctrlPr>
          </m:e>
        </m:acc>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w:rPr>
                <w:rFonts w:ascii="Cambria Math" w:hAnsi="Cambria Math"/>
                <w:lang w:val="en-GB"/>
              </w:rPr>
              <m:t>K</m:t>
            </m:r>
          </m:den>
        </m:f>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Sup>
              <m:sSubSupPr>
                <m:ctrlPr>
                  <w:rPr>
                    <w:rFonts w:ascii="Cambria Math" w:hAnsi="Cambria Math"/>
                    <w:i/>
                    <w:lang w:val="en-GB"/>
                  </w:rPr>
                </m:ctrlPr>
              </m:sSubSupPr>
              <m:e>
                <m:r>
                  <w:rPr>
                    <w:rFonts w:ascii="Cambria Math" w:hAnsi="Cambria Math"/>
                    <w:lang w:val="en-GB"/>
                  </w:rPr>
                  <m:t>β</m:t>
                </m:r>
              </m:e>
              <m:sub>
                <m:r>
                  <w:rPr>
                    <w:rFonts w:ascii="Cambria Math" w:hAnsi="Cambria Math"/>
                    <w:lang w:val="en-GB"/>
                  </w:rPr>
                  <m:t>p</m:t>
                </m:r>
              </m:sub>
              <m:sup>
                <m:r>
                  <w:rPr>
                    <w:rFonts w:ascii="Cambria Math" w:hAnsi="Cambria Math"/>
                    <w:lang w:val="en-GB"/>
                  </w:rPr>
                  <m:t>(k)</m:t>
                </m:r>
              </m:sup>
            </m:sSubSup>
          </m:e>
        </m:nary>
      </m:oMath>
      <w:r w:rsidRPr="00B5131B">
        <w:rPr>
          <w:lang w:val="en-GB"/>
        </w:rPr>
        <w:t xml:space="preserve"> represented the average of the</w:t>
      </w:r>
      <w:r w:rsidRPr="00B5131B">
        <w:rPr>
          <w:i/>
          <w:lang w:val="en-GB"/>
        </w:rPr>
        <w:t xml:space="preserve"> p</w:t>
      </w:r>
      <w:r w:rsidRPr="00B5131B">
        <w:rPr>
          <w:lang w:val="en-GB"/>
        </w:rPr>
        <w:t xml:space="preserve">th coefficient in </w:t>
      </w:r>
      <w:r w:rsidRPr="00B5131B">
        <w:rPr>
          <w:i/>
          <w:lang w:val="en-GB"/>
        </w:rPr>
        <w:t>K</w:t>
      </w:r>
      <w:r w:rsidRPr="00B5131B">
        <w:rPr>
          <w:lang w:val="en-GB"/>
        </w:rPr>
        <w:t xml:space="preserve"> elastic net models. The features with scores at least </w:t>
      </w:r>
      <m:oMath>
        <m:r>
          <m:rPr>
            <m:sty m:val="p"/>
          </m:rPr>
          <w:rPr>
            <w:rFonts w:ascii="Cambria Math" w:hAnsi="Cambria Math"/>
            <w:lang w:val="en-GB"/>
          </w:rPr>
          <m:t>±2 sd</m:t>
        </m:r>
      </m:oMath>
      <w:r w:rsidRPr="00B5131B">
        <w:rPr>
          <w:lang w:val="en-GB"/>
        </w:rPr>
        <w:t xml:space="preserve"> from the average of all scores were selected as the final molecular signatures. </w:t>
      </w:r>
    </w:p>
    <w:p w14:paraId="3C86FF21" w14:textId="77777777" w:rsidR="0036376C" w:rsidRPr="00B5131B" w:rsidRDefault="0036376C" w:rsidP="0036376C">
      <w:pPr>
        <w:spacing w:after="0"/>
        <w:jc w:val="left"/>
      </w:pPr>
      <w:r w:rsidRPr="00B5131B">
        <w:t>In</w:t>
      </w:r>
      <w:r w:rsidRPr="00B5131B">
        <w:rPr>
          <w:rFonts w:hint="eastAsia"/>
        </w:rPr>
        <w:t xml:space="preserve"> the </w:t>
      </w:r>
      <w:r w:rsidRPr="00B5131B">
        <w:t>application</w:t>
      </w:r>
      <w:r w:rsidRPr="00B5131B">
        <w:rPr>
          <w:rFonts w:hint="eastAsia"/>
        </w:rPr>
        <w:t xml:space="preserve"> </w:t>
      </w:r>
      <w:r w:rsidRPr="00B5131B">
        <w:t>of the computational framework, the significance threshold of pre-selecting candidates, namely p value smaller than 0.05, was sometimes too stringent to select any drug response associated features. This was often specific to molecular data type, e.g. copy number alteration, or occasionally in several pairs of training and testing sets. To deal with this problem, we relaxed the p value threshold by 0.01 step by step to identify at least 2 features. This minimum considered the proper running of the following molecular signature identification procedure. The upper limit was set to be 0.1, if still no features was selected then the top 2 significant features were directly used in the following analysis. If two features were used, then the final signature contained these two features. We recorded the practical p value used and numbers of pre-selected candidate features.</w:t>
      </w:r>
    </w:p>
    <w:p w14:paraId="21F658F3" w14:textId="77777777" w:rsidR="0036376C" w:rsidRPr="00B5131B" w:rsidRDefault="0036376C" w:rsidP="00AB2FB5">
      <w:pPr>
        <w:spacing w:after="0"/>
        <w:ind w:firstLine="284"/>
        <w:jc w:val="left"/>
      </w:pPr>
      <w:r w:rsidRPr="00B5131B">
        <w:t xml:space="preserve">Sometimes there were more than 2 pre-selected features. But the number of these candidates cannot fulfill the threshold to select final features in molecular signatures. This often happened to miRNA datasets, since there were relatively fewer miRNA transcripts for pre-selection which led to a small number of miRNA candidates. In practice, we relax the threshold to </w:t>
      </w:r>
      <m:oMath>
        <m:r>
          <m:rPr>
            <m:sty m:val="p"/>
          </m:rPr>
          <w:rPr>
            <w:rFonts w:ascii="Cambria Math" w:hAnsi="Cambria Math"/>
          </w:rPr>
          <m:t>±1 sd</m:t>
        </m:r>
      </m:oMath>
      <w:r w:rsidRPr="00B5131B">
        <w:t xml:space="preserve">, while the other three data types used </w:t>
      </w:r>
      <m:oMath>
        <m:r>
          <m:rPr>
            <m:sty m:val="p"/>
          </m:rPr>
          <w:rPr>
            <w:rFonts w:ascii="Cambria Math" w:hAnsi="Cambria Math"/>
          </w:rPr>
          <m:t>±2 sd</m:t>
        </m:r>
      </m:oMath>
      <w:r w:rsidRPr="00B5131B">
        <w:rPr>
          <w:rFonts w:hint="eastAsia"/>
        </w:rPr>
        <w:t xml:space="preserve">. </w:t>
      </w:r>
      <w:r w:rsidRPr="00B5131B">
        <w:t>Occasionally the threshold was still stringent for some training sets, therefore we further relaxed the threshold by 0.1 step by step, until 2 features can be selected. We also recorded the actual threshold used and the number o</w:t>
      </w:r>
      <w:r w:rsidR="00AB2FB5" w:rsidRPr="00B5131B">
        <w:t xml:space="preserve">f features in final signatures. </w:t>
      </w:r>
      <w:r w:rsidRPr="00B5131B">
        <w:t xml:space="preserve">We recorded all these statistics as a result of applying the framework to each core dataset in Supplementary Table S4. </w:t>
      </w:r>
    </w:p>
    <w:p w14:paraId="02BF3274" w14:textId="77777777" w:rsidR="00751B57" w:rsidRPr="00B5131B" w:rsidRDefault="00751B57" w:rsidP="0036376C">
      <w:pPr>
        <w:spacing w:after="0"/>
        <w:ind w:firstLine="284"/>
        <w:jc w:val="left"/>
        <w:rPr>
          <w:lang w:val="en-GB"/>
        </w:rPr>
      </w:pPr>
      <w:r w:rsidRPr="00B5131B">
        <w:rPr>
          <w:b/>
          <w:bCs/>
          <w:lang w:val="en-GB"/>
        </w:rPr>
        <w:t>Predictive model construction</w:t>
      </w:r>
      <w:r w:rsidRPr="00B5131B">
        <w:rPr>
          <w:lang w:val="en-GB"/>
        </w:rPr>
        <w:t xml:space="preserve">. Based on the identified molecular signature, an ensemble model of multivariate logistic regression was built. Each base classifier was fitted to one of the 100 bootstrapping datasets. The predicted response was the majority votes of the 100 base classifiers. The ROC curve was obtained by adjusting the thresholds to classify non-responders and responders. The area under the curve </w:t>
      </w:r>
      <w:r w:rsidRPr="00B5131B">
        <w:rPr>
          <w:rFonts w:hint="eastAsia"/>
          <w:lang w:val="en-GB"/>
        </w:rPr>
        <w:t>(</w:t>
      </w:r>
      <w:r w:rsidRPr="00B5131B">
        <w:rPr>
          <w:lang w:val="en-GB"/>
        </w:rPr>
        <w:t>AUC) was calculated to represent the predictive performance.</w:t>
      </w:r>
    </w:p>
    <w:p w14:paraId="7BFF4D40" w14:textId="77777777" w:rsidR="00D12D16" w:rsidRPr="00B5131B" w:rsidRDefault="00751B57" w:rsidP="0036376C">
      <w:pPr>
        <w:spacing w:after="0"/>
        <w:ind w:firstLine="284"/>
        <w:jc w:val="left"/>
        <w:rPr>
          <w:lang w:val="en-GB"/>
        </w:rPr>
      </w:pPr>
      <w:r w:rsidRPr="00B5131B">
        <w:rPr>
          <w:b/>
          <w:lang w:val="en-GB"/>
        </w:rPr>
        <w:t>Predictive performance evaluation</w:t>
      </w:r>
      <w:r w:rsidRPr="00B5131B">
        <w:rPr>
          <w:lang w:val="en-GB"/>
        </w:rPr>
        <w:t>. To estimate the predictive performances, each molecular dataset was randomly split into 5 folds for 20 times, resulting in 100 pairs of training and testing sets. Each fold was ensured to have both responders and non-responders. Four folds were used to train a predictive model and the left one was used to evaluate the predictive performances. In the multiple cancer analysis, the data splitting procedure also kept the proportion of each cancer approximate to the complete dataset in training sets. The predictive performances could be biased due to the small sample size of each dataset in single cancer analysis or different drug response distributions of different cancer types in the multiple cancer analysis, therefore we implemented permutation tests</w:t>
      </w:r>
      <w:r w:rsidR="00811B6C" w:rsidRPr="00B5131B">
        <w:rPr>
          <w:lang w:val="en-GB"/>
        </w:rPr>
        <w:t xml:space="preserve"> by</w:t>
      </w:r>
      <w:r w:rsidR="00811B6C" w:rsidRPr="00B5131B">
        <w:rPr>
          <w:szCs w:val="20"/>
        </w:rPr>
        <w:t xml:space="preserve"> randomly permuting sample labels in training sets to estimate the null distributions of the AUCs for each dataset. The null distributions represented the performances of random classifiers and were compared to the true performances to assess the statistical significances.</w:t>
      </w:r>
      <w:r w:rsidR="00811B6C" w:rsidRPr="00B5131B">
        <w:rPr>
          <w:lang w:val="en-GB"/>
        </w:rPr>
        <w:t xml:space="preserve"> We shuffled</w:t>
      </w:r>
      <w:r w:rsidRPr="00B5131B">
        <w:rPr>
          <w:lang w:val="en-GB"/>
        </w:rPr>
        <w:t xml:space="preserve"> the drug responses in each training set for 100 times and calculating the AUCs on corresponding testing sets. Finally the Mann-Whitney U test was applied to check if the real AUCs were significantly larger than the AUCs from permutated datasets. In the multiple cancer analysis, the shuffling procedure was applied to each single cancer types in order to keep the cancer specific distributions of drug responses.</w:t>
      </w:r>
    </w:p>
    <w:p w14:paraId="0C438A8A" w14:textId="77777777" w:rsidR="0055446A" w:rsidRPr="00B5131B" w:rsidRDefault="00B46322" w:rsidP="00E6128F">
      <w:pPr>
        <w:spacing w:before="240"/>
        <w:jc w:val="left"/>
        <w:rPr>
          <w:b/>
        </w:rPr>
      </w:pPr>
      <w:r w:rsidRPr="00B5131B">
        <w:rPr>
          <w:b/>
        </w:rPr>
        <w:t>Estimating</w:t>
      </w:r>
      <w:r w:rsidR="0055446A" w:rsidRPr="00B5131B">
        <w:rPr>
          <w:b/>
        </w:rPr>
        <w:t xml:space="preserve"> the statistical s</w:t>
      </w:r>
      <w:r w:rsidR="00C70468" w:rsidRPr="00B5131B">
        <w:rPr>
          <w:b/>
        </w:rPr>
        <w:t xml:space="preserve">ignificance of features in </w:t>
      </w:r>
      <w:r w:rsidR="00C17A04" w:rsidRPr="00B5131B">
        <w:rPr>
          <w:b/>
        </w:rPr>
        <w:t xml:space="preserve">each of </w:t>
      </w:r>
      <w:r w:rsidR="00C70468" w:rsidRPr="00B5131B">
        <w:rPr>
          <w:b/>
        </w:rPr>
        <w:t>the three</w:t>
      </w:r>
      <w:r w:rsidR="0055446A" w:rsidRPr="00B5131B">
        <w:rPr>
          <w:b/>
        </w:rPr>
        <w:t xml:space="preserve"> signatures</w:t>
      </w:r>
    </w:p>
    <w:p w14:paraId="1626851C" w14:textId="77777777" w:rsidR="00D12D16" w:rsidRPr="00B5131B" w:rsidRDefault="00CD3FF6" w:rsidP="0036376C">
      <w:pPr>
        <w:jc w:val="left"/>
      </w:pPr>
      <w:r w:rsidRPr="00B5131B">
        <w:t>We</w:t>
      </w:r>
      <w:r w:rsidR="00D23A20" w:rsidRPr="00B5131B">
        <w:t xml:space="preserve"> identified</w:t>
      </w:r>
      <w:r w:rsidR="00B6253C" w:rsidRPr="00B5131B">
        <w:t xml:space="preserve"> the 3 </w:t>
      </w:r>
      <w:r w:rsidR="009F354D" w:rsidRPr="00B5131B">
        <w:t xml:space="preserve">mRNA or miRNA </w:t>
      </w:r>
      <w:r w:rsidR="00A07B43" w:rsidRPr="00B5131B">
        <w:t xml:space="preserve">signatures using each </w:t>
      </w:r>
      <w:r w:rsidR="00B6253C" w:rsidRPr="00B5131B">
        <w:t>complete datase</w:t>
      </w:r>
      <w:r w:rsidR="00721442" w:rsidRPr="00B5131B">
        <w:t>t</w:t>
      </w:r>
      <w:r w:rsidR="00E91E26" w:rsidRPr="00B5131B">
        <w:t xml:space="preserve"> without data splitting. Therefore</w:t>
      </w:r>
      <w:r w:rsidR="00C773B7" w:rsidRPr="00B5131B">
        <w:t xml:space="preserve"> there was</w:t>
      </w:r>
      <w:r w:rsidR="00AB4F5D" w:rsidRPr="00B5131B">
        <w:t xml:space="preserve"> no other </w:t>
      </w:r>
      <w:r w:rsidR="00B6253C" w:rsidRPr="00B5131B">
        <w:t>data to validate the</w:t>
      </w:r>
      <w:r w:rsidR="0017160D" w:rsidRPr="00B5131B">
        <w:t xml:space="preserve"> predictive performances of the three signatures.</w:t>
      </w:r>
      <w:r w:rsidR="00B6253C" w:rsidRPr="00B5131B">
        <w:t xml:space="preserve"> We </w:t>
      </w:r>
      <w:r w:rsidR="00747128" w:rsidRPr="00B5131B">
        <w:t>instead</w:t>
      </w:r>
      <w:r w:rsidR="006F4039" w:rsidRPr="00B5131B">
        <w:t xml:space="preserve"> implemented a permutation test </w:t>
      </w:r>
      <w:r w:rsidR="00B6253C" w:rsidRPr="00B5131B">
        <w:t>to assess each fea</w:t>
      </w:r>
      <w:r w:rsidR="007D568F" w:rsidRPr="00B5131B">
        <w:t>ture’s statistical significance</w:t>
      </w:r>
      <w:r w:rsidR="00B6253C" w:rsidRPr="00B5131B">
        <w:t xml:space="preserve">. </w:t>
      </w:r>
      <w:r w:rsidR="009319C0" w:rsidRPr="00B5131B">
        <w:t>Thus</w:t>
      </w:r>
      <w:r w:rsidR="00DC25F5" w:rsidRPr="00B5131B">
        <w:rPr>
          <w:rFonts w:hint="eastAsia"/>
        </w:rPr>
        <w:t>,</w:t>
      </w:r>
      <w:r w:rsidR="00DC25F5" w:rsidRPr="00B5131B">
        <w:t xml:space="preserve"> we </w:t>
      </w:r>
      <w:r w:rsidR="00B3483D" w:rsidRPr="00B5131B">
        <w:t>propose</w:t>
      </w:r>
      <w:r w:rsidR="003B27C1" w:rsidRPr="00B5131B">
        <w:t>d</w:t>
      </w:r>
      <w:r w:rsidR="00B3483D" w:rsidRPr="00B5131B">
        <w:t xml:space="preserve"> a hypothesis test. </w:t>
      </w:r>
      <w:r w:rsidR="008820D8" w:rsidRPr="00B5131B">
        <w:t xml:space="preserve">Since the </w:t>
      </w:r>
      <w:r w:rsidR="00A15155" w:rsidRPr="00B5131B">
        <w:t>feature score</w:t>
      </w:r>
      <w:r w:rsidR="008820D8" w:rsidRPr="00B5131B">
        <w:t xml:space="preserve"> represented both the differential frequency and association coefficients, a true response associated </w:t>
      </w:r>
      <w:r w:rsidR="008E3C31" w:rsidRPr="00B5131B">
        <w:t>feature had large score</w:t>
      </w:r>
      <w:r w:rsidR="008820D8" w:rsidRPr="00B5131B">
        <w:t xml:space="preserve"> an</w:t>
      </w:r>
      <w:r w:rsidR="00911151" w:rsidRPr="00B5131B">
        <w:t>d</w:t>
      </w:r>
      <w:r w:rsidR="00917C0D" w:rsidRPr="00B5131B">
        <w:t xml:space="preserve"> an irrelevant feature</w:t>
      </w:r>
      <w:r w:rsidR="00911151" w:rsidRPr="00B5131B">
        <w:t xml:space="preserve"> had score</w:t>
      </w:r>
      <w:r w:rsidR="008820D8" w:rsidRPr="00B5131B">
        <w:t xml:space="preserve"> as zero. Therefore, the hypothesis test was as follows:</w:t>
      </w:r>
    </w:p>
    <w:p w14:paraId="5ECD46C1" w14:textId="77777777" w:rsidR="008820D8" w:rsidRPr="00B5131B" w:rsidRDefault="00606C3D" w:rsidP="0036376C">
      <w:pPr>
        <w:jc w:val="left"/>
      </w:pPr>
      <w:r w:rsidRPr="00B5131B">
        <w:t xml:space="preserve">Null hypothesis: </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=0</m:t>
        </m:r>
      </m:oMath>
      <w:r w:rsidR="00CC39DC" w:rsidRPr="00B5131B">
        <w:t xml:space="preserve">; alternative hypothesis: </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&gt;</m:t>
        </m:r>
        <m:r>
          <m:rPr>
            <m:sty m:val="p"/>
          </m:rPr>
          <w:rPr>
            <w:rFonts w:ascii="Cambria Math" w:hAnsi="Cambria Math"/>
          </w:rPr>
          <m:t>0</m:t>
        </m:r>
      </m:oMath>
      <w:r w:rsidR="00BD7EE6" w:rsidRPr="00B5131B">
        <w:rPr>
          <w:rFonts w:hint="eastAsia"/>
        </w:rPr>
        <w:t xml:space="preserve"> or </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&lt;</m:t>
        </m:r>
        <m:r>
          <m:rPr>
            <m:sty m:val="p"/>
          </m:rPr>
          <w:rPr>
            <w:rFonts w:ascii="Cambria Math" w:hAnsi="Cambria Math"/>
          </w:rPr>
          <m:t>0</m:t>
        </m:r>
      </m:oMath>
    </w:p>
    <w:p w14:paraId="0420542D" w14:textId="77777777" w:rsidR="00D12D16" w:rsidRPr="00B5131B" w:rsidRDefault="00CC39DC" w:rsidP="0036376C">
      <w:pPr>
        <w:jc w:val="left"/>
      </w:pPr>
      <w:r w:rsidRPr="00B5131B">
        <w:rPr>
          <w:rFonts w:hint="eastAsia"/>
        </w:rPr>
        <w:t xml:space="preserve">Here </w:t>
      </w:r>
      <m:oMath>
        <m:r>
          <m:rPr>
            <m:sty m:val="p"/>
          </m:rPr>
          <w:rPr>
            <w:rFonts w:ascii="Cambria Math" w:hAnsi="Cambria Math"/>
          </w:rPr>
          <m:t>X</m:t>
        </m:r>
      </m:oMath>
      <w:r w:rsidRPr="00B5131B">
        <w:rPr>
          <w:rFonts w:hint="eastAsia"/>
        </w:rPr>
        <w:t xml:space="preserve"> </w:t>
      </w:r>
      <w:r w:rsidR="003378F2" w:rsidRPr="00B5131B">
        <w:t>is the score</w:t>
      </w:r>
      <w:r w:rsidR="009319C0" w:rsidRPr="00B5131B">
        <w:t xml:space="preserve"> of one feature.</w:t>
      </w:r>
      <w:r w:rsidR="00EF4DCA" w:rsidRPr="00B5131B">
        <w:t xml:space="preserve"> </w:t>
      </w:r>
      <w:r w:rsidR="009319C0" w:rsidRPr="00B5131B">
        <w:t>S</w:t>
      </w:r>
      <w:r w:rsidRPr="00B5131B">
        <w:t xml:space="preserve">ince it was hard to analytically identify the true background distribution of </w:t>
      </w:r>
      <m:oMath>
        <m:r>
          <m:rPr>
            <m:sty m:val="p"/>
          </m:rPr>
          <w:rPr>
            <w:rFonts w:ascii="Cambria Math" w:hAnsi="Cambria Math"/>
          </w:rPr>
          <m:t>X</m:t>
        </m:r>
      </m:oMath>
      <w:r w:rsidRPr="00B5131B">
        <w:rPr>
          <w:rFonts w:hint="eastAsia"/>
        </w:rPr>
        <w:t xml:space="preserve"> under the n</w:t>
      </w:r>
      <w:r w:rsidR="00072C85" w:rsidRPr="00B5131B">
        <w:rPr>
          <w:rFonts w:hint="eastAsia"/>
        </w:rPr>
        <w:t xml:space="preserve">ull hypothesis, we </w:t>
      </w:r>
      <w:r w:rsidR="00072C85" w:rsidRPr="00B5131B">
        <w:t>shuffled</w:t>
      </w:r>
      <w:r w:rsidR="00072C85" w:rsidRPr="00B5131B">
        <w:rPr>
          <w:rFonts w:hint="eastAsia"/>
        </w:rPr>
        <w:t xml:space="preserve"> </w:t>
      </w:r>
      <w:r w:rsidR="00072C85" w:rsidRPr="00B5131B">
        <w:t xml:space="preserve">the drug response labels </w:t>
      </w:r>
      <w:r w:rsidR="001F485E" w:rsidRPr="00B5131B">
        <w:t>10,000 times</w:t>
      </w:r>
      <w:r w:rsidR="001C6B29" w:rsidRPr="00B5131B">
        <w:t xml:space="preserve"> for the elastic net models with bootstrapping</w:t>
      </w:r>
      <w:r w:rsidR="00D66CF1" w:rsidRPr="00B5131B">
        <w:t xml:space="preserve"> after pre-selecting candidates</w:t>
      </w:r>
      <w:r w:rsidRPr="00B5131B">
        <w:t xml:space="preserve">. </w:t>
      </w:r>
      <w:r w:rsidR="00ED62A7" w:rsidRPr="00B5131B">
        <w:t>The 10,000 score</w:t>
      </w:r>
      <w:r w:rsidR="002509F1" w:rsidRPr="00B5131B">
        <w:t xml:space="preserve">s for each features represented the null distribution. </w:t>
      </w:r>
      <w:r w:rsidRPr="00B5131B">
        <w:t xml:space="preserve">The significance of one feature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5131B">
        <w:t xml:space="preserve"> was calculated as follows:</w:t>
      </w:r>
    </w:p>
    <w:p w14:paraId="6749F1B3" w14:textId="77777777" w:rsidR="00CC39DC" w:rsidRPr="00B5131B" w:rsidRDefault="00CC39DC" w:rsidP="0036376C">
      <w:pPr>
        <w:jc w:val="left"/>
      </w:pPr>
      <m:oMathPara>
        <m:oMath>
          <m:r>
            <m:rPr>
              <m:sty m:val="p"/>
            </m:rPr>
            <w:rPr>
              <w:rFonts w:ascii="Cambria Math" w:hAnsi="Cambria Math"/>
            </w:rPr>
            <m:t>p value=</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∑I(x≥</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ctrlPr>
                        <w:rPr>
                          <w:rFonts w:ascii="Cambria Math" w:hAnsi="Cambria Math"/>
                          <w:i/>
                        </w:rPr>
                      </m:ctrlPr>
                    </m:num>
                    <m:den>
                      <m:r>
                        <w:rPr>
                          <w:rFonts w:ascii="Cambria Math" w:hAnsi="Cambria Math"/>
                        </w:rPr>
                        <m:t>10001</m:t>
                      </m:r>
                    </m:den>
                  </m:f>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&gt;0</m:t>
                  </m:r>
                </m:e>
                <m:e>
                  <m:f>
                    <m:fPr>
                      <m:ctrlPr>
                        <w:rPr>
                          <w:rFonts w:ascii="Cambria Math" w:hAnsi="Cambria Math"/>
                        </w:rPr>
                      </m:ctrlPr>
                    </m:fPr>
                    <m:num>
                      <m:r>
                        <w:rPr>
                          <w:rFonts w:ascii="Cambria Math" w:hAnsi="Cambria Math"/>
                        </w:rPr>
                        <m:t>∑I</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p</m:t>
                              </m:r>
                            </m:sub>
                          </m:sSub>
                        </m:e>
                      </m:d>
                      <m:ctrlPr>
                        <w:rPr>
                          <w:rFonts w:ascii="Cambria Math" w:hAnsi="Cambria Math"/>
                          <w:i/>
                        </w:rPr>
                      </m:ctrlPr>
                    </m:num>
                    <m:den>
                      <m:r>
                        <w:rPr>
                          <w:rFonts w:ascii="Cambria Math" w:hAnsi="Cambria Math"/>
                        </w:rPr>
                        <m:t>10001</m:t>
                      </m:r>
                    </m:den>
                  </m:f>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&lt;0</m:t>
                  </m:r>
                </m:e>
                <m:e>
                  <m:r>
                    <w:rPr>
                      <w:rFonts w:ascii="Cambria Math" w:hAnsi="Cambria Math"/>
                    </w:rPr>
                    <m:t xml:space="preserve">        1,          if</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=0</m:t>
                  </m:r>
                </m:e>
              </m:eqArr>
            </m:e>
          </m:d>
        </m:oMath>
      </m:oMathPara>
    </w:p>
    <w:p w14:paraId="1ACA5871" w14:textId="77777777" w:rsidR="00D12D16" w:rsidRPr="00B5131B" w:rsidRDefault="00254EAC" w:rsidP="0036376C">
      <w:pPr>
        <w:ind w:firstLine="284"/>
        <w:jc w:val="left"/>
      </w:pPr>
      <w:r w:rsidRPr="00B5131B">
        <w:rPr>
          <w:rFonts w:hint="eastAsia"/>
        </w:rPr>
        <w:t xml:space="preserve">In </w:t>
      </w:r>
      <w:r w:rsidRPr="00B5131B">
        <w:t>practice</w:t>
      </w:r>
      <w:r w:rsidRPr="00B5131B">
        <w:rPr>
          <w:rFonts w:hint="eastAsia"/>
        </w:rPr>
        <w:t>,</w:t>
      </w:r>
      <w:r w:rsidRPr="00B5131B">
        <w:t xml:space="preserve"> we did not apply the permutation tests to the miRNA signature</w:t>
      </w:r>
      <w:r w:rsidR="003A4887" w:rsidRPr="00B5131B">
        <w:t>. There were</w:t>
      </w:r>
      <w:r w:rsidRPr="00B5131B">
        <w:t xml:space="preserve"> only 10 pre-selected miRNAs, in which each miRNA may be selected </w:t>
      </w:r>
      <w:r w:rsidR="00601D14" w:rsidRPr="00B5131B">
        <w:t xml:space="preserve">too often </w:t>
      </w:r>
      <w:r w:rsidRPr="00B5131B">
        <w:t>by accident</w:t>
      </w:r>
      <w:r w:rsidR="00E21119" w:rsidRPr="00B5131B">
        <w:t xml:space="preserve">. </w:t>
      </w:r>
      <w:r w:rsidR="003A4887" w:rsidRPr="00B5131B">
        <w:t xml:space="preserve">For the two mRNA signatures, there </w:t>
      </w:r>
      <w:r w:rsidR="00CE5DDC" w:rsidRPr="00B5131B">
        <w:t xml:space="preserve">were </w:t>
      </w:r>
      <w:r w:rsidR="003A4887" w:rsidRPr="00B5131B">
        <w:t>more than six hundred mRNA candidates</w:t>
      </w:r>
      <w:r w:rsidR="00907EC5" w:rsidRPr="00B5131B">
        <w:t>, which can avoid this problem.</w:t>
      </w:r>
    </w:p>
    <w:p w14:paraId="5FAF968E" w14:textId="77777777" w:rsidR="00612558" w:rsidRPr="00B5131B" w:rsidRDefault="00612558" w:rsidP="00612558">
      <w:pPr>
        <w:jc w:val="left"/>
      </w:pPr>
    </w:p>
    <w:p w14:paraId="6E2FA591" w14:textId="77777777" w:rsidR="002F4091" w:rsidRPr="00B5131B" w:rsidRDefault="002F4091" w:rsidP="00612558">
      <w:pPr>
        <w:jc w:val="left"/>
      </w:pPr>
    </w:p>
    <w:p w14:paraId="34EF9FAA" w14:textId="77777777" w:rsidR="002F4091" w:rsidRPr="00B5131B" w:rsidRDefault="002F4091" w:rsidP="00612558">
      <w:pPr>
        <w:jc w:val="left"/>
      </w:pPr>
    </w:p>
    <w:p w14:paraId="67CD1D7D" w14:textId="77777777" w:rsidR="002F4091" w:rsidRPr="00B5131B" w:rsidRDefault="002F4091" w:rsidP="00612558">
      <w:pPr>
        <w:jc w:val="left"/>
      </w:pPr>
    </w:p>
    <w:p w14:paraId="42F1315B" w14:textId="77777777" w:rsidR="002F4091" w:rsidRPr="00B5131B" w:rsidRDefault="002F4091" w:rsidP="00612558">
      <w:pPr>
        <w:jc w:val="left"/>
      </w:pPr>
    </w:p>
    <w:p w14:paraId="39FF4DF2" w14:textId="77777777" w:rsidR="002F4091" w:rsidRPr="00B5131B" w:rsidRDefault="002F4091" w:rsidP="00612558">
      <w:pPr>
        <w:jc w:val="left"/>
      </w:pPr>
    </w:p>
    <w:p w14:paraId="125E073F" w14:textId="77777777" w:rsidR="002F4091" w:rsidRPr="00B5131B" w:rsidRDefault="002F4091" w:rsidP="00612558">
      <w:pPr>
        <w:jc w:val="left"/>
      </w:pPr>
    </w:p>
    <w:p w14:paraId="3C48B68E" w14:textId="77777777" w:rsidR="002F4091" w:rsidRPr="00B5131B" w:rsidRDefault="002F4091" w:rsidP="00612558">
      <w:pPr>
        <w:jc w:val="left"/>
      </w:pPr>
    </w:p>
    <w:p w14:paraId="4C90480B" w14:textId="77777777" w:rsidR="00B5131B" w:rsidRPr="00B5131B" w:rsidRDefault="00B5131B">
      <w:pPr>
        <w:widowControl/>
        <w:snapToGrid/>
        <w:spacing w:after="0" w:line="240" w:lineRule="auto"/>
        <w:jc w:val="left"/>
        <w:rPr>
          <w:b/>
          <w:sz w:val="21"/>
        </w:rPr>
      </w:pPr>
    </w:p>
    <w:p w14:paraId="56289B65" w14:textId="77777777" w:rsidR="00B5131B" w:rsidRPr="00B5131B" w:rsidRDefault="00B5131B">
      <w:pPr>
        <w:widowControl/>
        <w:snapToGrid/>
        <w:spacing w:after="0" w:line="240" w:lineRule="auto"/>
        <w:jc w:val="left"/>
        <w:rPr>
          <w:b/>
          <w:sz w:val="21"/>
        </w:rPr>
      </w:pPr>
      <w:r w:rsidRPr="00B5131B">
        <w:rPr>
          <w:b/>
          <w:sz w:val="21"/>
        </w:rPr>
        <w:br w:type="page"/>
      </w:r>
    </w:p>
    <w:p w14:paraId="6EDE63E1" w14:textId="77777777" w:rsidR="008535CE" w:rsidRPr="00B5131B" w:rsidRDefault="002F4091" w:rsidP="00612558">
      <w:pPr>
        <w:jc w:val="left"/>
        <w:rPr>
          <w:b/>
          <w:sz w:val="21"/>
        </w:rPr>
      </w:pPr>
      <w:r w:rsidRPr="00B5131B">
        <w:rPr>
          <w:b/>
          <w:sz w:val="21"/>
        </w:rPr>
        <w:t>Supplementary Results</w:t>
      </w:r>
    </w:p>
    <w:p w14:paraId="64AAA80C" w14:textId="77777777" w:rsidR="00F4457E" w:rsidRPr="00B5131B" w:rsidRDefault="000C4B8D" w:rsidP="00612558">
      <w:pPr>
        <w:jc w:val="left"/>
        <w:rPr>
          <w:b/>
        </w:rPr>
      </w:pPr>
      <w:r w:rsidRPr="00B5131B">
        <w:rPr>
          <w:b/>
        </w:rPr>
        <w:t xml:space="preserve">Survival analysis </w:t>
      </w:r>
      <w:r w:rsidR="00C8104A" w:rsidRPr="00B5131B">
        <w:rPr>
          <w:b/>
        </w:rPr>
        <w:t xml:space="preserve">of </w:t>
      </w:r>
      <w:r w:rsidR="00F94569" w:rsidRPr="00B5131B">
        <w:rPr>
          <w:b/>
        </w:rPr>
        <w:t xml:space="preserve">the </w:t>
      </w:r>
      <w:r w:rsidR="00C8104A" w:rsidRPr="00B5131B">
        <w:rPr>
          <w:b/>
        </w:rPr>
        <w:t>signatures genes of</w:t>
      </w:r>
      <w:r w:rsidRPr="00B5131B">
        <w:rPr>
          <w:b/>
        </w:rPr>
        <w:t xml:space="preserve"> cisplatin-BLCA and cisplatin-CESC</w:t>
      </w:r>
    </w:p>
    <w:p w14:paraId="01FDB133" w14:textId="4D356363" w:rsidR="00AB7DEF" w:rsidRPr="00B5131B" w:rsidRDefault="00D453BD" w:rsidP="009C12D0">
      <w:pPr>
        <w:spacing w:after="0"/>
        <w:jc w:val="left"/>
      </w:pPr>
      <w:r w:rsidRPr="00B5131B">
        <w:rPr>
          <w:rFonts w:hint="eastAsia"/>
        </w:rPr>
        <w:t>A molecular signature here i</w:t>
      </w:r>
      <w:r w:rsidR="008753C6" w:rsidRPr="00B5131B">
        <w:rPr>
          <w:rFonts w:hint="eastAsia"/>
        </w:rPr>
        <w:t>s defined to be a group of features</w:t>
      </w:r>
      <w:r w:rsidRPr="00B5131B">
        <w:rPr>
          <w:rFonts w:hint="eastAsia"/>
        </w:rPr>
        <w:t xml:space="preserve"> t</w:t>
      </w:r>
      <w:r w:rsidRPr="00B5131B">
        <w:t>hat are</w:t>
      </w:r>
      <w:r w:rsidR="00870991">
        <w:t xml:space="preserve"> recurrently selected by the predictive models</w:t>
      </w:r>
      <w:r w:rsidRPr="00B5131B">
        <w:t xml:space="preserve">. </w:t>
      </w:r>
      <w:r w:rsidR="008753C6" w:rsidRPr="00B5131B">
        <w:t xml:space="preserve">A feature can be a gene, a miRNA or a probe of methylation depending on the molecular data. </w:t>
      </w:r>
      <w:r w:rsidR="001476F3" w:rsidRPr="00B5131B">
        <w:t xml:space="preserve">In the signature of cisplatin-BLCA or cisplatin-CESC, a signature gene refers to </w:t>
      </w:r>
      <w:r w:rsidR="00483E69" w:rsidRPr="00B5131B">
        <w:t>an</w:t>
      </w:r>
      <w:r w:rsidR="001476F3" w:rsidRPr="00B5131B">
        <w:t xml:space="preserve"> mRNA transcript in the corresponding molecular signature. </w:t>
      </w:r>
      <w:r w:rsidR="00863F3A" w:rsidRPr="00B5131B">
        <w:t>We applied the survival a</w:t>
      </w:r>
      <w:r w:rsidR="0015731A">
        <w:t>nalysis to identify the</w:t>
      </w:r>
      <w:r w:rsidR="00863F3A" w:rsidRPr="00B5131B">
        <w:t xml:space="preserve"> prognostic values of these signature genes. </w:t>
      </w:r>
    </w:p>
    <w:p w14:paraId="7C83A706" w14:textId="0E399DFF" w:rsidR="000F7D2F" w:rsidRPr="00B5131B" w:rsidRDefault="004679EA" w:rsidP="005F7B44">
      <w:pPr>
        <w:spacing w:after="0"/>
        <w:ind w:firstLineChars="150" w:firstLine="300"/>
        <w:jc w:val="left"/>
      </w:pPr>
      <w:r w:rsidRPr="00B5131B">
        <w:t>We first applied</w:t>
      </w:r>
      <w:r w:rsidR="00AB7DEF" w:rsidRPr="00B5131B">
        <w:t xml:space="preserve"> univariate cox re</w:t>
      </w:r>
      <w:r w:rsidR="00715FEE" w:rsidRPr="00B5131B">
        <w:t xml:space="preserve">gression to </w:t>
      </w:r>
      <w:r w:rsidR="006D3A48" w:rsidRPr="00B5131B">
        <w:t xml:space="preserve">every gene </w:t>
      </w:r>
      <w:r w:rsidR="00AB7DEF" w:rsidRPr="00B5131B">
        <w:t xml:space="preserve">based on </w:t>
      </w:r>
      <w:r w:rsidRPr="00B5131B">
        <w:t xml:space="preserve">the </w:t>
      </w:r>
      <w:r w:rsidR="00393A19">
        <w:t xml:space="preserve">whole-genome gene </w:t>
      </w:r>
      <w:r w:rsidR="004F5F75">
        <w:t>expression</w:t>
      </w:r>
      <w:r w:rsidR="001711F6">
        <w:t xml:space="preserve"> data</w:t>
      </w:r>
      <w:r w:rsidR="00C843D8" w:rsidRPr="00B5131B">
        <w:t>. Here</w:t>
      </w:r>
      <w:r w:rsidR="00871FD9" w:rsidRPr="00B5131B">
        <w:t xml:space="preserve"> we ex</w:t>
      </w:r>
      <w:r w:rsidR="00972865">
        <w:t xml:space="preserve">panded </w:t>
      </w:r>
      <w:r w:rsidR="00C843D8" w:rsidRPr="00B5131B">
        <w:t>to all</w:t>
      </w:r>
      <w:r w:rsidR="00B436CB">
        <w:t xml:space="preserve"> BLCA or CESC</w:t>
      </w:r>
      <w:r w:rsidR="00C843D8" w:rsidRPr="00B5131B">
        <w:t xml:space="preserve"> patients</w:t>
      </w:r>
      <w:r w:rsidR="00972865">
        <w:t xml:space="preserve"> regardless of drug treatments</w:t>
      </w:r>
      <w:r w:rsidR="00233836" w:rsidRPr="00B5131B">
        <w:t>.</w:t>
      </w:r>
      <w:r w:rsidR="00107505" w:rsidRPr="00B5131B">
        <w:t xml:space="preserve"> </w:t>
      </w:r>
      <w:r w:rsidR="00977CAB" w:rsidRPr="00B5131B">
        <w:t>Since the 5-year survival</w:t>
      </w:r>
      <w:r w:rsidR="00977CAB" w:rsidRPr="006E1669">
        <w:t xml:space="preserve"> </w:t>
      </w:r>
      <w:r w:rsidR="00D73486">
        <w:t>is</w:t>
      </w:r>
      <w:r w:rsidR="00977CAB" w:rsidRPr="00B5131B">
        <w:t xml:space="preserve"> more concerned in the clinic, we right censored </w:t>
      </w:r>
      <w:r w:rsidR="00C7037D">
        <w:t xml:space="preserve">the </w:t>
      </w:r>
      <w:r w:rsidR="00977CAB" w:rsidRPr="00B5131B">
        <w:t>patien</w:t>
      </w:r>
      <w:r w:rsidR="00977CAB">
        <w:t>ts who lived longer than 5 year</w:t>
      </w:r>
      <w:r w:rsidR="009D5A15">
        <w:t>s</w:t>
      </w:r>
      <w:r w:rsidR="00977CAB">
        <w:t xml:space="preserve"> as</w:t>
      </w:r>
      <w:r w:rsidR="00977CAB" w:rsidRPr="00B5131B">
        <w:t xml:space="preserve"> 5 years and alive.</w:t>
      </w:r>
      <w:r w:rsidR="005F5CA9">
        <w:t xml:space="preserve"> The statistical significances of all genes were first calculated by log-rank tests and then corrected by the </w:t>
      </w:r>
      <w:r w:rsidR="00DB1867">
        <w:t>Benjamini</w:t>
      </w:r>
      <w:r w:rsidR="005F5CA9">
        <w:t>-Hochberg method.</w:t>
      </w:r>
      <w:r w:rsidR="008F1E32">
        <w:t xml:space="preserve"> We also recorded the rankings of</w:t>
      </w:r>
      <w:r w:rsidR="007927C1">
        <w:t xml:space="preserve"> every gene according to their statistical significances. </w:t>
      </w:r>
      <w:r w:rsidR="000E6557">
        <w:t>Fin</w:t>
      </w:r>
      <w:r w:rsidR="005F7B44">
        <w:t>ally, we</w:t>
      </w:r>
      <w:r w:rsidR="000E6557">
        <w:t xml:space="preserve"> chose those signature genes according to two</w:t>
      </w:r>
      <w:r w:rsidR="000E6557" w:rsidRPr="00B5131B">
        <w:t xml:space="preserve"> criteria: 1) the p value was smaller than 0.01 and 2) the ranking is among the top 5% of all genes</w:t>
      </w:r>
      <w:r w:rsidR="000E6557">
        <w:t xml:space="preserve"> in the whole genome</w:t>
      </w:r>
      <w:r w:rsidR="000E6557" w:rsidRPr="00B5131B">
        <w:t>.</w:t>
      </w:r>
      <w:r w:rsidR="005F7B44">
        <w:rPr>
          <w:rFonts w:hint="eastAsia"/>
        </w:rPr>
        <w:t xml:space="preserve"> </w:t>
      </w:r>
      <w:r w:rsidR="006D3A48" w:rsidRPr="00B5131B">
        <w:t xml:space="preserve">As a result, </w:t>
      </w:r>
      <w:r w:rsidR="00782207">
        <w:t>t</w:t>
      </w:r>
      <w:r w:rsidR="00A76F2F" w:rsidRPr="00B5131B">
        <w:t xml:space="preserve">he significant genes </w:t>
      </w:r>
      <w:r w:rsidR="00CF20D8">
        <w:t>in</w:t>
      </w:r>
      <w:r w:rsidR="005F5C98" w:rsidRPr="00B5131B">
        <w:t xml:space="preserve"> </w:t>
      </w:r>
      <w:r w:rsidR="00323F6B">
        <w:t>the signature of cisplatin-BLCA include</w:t>
      </w:r>
      <w:r w:rsidR="00A76F2F" w:rsidRPr="00B5131B">
        <w:t xml:space="preserve"> DDB1</w:t>
      </w:r>
      <w:r w:rsidR="00094061" w:rsidRPr="00B5131B">
        <w:t xml:space="preserve"> (p value as 0.0013, fdr </w:t>
      </w:r>
      <w:r w:rsidR="0063531B" w:rsidRPr="00B5131B">
        <w:t xml:space="preserve">as </w:t>
      </w:r>
      <w:r w:rsidR="00094061" w:rsidRPr="00B5131B">
        <w:t>0.127, ranking 157 among 15,455 genes)</w:t>
      </w:r>
      <w:r w:rsidR="0063531B" w:rsidRPr="00B5131B">
        <w:t>, INTS5 (p value as 0.0010, fdr as 0.119, ranking 131/15,455)</w:t>
      </w:r>
      <w:r w:rsidR="00A76F2F" w:rsidRPr="00B5131B">
        <w:t xml:space="preserve">, </w:t>
      </w:r>
      <w:r w:rsidR="005F5C98" w:rsidRPr="00B5131B">
        <w:t>and</w:t>
      </w:r>
      <w:r w:rsidR="00EA4C72">
        <w:t xml:space="preserve"> in</w:t>
      </w:r>
      <w:r w:rsidR="005F5C98" w:rsidRPr="00B5131B">
        <w:t xml:space="preserve"> the mRNA s</w:t>
      </w:r>
      <w:r w:rsidR="00021F8E">
        <w:t>ignature of cisplatin-CESC include</w:t>
      </w:r>
      <w:r w:rsidR="005F5C98" w:rsidRPr="00B5131B">
        <w:t xml:space="preserve"> </w:t>
      </w:r>
      <w:r w:rsidR="00A76F2F" w:rsidRPr="00B5131B">
        <w:t>DDL4</w:t>
      </w:r>
      <w:r w:rsidR="0063531B" w:rsidRPr="00B5131B">
        <w:t xml:space="preserve"> (</w:t>
      </w:r>
      <w:r w:rsidR="005F5C98" w:rsidRPr="00B5131B">
        <w:t>p value as 0.00018, fdr as 0.023, ranking 120/15,655</w:t>
      </w:r>
      <w:r w:rsidR="0063531B" w:rsidRPr="00B5131B">
        <w:t>)</w:t>
      </w:r>
      <w:r w:rsidR="0095488C" w:rsidRPr="00B5131B">
        <w:t>, HNRNPA3 (p value as 0.0057, fdr as 0.093, ranking 735/15655)</w:t>
      </w:r>
      <w:r w:rsidR="00A76F2F" w:rsidRPr="00B5131B">
        <w:t xml:space="preserve"> and pseudogene HNRNPA3P1</w:t>
      </w:r>
      <w:r w:rsidR="005F5C98" w:rsidRPr="00B5131B">
        <w:t xml:space="preserve"> (</w:t>
      </w:r>
      <w:r w:rsidR="00F70A82" w:rsidRPr="00B5131B">
        <w:t>p value as 0.00025, fdr as 0.026, ranking 147/15,655</w:t>
      </w:r>
      <w:r w:rsidR="005F5C98" w:rsidRPr="00B5131B">
        <w:t>)</w:t>
      </w:r>
      <w:r w:rsidR="00A76F2F" w:rsidRPr="00B5131B">
        <w:t xml:space="preserve"> </w:t>
      </w:r>
      <w:r w:rsidR="009011F9" w:rsidRPr="00B5131B">
        <w:t xml:space="preserve">(See the list for </w:t>
      </w:r>
      <w:r w:rsidR="009011F9">
        <w:t xml:space="preserve">more details </w:t>
      </w:r>
      <w:r w:rsidR="009011F9" w:rsidRPr="00B5131B">
        <w:t>of cox regression in Supplementary Table S5)</w:t>
      </w:r>
      <w:r w:rsidR="00EA3DCE" w:rsidRPr="00B5131B">
        <w:t>.</w:t>
      </w:r>
      <w:r w:rsidR="007843BB">
        <w:t xml:space="preserve"> For each of the five genes, we grouped the patients into three clusters (high/medium/low expression groups)</w:t>
      </w:r>
      <w:r w:rsidR="0050654E">
        <w:t xml:space="preserve"> and performed the Kaplan-Meier analysis (Figure 2B)</w:t>
      </w:r>
      <w:r w:rsidR="008D75D2">
        <w:t>.</w:t>
      </w:r>
    </w:p>
    <w:p w14:paraId="61AB858B" w14:textId="2D9672BA" w:rsidR="00EC1282" w:rsidRDefault="006C7326" w:rsidP="00F04CA4">
      <w:pPr>
        <w:ind w:firstLineChars="150" w:firstLine="300"/>
        <w:jc w:val="left"/>
      </w:pPr>
      <w:r w:rsidRPr="00B5131B">
        <w:t xml:space="preserve">After the survival analysis of each individual gene, we </w:t>
      </w:r>
      <w:r w:rsidR="00AD69E6" w:rsidRPr="00B5131B">
        <w:t xml:space="preserve">investigated the prognostic power of </w:t>
      </w:r>
      <w:r w:rsidR="008D554E" w:rsidRPr="00B5131B">
        <w:t>each</w:t>
      </w:r>
      <w:r w:rsidR="00394435" w:rsidRPr="00B5131B">
        <w:t xml:space="preserve"> </w:t>
      </w:r>
      <w:r w:rsidR="003F4D1B">
        <w:t>signature as a whole. Taking the signature of cisplatin-BLCA</w:t>
      </w:r>
      <w:r w:rsidR="00416D98" w:rsidRPr="00B5131B">
        <w:t xml:space="preserve"> as an example, firstly we applied the k-means method to group all patients int</w:t>
      </w:r>
      <w:r w:rsidR="00136D96" w:rsidRPr="00B5131B">
        <w:t>o 2</w:t>
      </w:r>
      <w:r w:rsidR="00416D98" w:rsidRPr="00B5131B">
        <w:t xml:space="preserve"> clusters based on the </w:t>
      </w:r>
      <w:r w:rsidR="00C95BAA">
        <w:t xml:space="preserve">expression values of </w:t>
      </w:r>
      <w:r w:rsidR="00416D98" w:rsidRPr="00B5131B">
        <w:t xml:space="preserve">genes in the signature. </w:t>
      </w:r>
      <w:r w:rsidR="00136D96" w:rsidRPr="00B5131B">
        <w:t xml:space="preserve">Then we used the Kaplan-Meier analysis to identify whether the 2 clusters significantly stratify </w:t>
      </w:r>
      <w:r w:rsidR="00567634" w:rsidRPr="00B5131B">
        <w:t xml:space="preserve">these patients into high risk and low risk groups. </w:t>
      </w:r>
      <w:r w:rsidR="002C52AB" w:rsidRPr="00B5131B">
        <w:t>We also checked the results when patients were grouped into 3 clusters.</w:t>
      </w:r>
      <w:r w:rsidR="004A1831" w:rsidRPr="00B5131B">
        <w:t xml:space="preserve"> </w:t>
      </w:r>
      <w:r w:rsidR="00D42836" w:rsidRPr="00B5131B">
        <w:t xml:space="preserve">Results show that the mRNA signature of cisplatin-BLCA is able to significantly stratify patients </w:t>
      </w:r>
      <w:r w:rsidR="009E2596">
        <w:t>into groups with high, medium and</w:t>
      </w:r>
      <w:r w:rsidR="00D42836" w:rsidRPr="00B5131B">
        <w:t xml:space="preserve"> l</w:t>
      </w:r>
      <w:r w:rsidR="004F396A" w:rsidRPr="00B5131B">
        <w:t>ow risk</w:t>
      </w:r>
      <w:r w:rsidR="009E2596">
        <w:t>s</w:t>
      </w:r>
      <w:r w:rsidR="004F396A" w:rsidRPr="00B5131B">
        <w:t xml:space="preserve"> (Supplementary Figure S4</w:t>
      </w:r>
      <w:r w:rsidR="009E4C45" w:rsidRPr="00B5131B">
        <w:t>A</w:t>
      </w:r>
      <w:r w:rsidR="00D42836" w:rsidRPr="00B5131B">
        <w:t xml:space="preserve">), while the signature of cisplatin-CESC is not able to </w:t>
      </w:r>
      <w:r w:rsidR="009E4C45" w:rsidRPr="00B5131B">
        <w:t>stratify the CESC p</w:t>
      </w:r>
      <w:r w:rsidR="004F396A" w:rsidRPr="00B5131B">
        <w:t>atients (Supplementary Figure S4</w:t>
      </w:r>
      <w:r w:rsidR="00992BEA" w:rsidRPr="00B5131B">
        <w:t>B).</w:t>
      </w:r>
      <w:r w:rsidR="00955874" w:rsidRPr="00B5131B">
        <w:t xml:space="preserve"> </w:t>
      </w:r>
      <w:r w:rsidR="00C966DC">
        <w:t>This is not surprising s</w:t>
      </w:r>
      <w:r w:rsidR="00955874" w:rsidRPr="00B5131B">
        <w:t>ince the signature</w:t>
      </w:r>
      <w:r w:rsidR="009953BA">
        <w:t>s</w:t>
      </w:r>
      <w:r w:rsidR="00B74C70">
        <w:t xml:space="preserve"> </w:t>
      </w:r>
      <w:r w:rsidR="00C024CD">
        <w:t>are</w:t>
      </w:r>
      <w:r w:rsidR="00B74C70">
        <w:t xml:space="preserve"> correlated with cisplatin</w:t>
      </w:r>
      <w:r w:rsidR="00955874" w:rsidRPr="00B5131B">
        <w:t xml:space="preserve"> response</w:t>
      </w:r>
      <w:r w:rsidR="00B74C70">
        <w:t>s</w:t>
      </w:r>
      <w:r w:rsidR="00955874" w:rsidRPr="00B5131B">
        <w:t>, they are not necessarily related to patient overall surv</w:t>
      </w:r>
      <w:r w:rsidR="00353E3C" w:rsidRPr="00B5131B">
        <w:t>ival.</w:t>
      </w:r>
    </w:p>
    <w:p w14:paraId="3D857831" w14:textId="00341655" w:rsidR="00657509" w:rsidRPr="007C10C8" w:rsidRDefault="00155EF9" w:rsidP="00657509">
      <w:pPr>
        <w:jc w:val="left"/>
        <w:rPr>
          <w:b/>
        </w:rPr>
      </w:pPr>
      <w:r w:rsidRPr="007C10C8">
        <w:rPr>
          <w:rFonts w:hint="eastAsia"/>
          <w:b/>
        </w:rPr>
        <w:t xml:space="preserve">Evaluation </w:t>
      </w:r>
      <w:r w:rsidRPr="007C10C8">
        <w:rPr>
          <w:b/>
        </w:rPr>
        <w:t>of the molecule-based drug response predictions across cancer types</w:t>
      </w:r>
    </w:p>
    <w:p w14:paraId="0E876BD2" w14:textId="1ED00692" w:rsidR="00272C3E" w:rsidRDefault="00BE0F72" w:rsidP="00657509">
      <w:pPr>
        <w:jc w:val="left"/>
      </w:pPr>
      <w:r>
        <w:rPr>
          <w:rFonts w:hint="eastAsia"/>
        </w:rPr>
        <w:t xml:space="preserve">We compared the performances </w:t>
      </w:r>
      <w:r w:rsidR="004A30DA">
        <w:t>i</w:t>
      </w:r>
      <w:r w:rsidR="007C3E21">
        <w:t xml:space="preserve">n certain single cancer types </w:t>
      </w:r>
      <w:r w:rsidR="004A30DA">
        <w:rPr>
          <w:rFonts w:hint="eastAsia"/>
        </w:rPr>
        <w:t>between</w:t>
      </w:r>
      <w:r>
        <w:rPr>
          <w:rFonts w:hint="eastAsia"/>
        </w:rPr>
        <w:t xml:space="preserve"> two kind</w:t>
      </w:r>
      <w:r w:rsidR="004A30DA">
        <w:t>s</w:t>
      </w:r>
      <w:r>
        <w:rPr>
          <w:rFonts w:hint="eastAsia"/>
        </w:rPr>
        <w:t xml:space="preserve"> of classifiers, namely the multiple-cancer classifie</w:t>
      </w:r>
      <w:r w:rsidR="00C93C62">
        <w:rPr>
          <w:rFonts w:hint="eastAsia"/>
        </w:rPr>
        <w:t xml:space="preserve">r and single-cancer classifier. </w:t>
      </w:r>
      <w:r w:rsidR="00C93C62">
        <w:t xml:space="preserve">The multiple-cancer classifiers were trained on data from multiple cancer types, and single-cancer classifiers were trained on </w:t>
      </w:r>
      <w:r w:rsidR="00F334CB">
        <w:t xml:space="preserve">data </w:t>
      </w:r>
      <w:r w:rsidR="00C93C62">
        <w:t>of exactly the tested single cancer types.</w:t>
      </w:r>
      <w:r w:rsidR="000C77DC">
        <w:t xml:space="preserve"> That is to say, these two classifiers have the same testing da</w:t>
      </w:r>
      <w:r w:rsidR="00053C16">
        <w:t xml:space="preserve">ta, and </w:t>
      </w:r>
      <w:r w:rsidR="001D6972">
        <w:t xml:space="preserve">the </w:t>
      </w:r>
      <w:r w:rsidR="00053C16">
        <w:t xml:space="preserve">only difference is </w:t>
      </w:r>
      <w:r w:rsidR="000C77DC">
        <w:t>the</w:t>
      </w:r>
      <w:r w:rsidR="001D6972">
        <w:t>ir</w:t>
      </w:r>
      <w:r w:rsidR="000C77DC">
        <w:t xml:space="preserve"> training data. </w:t>
      </w:r>
      <w:r w:rsidR="0007228C">
        <w:t>Four cancer types were chosen, including BLCA, CESC, LUAD and UCEC, since they have relatively more patients than all other cancer types.</w:t>
      </w:r>
    </w:p>
    <w:p w14:paraId="6C2F9095" w14:textId="4889A7B3" w:rsidR="00DE0016" w:rsidRPr="00B5131B" w:rsidRDefault="00DE0016" w:rsidP="00657509">
      <w:pPr>
        <w:jc w:val="left"/>
      </w:pPr>
      <w:r>
        <w:tab/>
      </w:r>
      <w:r w:rsidR="00A21BB9">
        <w:t>Out of the 15 comparisons</w:t>
      </w:r>
      <w:r w:rsidR="008B5D0E">
        <w:t xml:space="preserve"> as shown in Figure S5B</w:t>
      </w:r>
      <w:r w:rsidR="00A21BB9">
        <w:t>, eight were significantly different (paired sample t test p value&lt;0.05), including the methylation, miRNA expression and mRNA expr</w:t>
      </w:r>
      <w:r w:rsidR="0021731B">
        <w:t xml:space="preserve">ession data for cisplatin-BLCA and cisplatin-LUAD, and methylation and mRNA expression data for carboplatin-UCEC (p values in Supplementary Table S8). </w:t>
      </w:r>
      <w:r w:rsidR="00FB7DC8">
        <w:t>Among these eight comparisons, only miRNA datasets consistently show significant better performances based on the multiple-cancer classifier</w:t>
      </w:r>
      <w:r w:rsidR="00310023">
        <w:t xml:space="preserve"> for cisplatin treatments</w:t>
      </w:r>
      <w:r w:rsidR="00FB7DC8">
        <w:t xml:space="preserve">. </w:t>
      </w:r>
      <w:r w:rsidR="00FB7DC8" w:rsidRPr="00FB7DC8">
        <w:t>In BLCA, the multiple-cancer classifier achieved the average AUC as 0.610 and the single cancer classifier achieved the average AUC as 0.457. The paired sample t test resulted in the p value as 3.13e-5. For LUAD, the multiple cancer classifier got the average AUC as 0.457 and the single cancer classifier as 0.33, with p value as 5.95e-6.</w:t>
      </w:r>
      <w:r w:rsidR="003B5CA3">
        <w:t xml:space="preserve"> </w:t>
      </w:r>
      <w:r w:rsidR="003B5CA3" w:rsidRPr="003B5CA3">
        <w:t xml:space="preserve">Therefore, </w:t>
      </w:r>
      <w:r w:rsidR="003B5CA3" w:rsidRPr="003B5CA3">
        <w:rPr>
          <w:lang w:val="en-GB"/>
        </w:rPr>
        <w:t>the multiple-cancer classifier of miRNA expression significantly improves performances on predicting cisplatin responses on several single cancer types, including BLCA and LUAD.</w:t>
      </w:r>
      <w:r w:rsidR="008A2479">
        <w:rPr>
          <w:lang w:val="en-GB"/>
        </w:rPr>
        <w:t xml:space="preserve"> </w:t>
      </w:r>
      <w:r w:rsidR="008A2479" w:rsidRPr="008A2479">
        <w:t>We noticed that although the multiple</w:t>
      </w:r>
      <w:r w:rsidR="008A2479" w:rsidRPr="008A2479">
        <w:rPr>
          <w:rFonts w:hint="eastAsia"/>
        </w:rPr>
        <w:t>-</w:t>
      </w:r>
      <w:r w:rsidR="008A2479" w:rsidRPr="008A2479">
        <w:t xml:space="preserve">cancer classifier improved the performances in LUAD, the average AUC is still not larger than 0.5. But, the performances in BLCA is significantly better than random guessing (permutation test p value 1.62e-5). Therefore, </w:t>
      </w:r>
      <w:r w:rsidR="008A2479" w:rsidRPr="008A2479">
        <w:rPr>
          <w:lang w:val="en-GB"/>
        </w:rPr>
        <w:t>the multiple-cancer classifier of miRNA expression significantly improves performances on predicting cisplatin responses in several single cancer types, including BLCA and LUAD.</w:t>
      </w:r>
      <w:bookmarkStart w:id="0" w:name="_GoBack"/>
      <w:bookmarkEnd w:id="0"/>
    </w:p>
    <w:p w14:paraId="0C2F19B7" w14:textId="77777777" w:rsidR="00F04CA4" w:rsidRPr="00A21BB9" w:rsidRDefault="00F04CA4" w:rsidP="009C12D0">
      <w:pPr>
        <w:spacing w:after="0"/>
        <w:ind w:firstLineChars="150" w:firstLine="300"/>
        <w:jc w:val="left"/>
      </w:pPr>
    </w:p>
    <w:p w14:paraId="05FA2A65" w14:textId="77777777" w:rsidR="008535CE" w:rsidRPr="00B5131B" w:rsidRDefault="008535CE" w:rsidP="00E16BF4">
      <w:pPr>
        <w:ind w:firstLineChars="150" w:firstLine="300"/>
        <w:jc w:val="left"/>
      </w:pPr>
      <w:r w:rsidRPr="00B5131B">
        <w:br w:type="page"/>
      </w:r>
    </w:p>
    <w:p w14:paraId="69391EE9" w14:textId="77777777" w:rsidR="00612558" w:rsidRPr="00B5131B" w:rsidRDefault="00612558" w:rsidP="00612558">
      <w:pPr>
        <w:jc w:val="left"/>
        <w:rPr>
          <w:b/>
          <w:sz w:val="21"/>
        </w:rPr>
      </w:pPr>
      <w:r w:rsidRPr="00B5131B">
        <w:rPr>
          <w:b/>
          <w:sz w:val="21"/>
        </w:rPr>
        <w:t>References</w:t>
      </w:r>
    </w:p>
    <w:p w14:paraId="4F63AFA7" w14:textId="77777777" w:rsidR="000802FD" w:rsidRPr="00B5131B" w:rsidRDefault="00DE6F01" w:rsidP="000802FD">
      <w:pPr>
        <w:autoSpaceDE w:val="0"/>
        <w:autoSpaceDN w:val="0"/>
        <w:adjustRightInd w:val="0"/>
        <w:spacing w:after="0"/>
        <w:ind w:left="480" w:hanging="480"/>
        <w:jc w:val="left"/>
        <w:rPr>
          <w:rFonts w:cs="Arial"/>
          <w:noProof/>
          <w:kern w:val="0"/>
          <w:szCs w:val="24"/>
        </w:rPr>
      </w:pPr>
      <w:r w:rsidRPr="00B5131B">
        <w:fldChar w:fldCharType="begin" w:fldLock="1"/>
      </w:r>
      <w:r w:rsidRPr="00B5131B">
        <w:instrText xml:space="preserve">ADDIN Mendeley Bibliography CSL_BIBLIOGRAPHY </w:instrText>
      </w:r>
      <w:r w:rsidRPr="00B5131B">
        <w:fldChar w:fldCharType="separate"/>
      </w:r>
      <w:r w:rsidR="000802FD" w:rsidRPr="00B5131B">
        <w:rPr>
          <w:rFonts w:cs="Arial"/>
          <w:noProof/>
          <w:kern w:val="0"/>
          <w:szCs w:val="24"/>
        </w:rPr>
        <w:t xml:space="preserve">Friedman,J. </w:t>
      </w:r>
      <w:r w:rsidR="000802FD" w:rsidRPr="00B5131B">
        <w:rPr>
          <w:rFonts w:cs="Arial"/>
          <w:i/>
          <w:iCs/>
          <w:noProof/>
          <w:kern w:val="0"/>
          <w:szCs w:val="24"/>
        </w:rPr>
        <w:t>et al.</w:t>
      </w:r>
      <w:r w:rsidR="000802FD" w:rsidRPr="00B5131B">
        <w:rPr>
          <w:rFonts w:cs="Arial"/>
          <w:noProof/>
          <w:kern w:val="0"/>
          <w:szCs w:val="24"/>
        </w:rPr>
        <w:t xml:space="preserve"> (2010) Regularization Paths for Generalized Linear Models via Coordinate Descent. </w:t>
      </w:r>
      <w:r w:rsidR="000802FD" w:rsidRPr="00B5131B">
        <w:rPr>
          <w:rFonts w:cs="Arial"/>
          <w:i/>
          <w:iCs/>
          <w:noProof/>
          <w:kern w:val="0"/>
          <w:szCs w:val="24"/>
        </w:rPr>
        <w:t>J. Stat. Softw.</w:t>
      </w:r>
      <w:r w:rsidR="000802FD" w:rsidRPr="00B5131B">
        <w:rPr>
          <w:rFonts w:cs="Arial"/>
          <w:noProof/>
          <w:kern w:val="0"/>
          <w:szCs w:val="24"/>
        </w:rPr>
        <w:t xml:space="preserve">, </w:t>
      </w:r>
      <w:r w:rsidR="000802FD" w:rsidRPr="00B5131B">
        <w:rPr>
          <w:rFonts w:cs="Arial"/>
          <w:b/>
          <w:bCs/>
          <w:noProof/>
          <w:kern w:val="0"/>
          <w:szCs w:val="24"/>
        </w:rPr>
        <w:t>33</w:t>
      </w:r>
      <w:r w:rsidR="000802FD" w:rsidRPr="00B5131B">
        <w:rPr>
          <w:rFonts w:cs="Arial"/>
          <w:noProof/>
          <w:kern w:val="0"/>
          <w:szCs w:val="24"/>
        </w:rPr>
        <w:t>, 1–22.</w:t>
      </w:r>
    </w:p>
    <w:p w14:paraId="3E567FCC" w14:textId="77777777" w:rsidR="000802FD" w:rsidRPr="00B5131B" w:rsidRDefault="000802FD" w:rsidP="000802FD">
      <w:pPr>
        <w:autoSpaceDE w:val="0"/>
        <w:autoSpaceDN w:val="0"/>
        <w:adjustRightInd w:val="0"/>
        <w:spacing w:after="0"/>
        <w:ind w:left="480" w:hanging="480"/>
        <w:jc w:val="left"/>
        <w:rPr>
          <w:rFonts w:cs="Arial"/>
          <w:noProof/>
          <w:kern w:val="0"/>
          <w:szCs w:val="24"/>
        </w:rPr>
      </w:pPr>
      <w:r w:rsidRPr="00B5131B">
        <w:rPr>
          <w:rFonts w:cs="Arial"/>
          <w:noProof/>
          <w:kern w:val="0"/>
          <w:szCs w:val="24"/>
        </w:rPr>
        <w:t xml:space="preserve">He,H. and Garcia,E. a. (2009) Learning from imbalanced data. </w:t>
      </w:r>
      <w:r w:rsidRPr="00B5131B">
        <w:rPr>
          <w:rFonts w:cs="Arial"/>
          <w:i/>
          <w:iCs/>
          <w:noProof/>
          <w:kern w:val="0"/>
          <w:szCs w:val="24"/>
        </w:rPr>
        <w:t>IEEE Trans. Knowl. Data Eng.</w:t>
      </w:r>
      <w:r w:rsidRPr="00B5131B">
        <w:rPr>
          <w:rFonts w:cs="Arial"/>
          <w:noProof/>
          <w:kern w:val="0"/>
          <w:szCs w:val="24"/>
        </w:rPr>
        <w:t xml:space="preserve">, </w:t>
      </w:r>
      <w:r w:rsidRPr="00B5131B">
        <w:rPr>
          <w:rFonts w:cs="Arial"/>
          <w:b/>
          <w:bCs/>
          <w:noProof/>
          <w:kern w:val="0"/>
          <w:szCs w:val="24"/>
        </w:rPr>
        <w:t>21</w:t>
      </w:r>
      <w:r w:rsidRPr="00B5131B">
        <w:rPr>
          <w:rFonts w:cs="Arial"/>
          <w:noProof/>
          <w:kern w:val="0"/>
          <w:szCs w:val="24"/>
        </w:rPr>
        <w:t>, 1263–1284.</w:t>
      </w:r>
    </w:p>
    <w:p w14:paraId="17717EB1" w14:textId="77777777" w:rsidR="000802FD" w:rsidRPr="00B5131B" w:rsidRDefault="000802FD" w:rsidP="000802FD">
      <w:pPr>
        <w:autoSpaceDE w:val="0"/>
        <w:autoSpaceDN w:val="0"/>
        <w:adjustRightInd w:val="0"/>
        <w:spacing w:after="0"/>
        <w:ind w:left="480" w:hanging="480"/>
        <w:jc w:val="left"/>
        <w:rPr>
          <w:rFonts w:cs="Arial"/>
          <w:noProof/>
          <w:kern w:val="0"/>
          <w:szCs w:val="24"/>
        </w:rPr>
      </w:pPr>
      <w:r w:rsidRPr="00B5131B">
        <w:rPr>
          <w:rFonts w:cs="Arial"/>
          <w:noProof/>
          <w:kern w:val="0"/>
          <w:szCs w:val="24"/>
        </w:rPr>
        <w:t xml:space="preserve">Mermel,C.H. </w:t>
      </w:r>
      <w:r w:rsidRPr="00B5131B">
        <w:rPr>
          <w:rFonts w:cs="Arial"/>
          <w:i/>
          <w:iCs/>
          <w:noProof/>
          <w:kern w:val="0"/>
          <w:szCs w:val="24"/>
        </w:rPr>
        <w:t>et al.</w:t>
      </w:r>
      <w:r w:rsidRPr="00B5131B">
        <w:rPr>
          <w:rFonts w:cs="Arial"/>
          <w:noProof/>
          <w:kern w:val="0"/>
          <w:szCs w:val="24"/>
        </w:rPr>
        <w:t xml:space="preserve"> (2011) GISTIC2.0 facilitates sensitive and confident localization of the targets of focal somatic copy-number alteration in human cancers. </w:t>
      </w:r>
      <w:r w:rsidRPr="00B5131B">
        <w:rPr>
          <w:rFonts w:cs="Arial"/>
          <w:i/>
          <w:iCs/>
          <w:noProof/>
          <w:kern w:val="0"/>
          <w:szCs w:val="24"/>
        </w:rPr>
        <w:t>Genome Biol.</w:t>
      </w:r>
      <w:r w:rsidRPr="00B5131B">
        <w:rPr>
          <w:rFonts w:cs="Arial"/>
          <w:noProof/>
          <w:kern w:val="0"/>
          <w:szCs w:val="24"/>
        </w:rPr>
        <w:t xml:space="preserve">, </w:t>
      </w:r>
      <w:r w:rsidRPr="00B5131B">
        <w:rPr>
          <w:rFonts w:cs="Arial"/>
          <w:b/>
          <w:bCs/>
          <w:noProof/>
          <w:kern w:val="0"/>
          <w:szCs w:val="24"/>
        </w:rPr>
        <w:t>12</w:t>
      </w:r>
      <w:r w:rsidRPr="00B5131B">
        <w:rPr>
          <w:rFonts w:cs="Arial"/>
          <w:noProof/>
          <w:kern w:val="0"/>
          <w:szCs w:val="24"/>
        </w:rPr>
        <w:t>, R41.</w:t>
      </w:r>
    </w:p>
    <w:p w14:paraId="78160E03" w14:textId="77777777" w:rsidR="000802FD" w:rsidRPr="00B5131B" w:rsidRDefault="000802FD" w:rsidP="000802FD">
      <w:pPr>
        <w:autoSpaceDE w:val="0"/>
        <w:autoSpaceDN w:val="0"/>
        <w:adjustRightInd w:val="0"/>
        <w:spacing w:after="0"/>
        <w:ind w:left="480" w:hanging="480"/>
        <w:jc w:val="left"/>
        <w:rPr>
          <w:rFonts w:cs="Arial"/>
          <w:noProof/>
        </w:rPr>
      </w:pPr>
      <w:r w:rsidRPr="00B5131B">
        <w:rPr>
          <w:rFonts w:cs="Arial"/>
          <w:noProof/>
          <w:kern w:val="0"/>
          <w:szCs w:val="24"/>
        </w:rPr>
        <w:t xml:space="preserve">Zou,H. and Hastie,T. (2005) Regularization and variable selection via the elastic net. </w:t>
      </w:r>
      <w:r w:rsidRPr="00B5131B">
        <w:rPr>
          <w:rFonts w:cs="Arial"/>
          <w:i/>
          <w:iCs/>
          <w:noProof/>
          <w:kern w:val="0"/>
          <w:szCs w:val="24"/>
        </w:rPr>
        <w:t>J. R. Stat. Soc. Ser. B Stat. Methodol.</w:t>
      </w:r>
      <w:r w:rsidRPr="00B5131B">
        <w:rPr>
          <w:rFonts w:cs="Arial"/>
          <w:noProof/>
          <w:kern w:val="0"/>
          <w:szCs w:val="24"/>
        </w:rPr>
        <w:t xml:space="preserve">, </w:t>
      </w:r>
      <w:r w:rsidRPr="00B5131B">
        <w:rPr>
          <w:rFonts w:cs="Arial"/>
          <w:b/>
          <w:bCs/>
          <w:noProof/>
          <w:kern w:val="0"/>
          <w:szCs w:val="24"/>
        </w:rPr>
        <w:t>67</w:t>
      </w:r>
      <w:r w:rsidRPr="00B5131B">
        <w:rPr>
          <w:rFonts w:cs="Arial"/>
          <w:noProof/>
          <w:kern w:val="0"/>
          <w:szCs w:val="24"/>
        </w:rPr>
        <w:t>, 301–320.</w:t>
      </w:r>
    </w:p>
    <w:p w14:paraId="01246E66" w14:textId="77777777" w:rsidR="00947A69" w:rsidRPr="00B5131B" w:rsidRDefault="00DE6F01" w:rsidP="000802FD">
      <w:pPr>
        <w:autoSpaceDE w:val="0"/>
        <w:autoSpaceDN w:val="0"/>
        <w:adjustRightInd w:val="0"/>
        <w:spacing w:after="0"/>
        <w:ind w:left="480" w:hanging="480"/>
        <w:jc w:val="left"/>
      </w:pPr>
      <w:r w:rsidRPr="00B5131B">
        <w:fldChar w:fldCharType="end"/>
      </w:r>
    </w:p>
    <w:sectPr w:rsidR="00947A69" w:rsidRPr="00B5131B" w:rsidSect="000B0868">
      <w:pgSz w:w="11907" w:h="16839" w:code="9"/>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6D2AE" w14:textId="77777777" w:rsidR="00EB69D8" w:rsidRDefault="00EB69D8" w:rsidP="007B600A">
      <w:r>
        <w:separator/>
      </w:r>
    </w:p>
  </w:endnote>
  <w:endnote w:type="continuationSeparator" w:id="0">
    <w:p w14:paraId="6DDF0D0B" w14:textId="77777777" w:rsidR="00EB69D8" w:rsidRDefault="00EB69D8" w:rsidP="007B6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8934018"/>
      <w:docPartObj>
        <w:docPartGallery w:val="Page Numbers (Bottom of Page)"/>
        <w:docPartUnique/>
      </w:docPartObj>
    </w:sdtPr>
    <w:sdtEndPr/>
    <w:sdtContent>
      <w:p w14:paraId="61EE1D4E" w14:textId="77777777" w:rsidR="00D0348B" w:rsidRDefault="00D0348B">
        <w:pPr>
          <w:pStyle w:val="a5"/>
          <w:jc w:val="center"/>
        </w:pPr>
        <w:r>
          <w:fldChar w:fldCharType="begin"/>
        </w:r>
        <w:r>
          <w:instrText>PAGE   \* MERGEFORMAT</w:instrText>
        </w:r>
        <w:r>
          <w:fldChar w:fldCharType="separate"/>
        </w:r>
        <w:r w:rsidR="00EB69D8" w:rsidRPr="00EB69D8">
          <w:rPr>
            <w:noProof/>
            <w:lang w:val="zh-CN"/>
          </w:rPr>
          <w:t>1</w:t>
        </w:r>
        <w:r>
          <w:fldChar w:fldCharType="end"/>
        </w:r>
      </w:p>
    </w:sdtContent>
  </w:sdt>
  <w:p w14:paraId="06E727A2" w14:textId="77777777" w:rsidR="00D0348B" w:rsidRDefault="00D0348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99767" w14:textId="77777777" w:rsidR="00EB69D8" w:rsidRDefault="00EB69D8" w:rsidP="007B600A">
      <w:r>
        <w:separator/>
      </w:r>
    </w:p>
  </w:footnote>
  <w:footnote w:type="continuationSeparator" w:id="0">
    <w:p w14:paraId="4F197CEB" w14:textId="77777777" w:rsidR="00EB69D8" w:rsidRDefault="00EB69D8" w:rsidP="007B60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8FDE8" w14:textId="77777777" w:rsidR="00D0348B" w:rsidRDefault="00D0348B" w:rsidP="00D0348B">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14E25" w14:textId="77777777" w:rsidR="00D0348B" w:rsidRDefault="00D0348B" w:rsidP="00D0348B">
    <w:pPr>
      <w:pStyle w:val="a4"/>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7E2"/>
    <w:rsid w:val="000009C5"/>
    <w:rsid w:val="000015C6"/>
    <w:rsid w:val="000105E8"/>
    <w:rsid w:val="0001299B"/>
    <w:rsid w:val="000146E0"/>
    <w:rsid w:val="000147D3"/>
    <w:rsid w:val="0002086D"/>
    <w:rsid w:val="00021F8E"/>
    <w:rsid w:val="00027D1A"/>
    <w:rsid w:val="00041811"/>
    <w:rsid w:val="00041A50"/>
    <w:rsid w:val="000456C6"/>
    <w:rsid w:val="00053C16"/>
    <w:rsid w:val="0006466D"/>
    <w:rsid w:val="00070C8A"/>
    <w:rsid w:val="0007228C"/>
    <w:rsid w:val="00072A93"/>
    <w:rsid w:val="00072C85"/>
    <w:rsid w:val="00073504"/>
    <w:rsid w:val="000802FD"/>
    <w:rsid w:val="000876A3"/>
    <w:rsid w:val="00094061"/>
    <w:rsid w:val="00096E84"/>
    <w:rsid w:val="000976DA"/>
    <w:rsid w:val="000A2201"/>
    <w:rsid w:val="000A28AB"/>
    <w:rsid w:val="000A4F49"/>
    <w:rsid w:val="000B0868"/>
    <w:rsid w:val="000B0FBF"/>
    <w:rsid w:val="000B1E0E"/>
    <w:rsid w:val="000B2EDB"/>
    <w:rsid w:val="000C04D1"/>
    <w:rsid w:val="000C2D37"/>
    <w:rsid w:val="000C4B8D"/>
    <w:rsid w:val="000C56EE"/>
    <w:rsid w:val="000C6DF2"/>
    <w:rsid w:val="000C77DC"/>
    <w:rsid w:val="000D2DA5"/>
    <w:rsid w:val="000E147F"/>
    <w:rsid w:val="000E14AA"/>
    <w:rsid w:val="000E568A"/>
    <w:rsid w:val="000E6557"/>
    <w:rsid w:val="000E7F6D"/>
    <w:rsid w:val="000F01BF"/>
    <w:rsid w:val="000F3710"/>
    <w:rsid w:val="000F6C32"/>
    <w:rsid w:val="000F7D2F"/>
    <w:rsid w:val="0010062D"/>
    <w:rsid w:val="00107505"/>
    <w:rsid w:val="00114CA1"/>
    <w:rsid w:val="001153DF"/>
    <w:rsid w:val="0011556E"/>
    <w:rsid w:val="00116F5D"/>
    <w:rsid w:val="001179F6"/>
    <w:rsid w:val="00132BBD"/>
    <w:rsid w:val="00136D96"/>
    <w:rsid w:val="001430F7"/>
    <w:rsid w:val="00144977"/>
    <w:rsid w:val="001476F3"/>
    <w:rsid w:val="00155EF9"/>
    <w:rsid w:val="00155FE2"/>
    <w:rsid w:val="0015731A"/>
    <w:rsid w:val="00163D3E"/>
    <w:rsid w:val="0016451C"/>
    <w:rsid w:val="001649A8"/>
    <w:rsid w:val="001711F6"/>
    <w:rsid w:val="0017160D"/>
    <w:rsid w:val="001748DF"/>
    <w:rsid w:val="00176D6C"/>
    <w:rsid w:val="00181323"/>
    <w:rsid w:val="00182DCF"/>
    <w:rsid w:val="001913C2"/>
    <w:rsid w:val="0019343D"/>
    <w:rsid w:val="001966F4"/>
    <w:rsid w:val="001B36A9"/>
    <w:rsid w:val="001B6484"/>
    <w:rsid w:val="001C5292"/>
    <w:rsid w:val="001C5EA0"/>
    <w:rsid w:val="001C6B29"/>
    <w:rsid w:val="001D001D"/>
    <w:rsid w:val="001D64DF"/>
    <w:rsid w:val="001D6972"/>
    <w:rsid w:val="001E560A"/>
    <w:rsid w:val="001E5A47"/>
    <w:rsid w:val="001F1F1E"/>
    <w:rsid w:val="001F2D62"/>
    <w:rsid w:val="001F485E"/>
    <w:rsid w:val="00202C94"/>
    <w:rsid w:val="002103F9"/>
    <w:rsid w:val="0021410D"/>
    <w:rsid w:val="0021731B"/>
    <w:rsid w:val="00223DCF"/>
    <w:rsid w:val="00224AD6"/>
    <w:rsid w:val="002270B4"/>
    <w:rsid w:val="00233836"/>
    <w:rsid w:val="00233889"/>
    <w:rsid w:val="00235E04"/>
    <w:rsid w:val="00240C3E"/>
    <w:rsid w:val="002509F1"/>
    <w:rsid w:val="00252D68"/>
    <w:rsid w:val="00254EAC"/>
    <w:rsid w:val="00254EB2"/>
    <w:rsid w:val="00255997"/>
    <w:rsid w:val="00255A21"/>
    <w:rsid w:val="0026645D"/>
    <w:rsid w:val="0027231F"/>
    <w:rsid w:val="00272C3E"/>
    <w:rsid w:val="00272E94"/>
    <w:rsid w:val="0027359A"/>
    <w:rsid w:val="002746F6"/>
    <w:rsid w:val="00274832"/>
    <w:rsid w:val="00276A30"/>
    <w:rsid w:val="00292222"/>
    <w:rsid w:val="00293B21"/>
    <w:rsid w:val="002A0275"/>
    <w:rsid w:val="002B2A69"/>
    <w:rsid w:val="002B52A8"/>
    <w:rsid w:val="002B71AA"/>
    <w:rsid w:val="002B74EC"/>
    <w:rsid w:val="002C0069"/>
    <w:rsid w:val="002C214C"/>
    <w:rsid w:val="002C52AB"/>
    <w:rsid w:val="002D3681"/>
    <w:rsid w:val="002D3CF1"/>
    <w:rsid w:val="002D4532"/>
    <w:rsid w:val="002D5599"/>
    <w:rsid w:val="002D7E0F"/>
    <w:rsid w:val="002E12FE"/>
    <w:rsid w:val="002E6C7C"/>
    <w:rsid w:val="002E758D"/>
    <w:rsid w:val="002E797B"/>
    <w:rsid w:val="002F12CD"/>
    <w:rsid w:val="002F3813"/>
    <w:rsid w:val="002F4091"/>
    <w:rsid w:val="00302426"/>
    <w:rsid w:val="00302934"/>
    <w:rsid w:val="00310023"/>
    <w:rsid w:val="0031388E"/>
    <w:rsid w:val="00314FE0"/>
    <w:rsid w:val="00322173"/>
    <w:rsid w:val="00322A35"/>
    <w:rsid w:val="00323D50"/>
    <w:rsid w:val="00323F6B"/>
    <w:rsid w:val="003365E9"/>
    <w:rsid w:val="003378F2"/>
    <w:rsid w:val="00337949"/>
    <w:rsid w:val="00337A14"/>
    <w:rsid w:val="00337E7B"/>
    <w:rsid w:val="00342F3D"/>
    <w:rsid w:val="00343019"/>
    <w:rsid w:val="00353E3C"/>
    <w:rsid w:val="0036376C"/>
    <w:rsid w:val="00370525"/>
    <w:rsid w:val="00376E39"/>
    <w:rsid w:val="00391997"/>
    <w:rsid w:val="003920D2"/>
    <w:rsid w:val="00393A19"/>
    <w:rsid w:val="00394435"/>
    <w:rsid w:val="003A215E"/>
    <w:rsid w:val="003A2FFD"/>
    <w:rsid w:val="003A4887"/>
    <w:rsid w:val="003A68BD"/>
    <w:rsid w:val="003B27C1"/>
    <w:rsid w:val="003B5CA3"/>
    <w:rsid w:val="003B5CAD"/>
    <w:rsid w:val="003C2225"/>
    <w:rsid w:val="003C493B"/>
    <w:rsid w:val="003C6116"/>
    <w:rsid w:val="003C7077"/>
    <w:rsid w:val="003D5B2A"/>
    <w:rsid w:val="003F34E2"/>
    <w:rsid w:val="003F4725"/>
    <w:rsid w:val="003F4D1B"/>
    <w:rsid w:val="003F6DB5"/>
    <w:rsid w:val="00404FAF"/>
    <w:rsid w:val="004078EB"/>
    <w:rsid w:val="0041262A"/>
    <w:rsid w:val="0041426D"/>
    <w:rsid w:val="00414CE1"/>
    <w:rsid w:val="00416382"/>
    <w:rsid w:val="00416522"/>
    <w:rsid w:val="00416D98"/>
    <w:rsid w:val="0042396D"/>
    <w:rsid w:val="004261C6"/>
    <w:rsid w:val="00435740"/>
    <w:rsid w:val="00442829"/>
    <w:rsid w:val="0044739D"/>
    <w:rsid w:val="00451067"/>
    <w:rsid w:val="00453177"/>
    <w:rsid w:val="00454C8C"/>
    <w:rsid w:val="00455D60"/>
    <w:rsid w:val="0045622C"/>
    <w:rsid w:val="00460A0C"/>
    <w:rsid w:val="004660B3"/>
    <w:rsid w:val="004679EA"/>
    <w:rsid w:val="004776F1"/>
    <w:rsid w:val="00482065"/>
    <w:rsid w:val="00483E69"/>
    <w:rsid w:val="00485336"/>
    <w:rsid w:val="004975FD"/>
    <w:rsid w:val="004A1212"/>
    <w:rsid w:val="004A1831"/>
    <w:rsid w:val="004A30DA"/>
    <w:rsid w:val="004A612E"/>
    <w:rsid w:val="004A7EFE"/>
    <w:rsid w:val="004B3284"/>
    <w:rsid w:val="004C40F6"/>
    <w:rsid w:val="004C440C"/>
    <w:rsid w:val="004C4EEE"/>
    <w:rsid w:val="004D1487"/>
    <w:rsid w:val="004D5D2C"/>
    <w:rsid w:val="004D6596"/>
    <w:rsid w:val="004D7190"/>
    <w:rsid w:val="004E1CF6"/>
    <w:rsid w:val="004E759D"/>
    <w:rsid w:val="004F06FD"/>
    <w:rsid w:val="004F396A"/>
    <w:rsid w:val="004F5EBA"/>
    <w:rsid w:val="004F5F75"/>
    <w:rsid w:val="004F6134"/>
    <w:rsid w:val="0050451D"/>
    <w:rsid w:val="00506189"/>
    <w:rsid w:val="0050654E"/>
    <w:rsid w:val="00510D71"/>
    <w:rsid w:val="00512921"/>
    <w:rsid w:val="00514883"/>
    <w:rsid w:val="00515776"/>
    <w:rsid w:val="00516F3D"/>
    <w:rsid w:val="0051798F"/>
    <w:rsid w:val="00523507"/>
    <w:rsid w:val="00523963"/>
    <w:rsid w:val="005303E5"/>
    <w:rsid w:val="00530DCD"/>
    <w:rsid w:val="00541888"/>
    <w:rsid w:val="00544CEF"/>
    <w:rsid w:val="00551269"/>
    <w:rsid w:val="0055446A"/>
    <w:rsid w:val="005562B8"/>
    <w:rsid w:val="00562B29"/>
    <w:rsid w:val="00567634"/>
    <w:rsid w:val="00571338"/>
    <w:rsid w:val="005777C9"/>
    <w:rsid w:val="00584C8F"/>
    <w:rsid w:val="005850E3"/>
    <w:rsid w:val="00586A49"/>
    <w:rsid w:val="00586CF8"/>
    <w:rsid w:val="00587015"/>
    <w:rsid w:val="0058754D"/>
    <w:rsid w:val="00590789"/>
    <w:rsid w:val="00594DD4"/>
    <w:rsid w:val="00595D16"/>
    <w:rsid w:val="005A7FB5"/>
    <w:rsid w:val="005B0E98"/>
    <w:rsid w:val="005B1063"/>
    <w:rsid w:val="005B2A35"/>
    <w:rsid w:val="005B337A"/>
    <w:rsid w:val="005C250F"/>
    <w:rsid w:val="005C4026"/>
    <w:rsid w:val="005C7735"/>
    <w:rsid w:val="005D1E60"/>
    <w:rsid w:val="005D60E7"/>
    <w:rsid w:val="005D610A"/>
    <w:rsid w:val="005E0BD7"/>
    <w:rsid w:val="005E4946"/>
    <w:rsid w:val="005F2533"/>
    <w:rsid w:val="005F5C98"/>
    <w:rsid w:val="005F5CA9"/>
    <w:rsid w:val="005F7432"/>
    <w:rsid w:val="005F7B44"/>
    <w:rsid w:val="00600862"/>
    <w:rsid w:val="006018C8"/>
    <w:rsid w:val="00601D14"/>
    <w:rsid w:val="00604DCE"/>
    <w:rsid w:val="00605311"/>
    <w:rsid w:val="006055DD"/>
    <w:rsid w:val="00605A4E"/>
    <w:rsid w:val="00606C3D"/>
    <w:rsid w:val="00612558"/>
    <w:rsid w:val="00613678"/>
    <w:rsid w:val="00615C75"/>
    <w:rsid w:val="00616A2B"/>
    <w:rsid w:val="00617ED4"/>
    <w:rsid w:val="006251CD"/>
    <w:rsid w:val="00632B4B"/>
    <w:rsid w:val="00632C63"/>
    <w:rsid w:val="00632E0D"/>
    <w:rsid w:val="00634A59"/>
    <w:rsid w:val="0063531B"/>
    <w:rsid w:val="006369E4"/>
    <w:rsid w:val="006408D7"/>
    <w:rsid w:val="006500B6"/>
    <w:rsid w:val="006500E7"/>
    <w:rsid w:val="006550C1"/>
    <w:rsid w:val="00655233"/>
    <w:rsid w:val="00656097"/>
    <w:rsid w:val="00657509"/>
    <w:rsid w:val="0066124E"/>
    <w:rsid w:val="00661FAB"/>
    <w:rsid w:val="00665395"/>
    <w:rsid w:val="00667BEA"/>
    <w:rsid w:val="0067029F"/>
    <w:rsid w:val="00674484"/>
    <w:rsid w:val="00676F9E"/>
    <w:rsid w:val="00685E7F"/>
    <w:rsid w:val="0069537D"/>
    <w:rsid w:val="00695A8B"/>
    <w:rsid w:val="006A02BD"/>
    <w:rsid w:val="006A1E12"/>
    <w:rsid w:val="006A2514"/>
    <w:rsid w:val="006A6C5A"/>
    <w:rsid w:val="006B0EF2"/>
    <w:rsid w:val="006B4388"/>
    <w:rsid w:val="006B6794"/>
    <w:rsid w:val="006B7CF0"/>
    <w:rsid w:val="006C14BD"/>
    <w:rsid w:val="006C7326"/>
    <w:rsid w:val="006C7E1D"/>
    <w:rsid w:val="006D01F7"/>
    <w:rsid w:val="006D3A1A"/>
    <w:rsid w:val="006D3A48"/>
    <w:rsid w:val="006D3FE5"/>
    <w:rsid w:val="006E1669"/>
    <w:rsid w:val="006F13CD"/>
    <w:rsid w:val="006F4039"/>
    <w:rsid w:val="006F45BB"/>
    <w:rsid w:val="007036D1"/>
    <w:rsid w:val="00705A38"/>
    <w:rsid w:val="00715FEE"/>
    <w:rsid w:val="00717B7E"/>
    <w:rsid w:val="00721442"/>
    <w:rsid w:val="0072305B"/>
    <w:rsid w:val="0073257E"/>
    <w:rsid w:val="00735668"/>
    <w:rsid w:val="00742CEE"/>
    <w:rsid w:val="00744BBD"/>
    <w:rsid w:val="00747128"/>
    <w:rsid w:val="007503DF"/>
    <w:rsid w:val="007508AF"/>
    <w:rsid w:val="00751B57"/>
    <w:rsid w:val="00754796"/>
    <w:rsid w:val="00761BF8"/>
    <w:rsid w:val="00761C1C"/>
    <w:rsid w:val="007656C1"/>
    <w:rsid w:val="007671DC"/>
    <w:rsid w:val="00775A86"/>
    <w:rsid w:val="00776A24"/>
    <w:rsid w:val="007807BB"/>
    <w:rsid w:val="00782207"/>
    <w:rsid w:val="007843BB"/>
    <w:rsid w:val="007860A5"/>
    <w:rsid w:val="007927C1"/>
    <w:rsid w:val="00796934"/>
    <w:rsid w:val="007A1E40"/>
    <w:rsid w:val="007A64E1"/>
    <w:rsid w:val="007A6D9B"/>
    <w:rsid w:val="007B341E"/>
    <w:rsid w:val="007B600A"/>
    <w:rsid w:val="007C10C8"/>
    <w:rsid w:val="007C32EC"/>
    <w:rsid w:val="007C39D9"/>
    <w:rsid w:val="007C3E21"/>
    <w:rsid w:val="007D1582"/>
    <w:rsid w:val="007D356B"/>
    <w:rsid w:val="007D568F"/>
    <w:rsid w:val="007D755C"/>
    <w:rsid w:val="007E02F1"/>
    <w:rsid w:val="007E0BE9"/>
    <w:rsid w:val="007E191A"/>
    <w:rsid w:val="007E6300"/>
    <w:rsid w:val="007E652E"/>
    <w:rsid w:val="007F199E"/>
    <w:rsid w:val="00810C9B"/>
    <w:rsid w:val="00811B6C"/>
    <w:rsid w:val="00812A88"/>
    <w:rsid w:val="0081435D"/>
    <w:rsid w:val="00822F54"/>
    <w:rsid w:val="00823BFF"/>
    <w:rsid w:val="0082409F"/>
    <w:rsid w:val="00827BDD"/>
    <w:rsid w:val="00832D27"/>
    <w:rsid w:val="00834C9B"/>
    <w:rsid w:val="00835398"/>
    <w:rsid w:val="00837228"/>
    <w:rsid w:val="00841214"/>
    <w:rsid w:val="00847A81"/>
    <w:rsid w:val="00850C88"/>
    <w:rsid w:val="008535CE"/>
    <w:rsid w:val="00853F93"/>
    <w:rsid w:val="008546D6"/>
    <w:rsid w:val="00860B66"/>
    <w:rsid w:val="00863F3A"/>
    <w:rsid w:val="00870991"/>
    <w:rsid w:val="00871789"/>
    <w:rsid w:val="00871FD9"/>
    <w:rsid w:val="008753C6"/>
    <w:rsid w:val="00877A11"/>
    <w:rsid w:val="008805FF"/>
    <w:rsid w:val="0088120A"/>
    <w:rsid w:val="00881D55"/>
    <w:rsid w:val="008820D8"/>
    <w:rsid w:val="00891114"/>
    <w:rsid w:val="008952FF"/>
    <w:rsid w:val="00896AEC"/>
    <w:rsid w:val="00897C2E"/>
    <w:rsid w:val="008A1131"/>
    <w:rsid w:val="008A2479"/>
    <w:rsid w:val="008A29F9"/>
    <w:rsid w:val="008A54C6"/>
    <w:rsid w:val="008B5D0E"/>
    <w:rsid w:val="008C232C"/>
    <w:rsid w:val="008C3D9A"/>
    <w:rsid w:val="008C3FE6"/>
    <w:rsid w:val="008D1E68"/>
    <w:rsid w:val="008D27E2"/>
    <w:rsid w:val="008D52DF"/>
    <w:rsid w:val="008D554E"/>
    <w:rsid w:val="008D75D2"/>
    <w:rsid w:val="008E3C31"/>
    <w:rsid w:val="008E7913"/>
    <w:rsid w:val="008F1E32"/>
    <w:rsid w:val="008F2237"/>
    <w:rsid w:val="008F2FD2"/>
    <w:rsid w:val="008F3488"/>
    <w:rsid w:val="008F61AE"/>
    <w:rsid w:val="008F772A"/>
    <w:rsid w:val="0090047F"/>
    <w:rsid w:val="009011F9"/>
    <w:rsid w:val="009045CC"/>
    <w:rsid w:val="00904606"/>
    <w:rsid w:val="00906918"/>
    <w:rsid w:val="00907EC5"/>
    <w:rsid w:val="00911151"/>
    <w:rsid w:val="00913298"/>
    <w:rsid w:val="0091769F"/>
    <w:rsid w:val="00917C0D"/>
    <w:rsid w:val="00917F1B"/>
    <w:rsid w:val="00922B20"/>
    <w:rsid w:val="009260F5"/>
    <w:rsid w:val="0092680B"/>
    <w:rsid w:val="0092751E"/>
    <w:rsid w:val="009319C0"/>
    <w:rsid w:val="00931AA4"/>
    <w:rsid w:val="00932141"/>
    <w:rsid w:val="009344A1"/>
    <w:rsid w:val="00934E5D"/>
    <w:rsid w:val="009451B8"/>
    <w:rsid w:val="0094777D"/>
    <w:rsid w:val="00947A69"/>
    <w:rsid w:val="0095488C"/>
    <w:rsid w:val="00955874"/>
    <w:rsid w:val="009607D4"/>
    <w:rsid w:val="0096489B"/>
    <w:rsid w:val="00964AE6"/>
    <w:rsid w:val="00972865"/>
    <w:rsid w:val="00977CAB"/>
    <w:rsid w:val="00977DA3"/>
    <w:rsid w:val="00977FD6"/>
    <w:rsid w:val="009857D3"/>
    <w:rsid w:val="00990323"/>
    <w:rsid w:val="00992BEA"/>
    <w:rsid w:val="00994E13"/>
    <w:rsid w:val="009953BA"/>
    <w:rsid w:val="009A0923"/>
    <w:rsid w:val="009A222C"/>
    <w:rsid w:val="009A2248"/>
    <w:rsid w:val="009A5828"/>
    <w:rsid w:val="009B79F0"/>
    <w:rsid w:val="009C123F"/>
    <w:rsid w:val="009C12D0"/>
    <w:rsid w:val="009D5A15"/>
    <w:rsid w:val="009E04F4"/>
    <w:rsid w:val="009E2596"/>
    <w:rsid w:val="009E2A1A"/>
    <w:rsid w:val="009E32EB"/>
    <w:rsid w:val="009E4C45"/>
    <w:rsid w:val="009E7849"/>
    <w:rsid w:val="009F0380"/>
    <w:rsid w:val="009F354D"/>
    <w:rsid w:val="00A05652"/>
    <w:rsid w:val="00A07B43"/>
    <w:rsid w:val="00A114F7"/>
    <w:rsid w:val="00A15155"/>
    <w:rsid w:val="00A20AA1"/>
    <w:rsid w:val="00A21BB9"/>
    <w:rsid w:val="00A22544"/>
    <w:rsid w:val="00A23C49"/>
    <w:rsid w:val="00A2512B"/>
    <w:rsid w:val="00A3091A"/>
    <w:rsid w:val="00A355E4"/>
    <w:rsid w:val="00A36D0B"/>
    <w:rsid w:val="00A40591"/>
    <w:rsid w:val="00A41EC9"/>
    <w:rsid w:val="00A443AA"/>
    <w:rsid w:val="00A45141"/>
    <w:rsid w:val="00A4589F"/>
    <w:rsid w:val="00A50BCA"/>
    <w:rsid w:val="00A53070"/>
    <w:rsid w:val="00A5651A"/>
    <w:rsid w:val="00A64555"/>
    <w:rsid w:val="00A67A4B"/>
    <w:rsid w:val="00A703C8"/>
    <w:rsid w:val="00A76F2F"/>
    <w:rsid w:val="00A76F91"/>
    <w:rsid w:val="00A81F91"/>
    <w:rsid w:val="00A83EFB"/>
    <w:rsid w:val="00A92D92"/>
    <w:rsid w:val="00AA1CE9"/>
    <w:rsid w:val="00AB208C"/>
    <w:rsid w:val="00AB2FB5"/>
    <w:rsid w:val="00AB48C4"/>
    <w:rsid w:val="00AB4F5D"/>
    <w:rsid w:val="00AB7DEF"/>
    <w:rsid w:val="00AC46E5"/>
    <w:rsid w:val="00AC49E7"/>
    <w:rsid w:val="00AD0CE1"/>
    <w:rsid w:val="00AD6943"/>
    <w:rsid w:val="00AD69E6"/>
    <w:rsid w:val="00AE0B77"/>
    <w:rsid w:val="00AF1997"/>
    <w:rsid w:val="00AF5E06"/>
    <w:rsid w:val="00AF75EE"/>
    <w:rsid w:val="00B007CE"/>
    <w:rsid w:val="00B03450"/>
    <w:rsid w:val="00B04F00"/>
    <w:rsid w:val="00B13517"/>
    <w:rsid w:val="00B238DE"/>
    <w:rsid w:val="00B3483D"/>
    <w:rsid w:val="00B34C62"/>
    <w:rsid w:val="00B37B77"/>
    <w:rsid w:val="00B43423"/>
    <w:rsid w:val="00B436CB"/>
    <w:rsid w:val="00B44D10"/>
    <w:rsid w:val="00B46322"/>
    <w:rsid w:val="00B47DED"/>
    <w:rsid w:val="00B5131B"/>
    <w:rsid w:val="00B51618"/>
    <w:rsid w:val="00B53824"/>
    <w:rsid w:val="00B56F6F"/>
    <w:rsid w:val="00B619F7"/>
    <w:rsid w:val="00B6253C"/>
    <w:rsid w:val="00B65E39"/>
    <w:rsid w:val="00B66AB0"/>
    <w:rsid w:val="00B71B9E"/>
    <w:rsid w:val="00B726E2"/>
    <w:rsid w:val="00B7338C"/>
    <w:rsid w:val="00B74C70"/>
    <w:rsid w:val="00B828D8"/>
    <w:rsid w:val="00B83383"/>
    <w:rsid w:val="00B83878"/>
    <w:rsid w:val="00B8687E"/>
    <w:rsid w:val="00B86EF1"/>
    <w:rsid w:val="00B879C6"/>
    <w:rsid w:val="00B9126B"/>
    <w:rsid w:val="00B915BD"/>
    <w:rsid w:val="00B97A06"/>
    <w:rsid w:val="00BA0708"/>
    <w:rsid w:val="00BA51C1"/>
    <w:rsid w:val="00BA5326"/>
    <w:rsid w:val="00BB42C8"/>
    <w:rsid w:val="00BC0073"/>
    <w:rsid w:val="00BC3019"/>
    <w:rsid w:val="00BD7EE6"/>
    <w:rsid w:val="00BE0F72"/>
    <w:rsid w:val="00BE1AB5"/>
    <w:rsid w:val="00BE2FCE"/>
    <w:rsid w:val="00BE2FEE"/>
    <w:rsid w:val="00BF07B7"/>
    <w:rsid w:val="00BF30F1"/>
    <w:rsid w:val="00BF3746"/>
    <w:rsid w:val="00BF662C"/>
    <w:rsid w:val="00BF775F"/>
    <w:rsid w:val="00C00B63"/>
    <w:rsid w:val="00C024CD"/>
    <w:rsid w:val="00C0466B"/>
    <w:rsid w:val="00C05223"/>
    <w:rsid w:val="00C1045A"/>
    <w:rsid w:val="00C10B68"/>
    <w:rsid w:val="00C1639A"/>
    <w:rsid w:val="00C166BC"/>
    <w:rsid w:val="00C179B2"/>
    <w:rsid w:val="00C17A04"/>
    <w:rsid w:val="00C25C18"/>
    <w:rsid w:val="00C34240"/>
    <w:rsid w:val="00C37A9A"/>
    <w:rsid w:val="00C41688"/>
    <w:rsid w:val="00C45C20"/>
    <w:rsid w:val="00C46174"/>
    <w:rsid w:val="00C471BD"/>
    <w:rsid w:val="00C53195"/>
    <w:rsid w:val="00C57DC6"/>
    <w:rsid w:val="00C62D42"/>
    <w:rsid w:val="00C7037D"/>
    <w:rsid w:val="00C70468"/>
    <w:rsid w:val="00C764C6"/>
    <w:rsid w:val="00C773B7"/>
    <w:rsid w:val="00C8104A"/>
    <w:rsid w:val="00C81B3E"/>
    <w:rsid w:val="00C841C5"/>
    <w:rsid w:val="00C843D8"/>
    <w:rsid w:val="00C850E3"/>
    <w:rsid w:val="00C86877"/>
    <w:rsid w:val="00C9071A"/>
    <w:rsid w:val="00C91282"/>
    <w:rsid w:val="00C93C62"/>
    <w:rsid w:val="00C95BAA"/>
    <w:rsid w:val="00C966DC"/>
    <w:rsid w:val="00C97193"/>
    <w:rsid w:val="00C9735A"/>
    <w:rsid w:val="00CA3F03"/>
    <w:rsid w:val="00CA52F4"/>
    <w:rsid w:val="00CA7F5D"/>
    <w:rsid w:val="00CB08F3"/>
    <w:rsid w:val="00CB1170"/>
    <w:rsid w:val="00CB56E1"/>
    <w:rsid w:val="00CC39DC"/>
    <w:rsid w:val="00CC3BB3"/>
    <w:rsid w:val="00CD1D75"/>
    <w:rsid w:val="00CD3605"/>
    <w:rsid w:val="00CD3FF6"/>
    <w:rsid w:val="00CD7BEC"/>
    <w:rsid w:val="00CE1178"/>
    <w:rsid w:val="00CE2C26"/>
    <w:rsid w:val="00CE51D6"/>
    <w:rsid w:val="00CE5DDC"/>
    <w:rsid w:val="00CE7E45"/>
    <w:rsid w:val="00CF00FA"/>
    <w:rsid w:val="00CF20D8"/>
    <w:rsid w:val="00CF4814"/>
    <w:rsid w:val="00D00D67"/>
    <w:rsid w:val="00D0348B"/>
    <w:rsid w:val="00D12D16"/>
    <w:rsid w:val="00D2206B"/>
    <w:rsid w:val="00D22800"/>
    <w:rsid w:val="00D23A20"/>
    <w:rsid w:val="00D23F5B"/>
    <w:rsid w:val="00D25835"/>
    <w:rsid w:val="00D26540"/>
    <w:rsid w:val="00D34BD4"/>
    <w:rsid w:val="00D3729B"/>
    <w:rsid w:val="00D37D30"/>
    <w:rsid w:val="00D40012"/>
    <w:rsid w:val="00D42611"/>
    <w:rsid w:val="00D42836"/>
    <w:rsid w:val="00D44EBD"/>
    <w:rsid w:val="00D452AD"/>
    <w:rsid w:val="00D453BD"/>
    <w:rsid w:val="00D52BA7"/>
    <w:rsid w:val="00D554D8"/>
    <w:rsid w:val="00D60754"/>
    <w:rsid w:val="00D617C5"/>
    <w:rsid w:val="00D62217"/>
    <w:rsid w:val="00D66CF1"/>
    <w:rsid w:val="00D722B4"/>
    <w:rsid w:val="00D72D6F"/>
    <w:rsid w:val="00D73486"/>
    <w:rsid w:val="00D84F33"/>
    <w:rsid w:val="00D86DBA"/>
    <w:rsid w:val="00D97B00"/>
    <w:rsid w:val="00DB1867"/>
    <w:rsid w:val="00DB47E4"/>
    <w:rsid w:val="00DB48A0"/>
    <w:rsid w:val="00DC25F5"/>
    <w:rsid w:val="00DC3A2B"/>
    <w:rsid w:val="00DC5827"/>
    <w:rsid w:val="00DD159E"/>
    <w:rsid w:val="00DD29EB"/>
    <w:rsid w:val="00DD3233"/>
    <w:rsid w:val="00DD329C"/>
    <w:rsid w:val="00DE0016"/>
    <w:rsid w:val="00DE3C17"/>
    <w:rsid w:val="00DE625A"/>
    <w:rsid w:val="00DE6F01"/>
    <w:rsid w:val="00DF682D"/>
    <w:rsid w:val="00E0368C"/>
    <w:rsid w:val="00E1224B"/>
    <w:rsid w:val="00E16BF4"/>
    <w:rsid w:val="00E21119"/>
    <w:rsid w:val="00E22777"/>
    <w:rsid w:val="00E23C06"/>
    <w:rsid w:val="00E264D0"/>
    <w:rsid w:val="00E278F4"/>
    <w:rsid w:val="00E30111"/>
    <w:rsid w:val="00E3452E"/>
    <w:rsid w:val="00E34856"/>
    <w:rsid w:val="00E36554"/>
    <w:rsid w:val="00E41601"/>
    <w:rsid w:val="00E42FAA"/>
    <w:rsid w:val="00E441AD"/>
    <w:rsid w:val="00E476BC"/>
    <w:rsid w:val="00E512F8"/>
    <w:rsid w:val="00E52D84"/>
    <w:rsid w:val="00E55F87"/>
    <w:rsid w:val="00E5703A"/>
    <w:rsid w:val="00E6128F"/>
    <w:rsid w:val="00E62453"/>
    <w:rsid w:val="00E7237D"/>
    <w:rsid w:val="00E733DA"/>
    <w:rsid w:val="00E734FB"/>
    <w:rsid w:val="00E75155"/>
    <w:rsid w:val="00E756D8"/>
    <w:rsid w:val="00E760BA"/>
    <w:rsid w:val="00E7768C"/>
    <w:rsid w:val="00E7778F"/>
    <w:rsid w:val="00E864BA"/>
    <w:rsid w:val="00E87CFD"/>
    <w:rsid w:val="00E91E26"/>
    <w:rsid w:val="00E929EC"/>
    <w:rsid w:val="00E96D68"/>
    <w:rsid w:val="00EA3DCE"/>
    <w:rsid w:val="00EA4C72"/>
    <w:rsid w:val="00EB3286"/>
    <w:rsid w:val="00EB3491"/>
    <w:rsid w:val="00EB69D8"/>
    <w:rsid w:val="00EC04D0"/>
    <w:rsid w:val="00EC1282"/>
    <w:rsid w:val="00EC21B0"/>
    <w:rsid w:val="00EC2E6E"/>
    <w:rsid w:val="00EC6D28"/>
    <w:rsid w:val="00ED1957"/>
    <w:rsid w:val="00ED5108"/>
    <w:rsid w:val="00ED62A7"/>
    <w:rsid w:val="00ED751C"/>
    <w:rsid w:val="00ED7D73"/>
    <w:rsid w:val="00EE436E"/>
    <w:rsid w:val="00EE47C0"/>
    <w:rsid w:val="00EE51FF"/>
    <w:rsid w:val="00EF4DCA"/>
    <w:rsid w:val="00F02705"/>
    <w:rsid w:val="00F02C62"/>
    <w:rsid w:val="00F04CA4"/>
    <w:rsid w:val="00F07541"/>
    <w:rsid w:val="00F15E87"/>
    <w:rsid w:val="00F17816"/>
    <w:rsid w:val="00F21386"/>
    <w:rsid w:val="00F30288"/>
    <w:rsid w:val="00F334CB"/>
    <w:rsid w:val="00F33F41"/>
    <w:rsid w:val="00F35737"/>
    <w:rsid w:val="00F43AB3"/>
    <w:rsid w:val="00F4457E"/>
    <w:rsid w:val="00F5232E"/>
    <w:rsid w:val="00F5399D"/>
    <w:rsid w:val="00F55D73"/>
    <w:rsid w:val="00F55DEB"/>
    <w:rsid w:val="00F57160"/>
    <w:rsid w:val="00F60054"/>
    <w:rsid w:val="00F610E9"/>
    <w:rsid w:val="00F61438"/>
    <w:rsid w:val="00F650EC"/>
    <w:rsid w:val="00F70A1C"/>
    <w:rsid w:val="00F70A82"/>
    <w:rsid w:val="00F72B0C"/>
    <w:rsid w:val="00F74256"/>
    <w:rsid w:val="00F83789"/>
    <w:rsid w:val="00F852B6"/>
    <w:rsid w:val="00F85D85"/>
    <w:rsid w:val="00F91AFE"/>
    <w:rsid w:val="00F94569"/>
    <w:rsid w:val="00F967EE"/>
    <w:rsid w:val="00FA0305"/>
    <w:rsid w:val="00FA0D80"/>
    <w:rsid w:val="00FB18ED"/>
    <w:rsid w:val="00FB43CC"/>
    <w:rsid w:val="00FB7DC8"/>
    <w:rsid w:val="00FC22C5"/>
    <w:rsid w:val="00FD0702"/>
    <w:rsid w:val="00FD1AC9"/>
    <w:rsid w:val="00FD21D5"/>
    <w:rsid w:val="00FD5A1A"/>
    <w:rsid w:val="00FD6AB1"/>
    <w:rsid w:val="00FE2650"/>
    <w:rsid w:val="00FE6F98"/>
    <w:rsid w:val="00FF0224"/>
    <w:rsid w:val="00FF1647"/>
    <w:rsid w:val="00FF16BD"/>
    <w:rsid w:val="00FF3FDE"/>
    <w:rsid w:val="00FF4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D7CEB"/>
  <w15:docId w15:val="{12E84398-0C43-4B85-81A4-B7E20F763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16BD"/>
    <w:pPr>
      <w:widowControl w:val="0"/>
      <w:snapToGrid w:val="0"/>
      <w:spacing w:after="200" w:line="360" w:lineRule="auto"/>
      <w:jc w:val="both"/>
    </w:pPr>
    <w:rPr>
      <w:rFonts w:ascii="Arial" w:hAnsi="Arial"/>
      <w:sz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04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7B600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7B600A"/>
    <w:rPr>
      <w:sz w:val="18"/>
      <w:szCs w:val="18"/>
    </w:rPr>
  </w:style>
  <w:style w:type="paragraph" w:styleId="a5">
    <w:name w:val="footer"/>
    <w:basedOn w:val="a"/>
    <w:link w:val="Char0"/>
    <w:uiPriority w:val="99"/>
    <w:unhideWhenUsed/>
    <w:rsid w:val="007B600A"/>
    <w:pPr>
      <w:tabs>
        <w:tab w:val="center" w:pos="4153"/>
        <w:tab w:val="right" w:pos="8306"/>
      </w:tabs>
      <w:jc w:val="left"/>
    </w:pPr>
    <w:rPr>
      <w:sz w:val="18"/>
      <w:szCs w:val="18"/>
    </w:rPr>
  </w:style>
  <w:style w:type="character" w:customStyle="1" w:styleId="Char0">
    <w:name w:val="页脚 Char"/>
    <w:basedOn w:val="a0"/>
    <w:link w:val="a5"/>
    <w:uiPriority w:val="99"/>
    <w:rsid w:val="007B600A"/>
    <w:rPr>
      <w:sz w:val="18"/>
      <w:szCs w:val="18"/>
    </w:rPr>
  </w:style>
  <w:style w:type="character" w:styleId="a6">
    <w:name w:val="Placeholder Text"/>
    <w:basedOn w:val="a0"/>
    <w:uiPriority w:val="99"/>
    <w:semiHidden/>
    <w:rsid w:val="002B74EC"/>
    <w:rPr>
      <w:color w:val="808080"/>
    </w:rPr>
  </w:style>
  <w:style w:type="character" w:styleId="a7">
    <w:name w:val="annotation reference"/>
    <w:basedOn w:val="a0"/>
    <w:uiPriority w:val="99"/>
    <w:semiHidden/>
    <w:unhideWhenUsed/>
    <w:rsid w:val="008F3488"/>
    <w:rPr>
      <w:sz w:val="21"/>
      <w:szCs w:val="21"/>
    </w:rPr>
  </w:style>
  <w:style w:type="paragraph" w:styleId="a8">
    <w:name w:val="annotation text"/>
    <w:basedOn w:val="a"/>
    <w:link w:val="Char1"/>
    <w:uiPriority w:val="99"/>
    <w:semiHidden/>
    <w:unhideWhenUsed/>
    <w:rsid w:val="008F3488"/>
    <w:pPr>
      <w:snapToGrid/>
      <w:spacing w:after="0" w:line="240" w:lineRule="auto"/>
      <w:jc w:val="left"/>
    </w:pPr>
    <w:rPr>
      <w:rFonts w:asciiTheme="minorHAnsi" w:hAnsiTheme="minorHAnsi"/>
      <w:sz w:val="21"/>
    </w:rPr>
  </w:style>
  <w:style w:type="character" w:customStyle="1" w:styleId="Char1">
    <w:name w:val="批注文字 Char"/>
    <w:basedOn w:val="a0"/>
    <w:link w:val="a8"/>
    <w:uiPriority w:val="99"/>
    <w:semiHidden/>
    <w:rsid w:val="008F3488"/>
  </w:style>
  <w:style w:type="paragraph" w:styleId="a9">
    <w:name w:val="Balloon Text"/>
    <w:basedOn w:val="a"/>
    <w:link w:val="Char2"/>
    <w:uiPriority w:val="99"/>
    <w:semiHidden/>
    <w:unhideWhenUsed/>
    <w:rsid w:val="008F3488"/>
    <w:pPr>
      <w:spacing w:after="0" w:line="240" w:lineRule="auto"/>
    </w:pPr>
    <w:rPr>
      <w:sz w:val="18"/>
      <w:szCs w:val="18"/>
    </w:rPr>
  </w:style>
  <w:style w:type="character" w:customStyle="1" w:styleId="Char2">
    <w:name w:val="批注框文本 Char"/>
    <w:basedOn w:val="a0"/>
    <w:link w:val="a9"/>
    <w:uiPriority w:val="99"/>
    <w:semiHidden/>
    <w:rsid w:val="008F3488"/>
    <w:rPr>
      <w:rFonts w:ascii="Arial" w:hAnsi="Arial"/>
      <w:sz w:val="18"/>
      <w:szCs w:val="18"/>
    </w:rPr>
  </w:style>
  <w:style w:type="paragraph" w:styleId="aa">
    <w:name w:val="annotation subject"/>
    <w:basedOn w:val="a8"/>
    <w:next w:val="a8"/>
    <w:link w:val="Char3"/>
    <w:uiPriority w:val="99"/>
    <w:semiHidden/>
    <w:unhideWhenUsed/>
    <w:rsid w:val="00B5131B"/>
    <w:pPr>
      <w:snapToGrid w:val="0"/>
      <w:spacing w:after="200" w:line="360" w:lineRule="auto"/>
    </w:pPr>
    <w:rPr>
      <w:rFonts w:ascii="Arial" w:hAnsi="Arial"/>
      <w:b/>
      <w:bCs/>
      <w:sz w:val="20"/>
    </w:rPr>
  </w:style>
  <w:style w:type="character" w:customStyle="1" w:styleId="Char3">
    <w:name w:val="批注主题 Char"/>
    <w:basedOn w:val="Char1"/>
    <w:link w:val="aa"/>
    <w:uiPriority w:val="99"/>
    <w:semiHidden/>
    <w:rsid w:val="00B5131B"/>
    <w:rPr>
      <w:rFonts w:ascii="Arial" w:hAnsi="Arial"/>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3.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tif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0AA4A-F34E-46F1-B8A1-8E66D7ACA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13</Pages>
  <Words>4425</Words>
  <Characters>25226</Characters>
  <Application>Microsoft Office Word</Application>
  <DocSecurity>0</DocSecurity>
  <Lines>210</Lines>
  <Paragraphs>59</Paragraphs>
  <ScaleCrop>false</ScaleCrop>
  <Company/>
  <LinksUpToDate>false</LinksUpToDate>
  <CharactersWithSpaces>29592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zding ding</dc:creator>
  <cp:keywords/>
  <dc:description/>
  <cp:lastModifiedBy>zding ding</cp:lastModifiedBy>
  <cp:revision>747</cp:revision>
  <dcterms:created xsi:type="dcterms:W3CDTF">2015-10-15T07:47:00Z</dcterms:created>
  <dcterms:modified xsi:type="dcterms:W3CDTF">2016-04-28T12:05:00Z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dingzijian881218@126.com@www.mendeley.com</vt:lpwstr>
  </property>
  <property fmtid="{D5CDD505-2E9C-101B-9397-08002B2CF9AE}" pid="4" name="Mendeley Citation Style_1">
    <vt:lpwstr>http://www.zotero.org/styles/bioinformatics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http://www.zotero.org/styles/bioinformatics</vt:lpwstr>
  </property>
  <property fmtid="{D5CDD505-2E9C-101B-9397-08002B2CF9AE}" pid="10" name="Mendeley Recent Style Name 2_1">
    <vt:lpwstr>Bioinformatics</vt:lpwstr>
  </property>
  <property fmtid="{D5CDD505-2E9C-101B-9397-08002B2CF9AE}" pid="11" name="Mendeley Recent Style Id 3_1">
    <vt:lpwstr>http://www.zotero.org/styles/cancer-research</vt:lpwstr>
  </property>
  <property fmtid="{D5CDD505-2E9C-101B-9397-08002B2CF9AE}" pid="12" name="Mendeley Recent Style Name 3_1">
    <vt:lpwstr>Cancer Research</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