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Условия сотрудничества Хоббики и Богачо</w:t>
      </w:r>
    </w:p>
    <w:p>
      <w:r>
        <w:t>Проект для согласования</w:t>
        <w:br/>
        <w:t>7 октября 2026 года</w:t>
      </w:r>
    </w:p>
    <w:p>
      <w:r>
        <w:t>Предлагается сотрудничество, в котором Хоббика выступает основным продавцом и распространителем согласованной ассортиментной матрицы для благоустройства и выполняет часть производственных работ. Богачо поставляет свою часть продукции и сохраняет возможность самостоятельных продаж. Основа расчётов — согласованные цены поставок и работ, а также отдельное вознаграждение за подтверждённое привлечение и сопровождение проектов.</w:t>
      </w:r>
    </w:p>
    <w:p>
      <w:r>
        <w:t>Все положения ниже являются предложениями для обсуждения. Конкретные суммы, ставки, сроки, полномочия и ответственность подлежат согласованию и закреплению в договоре и приложениях. Указанные сроки 3 рабочих дня, 12 месяцев и 60 дней пока не согласованы сторонами.</w:t>
      </w:r>
    </w:p>
    <w:p>
      <w:pPr>
        <w:pStyle w:val="Heading2"/>
      </w:pPr>
      <w:r>
        <w:t>1  Закупочная модель и заработок сторон</w:t>
      </w:r>
    </w:p>
    <w:p>
      <w:pPr>
        <w:keepLines/>
      </w:pPr>
      <w:r>
        <w:t>Предлагается закупочная модель сотрудничества. Богачо поставляет свои изделия или элементы по согласованной цене, включающей её затраты и прибыль. Хоббика продаёт готовое решение и сохраняет разницу после оплаты поставок Богачо и своих производственных и коммерческих расходов. При самостоятельной продаже Богачо отдельно оплачивает заказанные работы Хоббики и вознаграждение за проект, привлечённый Хоббикой, если такой вклад подтверждён. Общую прибыль компаний в этой модели не объединяют и не делят.</w:t>
      </w:r>
    </w:p>
    <w:p>
      <w:pPr>
        <w:pStyle w:val="Heading2"/>
      </w:pPr>
      <w:r>
        <w:t>2  Статус Хоббики и границы сотрудничества</w:t>
      </w:r>
    </w:p>
    <w:p>
      <w:pPr>
        <w:keepLines/>
      </w:pPr>
      <w:r>
        <w:t>Хоббика — основной коммерческий партнёр по согласованной матрице для благоустройства: развивает продажи, работает с архитекторами, проектировщиками, застройщиками и своей дилерской сетью. В приложении перечисляем изделия, каналы и территорию. Сам по себе статус основного партнёра не означает эксклюзивность.</w:t>
      </w:r>
    </w:p>
    <w:p>
      <w:pPr>
        <w:pStyle w:val="Heading2"/>
      </w:pPr>
      <w:r>
        <w:t>3  Самостоятельные продажи Богачо</w:t>
      </w:r>
    </w:p>
    <w:p>
      <w:pPr>
        <w:keepLines/>
      </w:pPr>
      <w:r>
        <w:t>Богачо сохраняет собственные продажи. До запуска фиксируем её существующие проекты и согласуем порядок работы с новыми обращениями по совместной матрице. При самостоятельном привлечении и продаже Богачо Хоббика получает оплату своих работ; дополнительные выплаты возникают только за согласованный вклад в этот заказ.</w:t>
      </w:r>
    </w:p>
    <w:p>
      <w:pPr>
        <w:pStyle w:val="Heading2"/>
      </w:pPr>
      <w:r>
        <w:t>4  Регистрация и защита проектов</w:t>
      </w:r>
    </w:p>
    <w:p>
      <w:pPr>
        <w:keepLines/>
      </w:pPr>
      <w:r>
        <w:t>Предлагается вести общий реестр проектов с указанием объекта, заказчика, источника обращения, даты, ответственного и подтверждения выполненной работы: запроса, встречи или проектной спецификации. Предлагаемые сроки для согласования: подтверждение регистрации в течение 3 рабочих дней и защита проекта на 12 месяцев с продлением при подтверждённом продвижении. Регистрация относится к конкретному проекту, а не ко всем будущим покупкам клиента.</w:t>
      </w:r>
    </w:p>
    <w:p>
      <w:pPr>
        <w:pStyle w:val="Heading2"/>
      </w:pPr>
      <w:r>
        <w:t>5  Заказ Хоббики, оформленный через Богачо</w:t>
      </w:r>
    </w:p>
    <w:p>
      <w:pPr>
        <w:keepLines/>
      </w:pPr>
      <w:r>
        <w:t>Если Богачо оформляет поставку по проекту, который привела и подготовила Хоббика, за Хоббикой сохраняется согласованная плата за привлечение и сопровождение. Фиксируем сумму или процент, базу расчёта, срок защиты и подтверждение источника. Выплата не исчезает из-за смены юридического лица покупателя или оформления через подрядчика того же объекта.</w:t>
      </w:r>
    </w:p>
    <w:p>
      <w:r>
        <w:br w:type="page"/>
      </w:r>
    </w:p>
    <w:p>
      <w:pPr>
        <w:pStyle w:val="Heading2"/>
      </w:pPr>
      <w:r>
        <w:t>6  Спорные и совместно привлечённые проекты</w:t>
      </w:r>
    </w:p>
    <w:p>
      <w:pPr>
        <w:keepLines/>
      </w:pPr>
      <w:r>
        <w:t>При параллельной работе сравниваем подтверждённый вклад: кто привёл объект, включил изделие в проект, подготовил расчёт и закрыл продажу. Пропорцию согласуем до предложения клиенту. Отдельно описываем входящие обращения с совместной рекламы и проектов архитекторов, чтобы первая запись в реестре не заменяла фактическую работу.</w:t>
      </w:r>
    </w:p>
    <w:p>
      <w:pPr>
        <w:pStyle w:val="Heading2"/>
      </w:pPr>
      <w:r>
        <w:t>7  Распределение производства</w:t>
      </w:r>
    </w:p>
    <w:p>
      <w:pPr>
        <w:keepLines/>
      </w:pPr>
      <w:r>
        <w:t>По каждому изделию утверждаем, что делает Богачо, а что Хоббика: художественные элементы, сварка, каркасы, закладные, крепёж, комплектующие, покрытия и сборка. У каждой операции есть чертёж, стоимость, срок и критерий приёмки. Назначаем одного ответственного за качество готового изделия и совместимость частей.</w:t>
      </w:r>
    </w:p>
    <w:p>
      <w:pPr>
        <w:pStyle w:val="Heading2"/>
      </w:pPr>
      <w:r>
        <w:t>8  Калькуляция и отсутствие двойной оплаты</w:t>
      </w:r>
    </w:p>
    <w:p>
      <w:pPr>
        <w:keepLines/>
      </w:pPr>
      <w:r>
        <w:t>Цены поставок Богачо и производственных работ Хоббики включают затраты и прибыль соответствующего исполнителя. Для каждого заказа фиксируются состав поставки, стоимость работ и отдельно оплачиваемых услуг. Одна и та же операция или услуга не должна оплачиваться повторно: например, производственная работа, уже включённая в цену изделия, не предъявляется отдельным счётом без изменения согласованной комплектации. Дополнительное вознаграждение за привлечение или сопровождение проекта имеет отдельное основание.</w:t>
      </w:r>
    </w:p>
    <w:p>
      <w:pPr>
        <w:pStyle w:val="Heading2"/>
      </w:pPr>
      <w:r>
        <w:t>9  Убыточные заказы и превышение сметы</w:t>
      </w:r>
    </w:p>
    <w:p>
      <w:pPr>
        <w:keepLines/>
      </w:pPr>
      <w:r>
        <w:t>До запуска заказа предлагается утверждать цены поставок, работ и услуг, бюджет продавца и допустимый перерасход. Несогласованный перерасход одной стороны не изменяет согласованную цену или вознаграждение другой автоматически. Риск недостаточной маржи продавца не создаёт обязанности партнёра компенсировать убыток. Ответственность за ошибки, повторное изготовление и совместно согласованные расходы определяется отдельно до их возникновения.</w:t>
      </w:r>
    </w:p>
    <w:p>
      <w:pPr>
        <w:pStyle w:val="Heading2"/>
      </w:pPr>
      <w:r>
        <w:t>10  Цены и порядок изменения стоимости</w:t>
      </w:r>
    </w:p>
    <w:p>
      <w:pPr>
        <w:keepLines/>
      </w:pPr>
      <w:r>
        <w:t>Фиксируем закупочные цены, срок их действия и порядок изменения для будущих заказов; подтверждённые заказы сохраняют согласованные условия. Розничные ориентиры остаются рекомендациями, каждый самостоятельный продавец определяет свою цену. Скидка по совместному заказу не уменьшает уже согласованную выплату партнёру без его согласия.</w:t>
      </w:r>
    </w:p>
    <w:p>
      <w:r>
        <w:br w:type="page"/>
      </w:r>
    </w:p>
    <w:p>
      <w:pPr>
        <w:pStyle w:val="Heading2"/>
      </w:pPr>
      <w:r>
        <w:t>11  Разработка новых изделий и права на них</w:t>
      </w:r>
    </w:p>
    <w:p>
      <w:pPr>
        <w:keepLines/>
      </w:pPr>
      <w:r>
        <w:t>Для каждой новой модели назначаем автора задания, разработчика и плательщика за прототип. Определяем владельца дизайна, чертежей, моделей, пресс-форм и оснастки, а также права обеих сторон на производство и продажу. Если Хоббика финансирует разработку, закрепляем встречное право: например, срок эксклюзивного использования или возврат затрат.</w:t>
      </w:r>
    </w:p>
    <w:p>
      <w:pPr>
        <w:pStyle w:val="Heading2"/>
      </w:pPr>
      <w:r>
        <w:t>12  Бренды и материалы для совместного продвижения</w:t>
      </w:r>
    </w:p>
    <w:p>
      <w:pPr>
        <w:keepLines/>
      </w:pPr>
      <w:r>
        <w:t>Предлагается согласовать обозначение продукции: Богачо, Хоббика или совместная линейка, упоминание производителя и правила использования логотипов. Отдельно фиксируются права на фотографии, визуализации, чертежи и публикации. Согласованные ассортиментная матрица и задание на информационные материалы оформляются приложениями с указанием даты и версии.</w:t>
      </w:r>
    </w:p>
    <w:p>
      <w:pPr>
        <w:pStyle w:val="Heading2"/>
      </w:pPr>
      <w:r>
        <w:t>13  Маркетинговый бюджет и образцы</w:t>
      </w:r>
    </w:p>
    <w:p>
      <w:pPr>
        <w:keepLines/>
      </w:pPr>
      <w:r>
        <w:t>Согласуем расходы на образцы, выставки, фотосъёмку, рекламу и размещение у архитекторов: кто платит, кому принадлежит образец и как возмещаются затраты. Общие вложения не списываем целиком на первый заказ. Для них задаём лимит, период и понятный порядок распределения.</w:t>
      </w:r>
    </w:p>
    <w:p>
      <w:pPr>
        <w:pStyle w:val="Heading2"/>
      </w:pPr>
      <w:r>
        <w:t>14  Финансирование и расчёты</w:t>
      </w:r>
    </w:p>
    <w:p>
      <w:pPr>
        <w:keepLines/>
      </w:pPr>
      <w:r>
        <w:t>Аванс клиента должен покрывать согласованные невозвратные расходы запуска; конкретный график связываем с этапами производства. Определяем, кто финансирует остаток, предоставляет отсрочку и несёт риск неоплаты. Выплаты между партнёрами проводим по договорному графику; переменное вознаграждение рассчитываем после получения денег и сверки заказа.</w:t>
      </w:r>
    </w:p>
    <w:p>
      <w:pPr>
        <w:pStyle w:val="Heading2"/>
      </w:pPr>
      <w:r>
        <w:t>15  Производственные сроки и изменение заказа</w:t>
      </w:r>
    </w:p>
    <w:p>
      <w:pPr>
        <w:keepLines/>
      </w:pPr>
      <w:r>
        <w:t>Фиксируем срок расчёта, подтверждения заказа, изготовления и отгрузки, а также доступную мощность обеих сторон. Увеличение тиража, изменение размера, материала или покрытия оформляем с новой ценой и сроком. Затраты из-за задержки относим на ответственную сторону по согласованным правилам.</w:t>
      </w:r>
    </w:p>
    <w:p>
      <w:r>
        <w:br w:type="page"/>
      </w:r>
    </w:p>
    <w:p>
      <w:pPr>
        <w:pStyle w:val="Heading2"/>
      </w:pPr>
      <w:r>
        <w:t>16  Доставка и монтаж с приёмкой</w:t>
      </w:r>
    </w:p>
    <w:p>
      <w:pPr>
        <w:keepLines/>
      </w:pPr>
      <w:r>
        <w:t>Определяем, кто комплектует, упаковывает, доставляет и монтирует, кто отвечает за повреждения и когда переходит риск. Устанавливаем проверки при передаче между производителями и клиенту, сроки фиксации недокомплекта и порядок исправления. Особенности уличной эксплуатации, крепления и основания включаем в спецификацию.</w:t>
      </w:r>
    </w:p>
    <w:p>
      <w:pPr>
        <w:pStyle w:val="Heading2"/>
      </w:pPr>
      <w:r>
        <w:t>17  Гарантия и претензии</w:t>
      </w:r>
    </w:p>
    <w:p>
      <w:pPr>
        <w:keepLines/>
      </w:pPr>
      <w:r>
        <w:t>Клиент обращается к продавцу по своему договору; внутри партнёрства расходы несёт сторона, ответственная за подтверждённый дефект. Разделяем художественную часть, сварку, покрытия, крепёж и монтаж, задаём срок ответа и устранения. После окончания гарантии или закрытия заказа пересматриваем неиспользованный гарантийный резерв по согласованному правилу.</w:t>
      </w:r>
    </w:p>
    <w:p>
      <w:pPr>
        <w:pStyle w:val="Heading2"/>
      </w:pPr>
      <w:r>
        <w:t>18  Отчётность и проверка расчётов</w:t>
      </w:r>
    </w:p>
    <w:p>
      <w:pPr>
        <w:keepLines/>
      </w:pPr>
      <w:r>
        <w:t>Предлагается вести реестр совместных заказов: проект, продавец, состав изделия, цены поставок и работ, отдельно согласованные услуги, полученные оплаты и выплаты сторонам. Для расчёта переменного вознаграждения предоставляются подтверждения его базы и поступления денег в пределах конкретного заказа. Предлагается ежемесячная сверка взаиморасчётов и окончательный расчёт после закрытия заказа с отдельным учётом гарантийных обязательств и резерва, если он предусмотрен.</w:t>
      </w:r>
    </w:p>
    <w:p>
      <w:pPr>
        <w:pStyle w:val="Heading2"/>
      </w:pPr>
      <w:r>
        <w:t>19  Ограниченная эксклюзивность</w:t>
      </w:r>
    </w:p>
    <w:p>
      <w:pPr>
        <w:keepLines/>
      </w:pPr>
      <w:r>
        <w:t>Если Хоббика инвестирует в запуск, можно обсуждать исключительные права на конкретные совместно разработанные изделия или согласованный формат работы на определённый срок. За это Хоббика берёт измеримые обязательства по продвижению и продажам. Условия, исключения и правовую допустимость такой договорённости проверяем до закрепления в договоре.</w:t>
      </w:r>
    </w:p>
    <w:p>
      <w:pPr>
        <w:pStyle w:val="Heading2"/>
      </w:pPr>
      <w:r>
        <w:t>20  Выход из сотрудничества</w:t>
      </w:r>
    </w:p>
    <w:p>
      <w:pPr>
        <w:keepLines/>
      </w:pPr>
      <w:r>
        <w:t>Предлагаемый срок уведомления о прекращении сотрудничества для согласования — 60 дней. Стороны определяют порядок завершения принятых заказов и исполнения гарантий, судьбу остатков, оснастки, образцов и материалов. Для зарегистрированных проектов согласуется срок сохранения выплат после прекращения сотрудничества. Разногласия сначала рассматривают ответственные представители, затем руководители; сроки рассмотрения определяются в договоре.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Условия сотрудничества Хоббики и Богачо</dc:title>
  <dc:subject>Проект для согласования закупочной модели сотрудничества</dc:subject>
  <dc:creator>Хоббика</dc:creator>
  <ns0:keywords/>
  <dc:description>Предложение Хоббики для Богачо. Версия 7 октября 2026 года.</dc:description>
  <ns0:lastModifiedBy/>
  <ns0:revision>1</ns0:revision>
  <ns2:created xsi:type="dcterms:W3CDTF">2026-10-07T00:00:00Z</ns2:created>
  <ns2:modified xsi:type="dcterms:W3CDTF">2026-10-07T00:00:00Z</ns2:modified>
  <ns0:category/>
</ns0:coreProperties>
</file>