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MAB BELGIQUE — ÉTUDE DE MARCHÉ</w:t>
      </w:r>
    </w:p>
    <w:p>
      <w:pPr>
        <w:jc w:val="center"/>
      </w:pPr>
      <w:r>
        <w:rPr>
          <w:sz w:val="24"/>
        </w:rPr>
        <w:t>Robinetterie sanitaire collective / ERP — Les Robinets Presto</w:t>
      </w:r>
    </w:p>
    <w:p>
      <w:pPr>
        <w:jc w:val="center"/>
      </w:pPr>
      <w:r>
        <w:rPr>
          <w:i/>
          <w:sz w:val="20"/>
        </w:rPr>
        <w:t>Juin 2026</w:t>
      </w:r>
    </w:p>
    <w:p/>
    <w:p>
      <w:pPr>
        <w:pStyle w:val="Heading1"/>
      </w:pPr>
      <w:r>
        <w:rPr>
          <w:rFonts w:ascii="Calibri" w:hAnsi="Calibri"/>
          <w:color w:val="1F497D"/>
        </w:rPr>
        <w:t>RÉSUMÉ EXÉCUTIF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Marché de la construction en recul structurel (-2,8% en 2024, -0,4% en 2025) avec un résidentiel neuf sinistré — la rénovation et le génie civil tirent le secteur.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Non-résidentiel seul segment positif (+1,4% en 2024, +1,5% en 2025) : bureaux, industrie, projets publics (santé, éducation). Fort potentiel pour la robinetterie ERP.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Investissements publics massifs dans les segments-clés : 438 M€ hôpitaux universitaires, 1 Md€ bâtiments scolaires, 1,7 Md€ logements sociaux (Flandre), 120 M€ psychiatrie (BEI). Opportunité directe pour Presto.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Delabie solidement implanté via sa filiale Benelux (Sint-Pieters-Leeuw) — concurrent direct, leader sur le même segment collectif/ERP.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Presto est déjà présent (présence commerciale existante) : l'enjeu est de structurer et consolider la distribution face à Delabie.</w:t>
      </w:r>
    </w:p>
    <w:p/>
    <w:p>
      <w:pPr>
        <w:pStyle w:val="Heading1"/>
      </w:pPr>
      <w:r>
        <w:rPr>
          <w:rFonts w:ascii="Calibri" w:hAnsi="Calibri"/>
          <w:color w:val="1F497D"/>
        </w:rPr>
        <w:t>PARTIE 1 — OVERVIEW CONTEXTE PAYS</w:t>
      </w:r>
    </w:p>
    <w:p>
      <w:pPr>
        <w:pStyle w:val="Heading2"/>
      </w:pPr>
      <w:r>
        <w:rPr>
          <w:rFonts w:ascii="Calibri" w:hAnsi="Calibri"/>
          <w:color w:val="2E75B6"/>
        </w:rPr>
        <w:t>1.1 Analyse PESTEL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POLITIQUE : </w:t>
      </w:r>
      <w:r>
        <w:rPr>
          <w:rFonts w:ascii="Calibri" w:hAnsi="Calibri"/>
          <w:sz w:val="20"/>
        </w:rPr>
        <w:t>Instabilité relative — score stabilité politique 0,4/2,58 en 2023 (TheGlobalEconomy). Régime fédéral à 3 régions (Flandre, Wallonie, Bruxelles) créant une complexité réglementaire et administrative. Gouvernement Arizona formé en 2025 (coalition De Wever).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ÉCONOMIQUE : </w:t>
      </w:r>
      <w:r>
        <w:rPr>
          <w:rFonts w:ascii="Calibri" w:hAnsi="Calibri"/>
          <w:sz w:val="20"/>
        </w:rPr>
        <w:t>PIB 642 Md€ en 2025, croissance +1,0% (NBB, 2025). PIB/hab : 48 700€ (Trésor FR, 2025). Chômage : 6,2%. Déficit public : -5,2% du PIB en 2025. Économie très tertiaire (services ~80% du PIB).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SOCIAL : </w:t>
      </w:r>
      <w:r>
        <w:rPr>
          <w:rFonts w:ascii="Calibri" w:hAnsi="Calibri"/>
          <w:sz w:val="20"/>
        </w:rPr>
        <w:t>11,77 millions d'habitants (Worldometer, 2026). Taux d'urbanisation : 99%. Vieillissement de la population (pression sur les ERP de santé). Multilinguisme (néerlandais 60%, français 40%, allemand &lt;1%) : complexité commerciale.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TECHNOLOGIQUE : </w:t>
      </w:r>
      <w:r>
        <w:rPr>
          <w:rFonts w:ascii="Calibri" w:hAnsi="Calibri"/>
          <w:sz w:val="20"/>
        </w:rPr>
        <w:t>Forte adoption du BIM et outils numériques dans la construction. Exigences PEB (Performance Énergétique des Bâtiments) moteur d'innovation produit. Développement domotique et capteurs IoT dans les ERP.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ENVIRONNEMENTAL : </w:t>
      </w:r>
      <w:r>
        <w:rPr>
          <w:rFonts w:ascii="Calibri" w:hAnsi="Calibri"/>
          <w:sz w:val="20"/>
        </w:rPr>
        <w:t>Stress hydrique modéré à élevé (EEA, 2025). Réglementation PEB stricte : objectif bâtiments neutres carbone 2045 (Flandre), -35% énergie primaire d'ici 2030. Forte demande pour produits hydro-économes — avantage Presto.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LÉGAL : </w:t>
      </w:r>
      <w:r>
        <w:rPr>
          <w:rFonts w:ascii="Calibri" w:hAnsi="Calibri"/>
          <w:sz w:val="20"/>
        </w:rPr>
        <w:t>Normes harmonisées EU (NBN EN 816, NBN EN 817). Marchés publics réglementés (seuils UE 2024-2025). 3 régions = 3 législations bâtiment distinctes (complexité pour les appels d'offres).</w:t>
      </w:r>
    </w:p>
    <w:p/>
    <w:p>
      <w:pPr>
        <w:pStyle w:val="Heading2"/>
      </w:pPr>
      <w:r>
        <w:rPr>
          <w:rFonts w:ascii="Calibri" w:hAnsi="Calibri"/>
          <w:color w:val="2E75B6"/>
        </w:rPr>
        <w:t>1.2 Indicateurs socio-économiques clés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PIB total : </w:t>
      </w:r>
      <w:r>
        <w:rPr>
          <w:rFonts w:ascii="Calibri" w:hAnsi="Calibri"/>
          <w:sz w:val="20"/>
        </w:rPr>
        <w:t>642 Md€ en 2025 (Trésor FR / NBB)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PIB/habitant : </w:t>
      </w:r>
      <w:r>
        <w:rPr>
          <w:rFonts w:ascii="Calibri" w:hAnsi="Calibri"/>
          <w:sz w:val="20"/>
        </w:rPr>
        <w:t>48 700 €/an — parmi les plus élevés d'Europe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Population : </w:t>
      </w:r>
      <w:r>
        <w:rPr>
          <w:rFonts w:ascii="Calibri" w:hAnsi="Calibri"/>
          <w:sz w:val="20"/>
        </w:rPr>
        <w:t>11 774 642 habitants (Worldometer, mi-2026)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Urbanisation : </w:t>
      </w:r>
      <w:r>
        <w:rPr>
          <w:rFonts w:ascii="Calibri" w:hAnsi="Calibri"/>
          <w:sz w:val="20"/>
        </w:rPr>
        <w:t>99% (quasi-totalité de la population en zone urbaine)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Croissance PIB : </w:t>
      </w:r>
      <w:r>
        <w:rPr>
          <w:rFonts w:ascii="Calibri" w:hAnsi="Calibri"/>
          <w:sz w:val="20"/>
        </w:rPr>
        <w:t>+1,0% en 2025, +1,1% en 2024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Déficit public : </w:t>
      </w:r>
      <w:r>
        <w:rPr>
          <w:rFonts w:ascii="Calibri" w:hAnsi="Calibri"/>
          <w:sz w:val="20"/>
        </w:rPr>
        <w:t>-5,2% du PIB en 2025 (pression sur dépenses publiques futures)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Poids BTP : </w:t>
      </w:r>
      <w:r>
        <w:rPr>
          <w:rFonts w:ascii="Calibri" w:hAnsi="Calibri"/>
          <w:sz w:val="20"/>
        </w:rPr>
        <w:t>[DONNÉE NON DISPONIBLE — % PIB construction BE non trouvé en source fiable]</w:t>
      </w:r>
    </w:p>
    <w:p/>
    <w:p>
      <w:pPr>
        <w:pStyle w:val="Heading2"/>
      </w:pPr>
      <w:r>
        <w:rPr>
          <w:rFonts w:ascii="Calibri" w:hAnsi="Calibri"/>
          <w:color w:val="2E75B6"/>
        </w:rPr>
        <w:t>1.3 Relations commerciales France-Belgique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Volume total échanges bilatéraux : 89,4 Md€ en 2025 (Trésor FR, 2025), -8,5% vs 2024.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Exportations françaises vers BE : 44,9 Md€ (stable). Importations depuis BE : 44,5 Md€ (-15,1%).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La France dégage un léger excédent de +0,3 Md€ en 2025 (après déficit -7,2 Md€ en 2024).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Stock IDE français en Belgique : 126 405 M€ en 2024. Flux : 1 358 M€.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Belgique = 6ème partenaire commercial de la France (2ème client et 3ème fournisseur vu de BE).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Proximité culturelle forte côté wallon/bruxellois (francophone). Côté flamand : néerlandophone, sensibilité produit allemande/néerlandaise souvent dominante.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Avantage Presto : marque française reconnue, facilité logistique (livraison rapide depuis FR), documentation disponible en français pour partie francophone.</w:t>
      </w:r>
    </w:p>
    <w:p/>
    <w:p>
      <w:pPr>
        <w:pStyle w:val="Heading2"/>
      </w:pPr>
      <w:r>
        <w:rPr>
          <w:rFonts w:ascii="Calibri" w:hAnsi="Calibri"/>
          <w:color w:val="2E75B6"/>
        </w:rPr>
        <w:t>1.4 Tendances d'investissement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BEI Groupe : 2,6 Md€ investis en Belgique en 2025 (infra sociales, innovation, transition verte).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Logement social Flandre : 1,7 Md€ BEI pour 56 000 logements sociaux d'ici 2042 (premier tranche 700 M€ signée).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Santé mentale : 120 M€ BEI pour Z.org KU Leuven/Kortenberg — programme total 270 M€ (2026-2040).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Hôpitaux universitaires FWB : 438 M€ plan 2024-2028 (CHU Liège 160M€, Saint-Luc 171M€, Erasme 55M€, Mont-Godinne 37M€).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Bâtiments scolaires FWB : 1 Md€ de subventions (dont 300M€ appel 1, 200M€ appel 2 nov. 2023).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Rénovation logements sociaux Wallonie : 1,2 Md€ pour 25 000 logements (objectif 55 000 d'ici 2030).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Plan de relance : 51% des fonds RRF alloués à des mesures climatiques (rénovation énergétique).</w:t>
      </w:r>
    </w:p>
    <w:p/>
    <w:p>
      <w:pPr>
        <w:pStyle w:val="Heading1"/>
      </w:pPr>
      <w:r>
        <w:rPr>
          <w:rFonts w:ascii="Calibri" w:hAnsi="Calibri"/>
          <w:color w:val="1F497D"/>
        </w:rPr>
        <w:t>PARTIE 2 — MARCHÉ DE LA CONSTRUCTION</w:t>
      </w:r>
    </w:p>
    <w:p>
      <w:pPr>
        <w:pStyle w:val="Heading2"/>
      </w:pPr>
      <w:r>
        <w:rPr>
          <w:rFonts w:ascii="Calibri" w:hAnsi="Calibri"/>
          <w:color w:val="2E75B6"/>
        </w:rPr>
        <w:t>2.1 État actuel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Marché Benelux (BE+NL+LU) : 111 Md$ en 2024, CAGR 4,2% prévu jusqu'à 2032 → 152 Md$ (DataBridge Market Research, 2024).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Belgique seule 2024 : contraction de -2,8% — une des pires performances d'Europe occidentale.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Permis de construire : -11% (tous types). Permis résidentiels : -15%.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Faillites : 2 600+ entreprises de construction en 2024, soit +17% vs 2023 (Allianz Trade, 2024).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53 800 logements livrés en 2024 (+10% vs 2023), mais volumes de construction résidentielle -11% depuis pic T3 2021.</w:t>
      </w:r>
    </w:p>
    <w:p>
      <w:pPr>
        <w:pStyle w:val="Heading2"/>
      </w:pPr>
      <w:r>
        <w:rPr>
          <w:rFonts w:ascii="Calibri" w:hAnsi="Calibri"/>
          <w:color w:val="2E75B6"/>
        </w:rPr>
        <w:t>2.2 Dynamique Neuf vs Rénovation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Neuf résidentiel : sous-performance majeure. Nombre de permis historiquement bas.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Rénovation : dominant — le nombre de permis de rénovation dépasse celui des nouvelles constructions depuis plusieurs années.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Génie civil 2024 : +4,4% (après +4,9% en 2023) — seul segment performant, porté par plans de relance et investissements municipaux.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Génie civil 2025 : -2,2% attendu (Embuild / ING, 2025) — décélération après deux années de soutien public.</w:t>
      </w:r>
    </w:p>
    <w:p>
      <w:pPr>
        <w:pStyle w:val="Heading2"/>
      </w:pPr>
      <w:r>
        <w:rPr>
          <w:rFonts w:ascii="Calibri" w:hAnsi="Calibri"/>
          <w:color w:val="2E75B6"/>
        </w:rPr>
        <w:t>2.3 Perspectives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2025 : -0,4% global (EMAE, 2025). Contexte : demande atone, marges faibles, contraintes administratives excessives.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2026 : reprise très modérée attendue (ING, déc. 2025) — bâtiments non-résidentiels et rénovation en tête.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Moteurs durables : rénovation énergétique (PEB), investissements publics ciblés, demande de bâtiments durables.</w:t>
      </w:r>
    </w:p>
    <w:p/>
    <w:p>
      <w:pPr>
        <w:pStyle w:val="Heading1"/>
      </w:pPr>
      <w:r>
        <w:rPr>
          <w:rFonts w:ascii="Calibri" w:hAnsi="Calibri"/>
          <w:color w:val="1F497D"/>
        </w:rPr>
        <w:t>PARTIE 3 — CONSTRUCTION NON-RÉSIDENTIELLE</w:t>
      </w:r>
    </w:p>
    <w:p>
      <w:pPr>
        <w:pStyle w:val="Heading2"/>
      </w:pPr>
      <w:r>
        <w:rPr>
          <w:rFonts w:ascii="Calibri" w:hAnsi="Calibri"/>
          <w:color w:val="2E75B6"/>
        </w:rPr>
        <w:t>3.1 État actuel et part dans la construction totale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Seul grand segment en croissance positive en 2024 : +1,4% pour le non-résidentiel neuf (bureaux, commerces, bâtiments industriels).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Non-résidentiel rénovation : -2,1% en 2024, mais autorisations accordées +8,7% — signal positif à 12-18 mois.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Perspectives 2025 : +1,5% attendu pour le neuf non-résidentiel (ING, 2025). Soutien des projets publics (santé, éducation) et rénovations énergétiques.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[DONNÉE NON DISPONIBLE — part exacte du non-résidentiel dans la construction totale belge en valeur]</w:t>
      </w:r>
    </w:p>
    <w:p>
      <w:pPr>
        <w:pStyle w:val="Heading2"/>
      </w:pPr>
      <w:r>
        <w:rPr>
          <w:rFonts w:ascii="Calibri" w:hAnsi="Calibri"/>
          <w:color w:val="2E75B6"/>
        </w:rPr>
        <w:t>3.2 Segments dominants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Bureaux et espaces commerciaux : en hausse — regain d'activité post-COVID.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Bâtiments industriels : croissance continue, portée par logistique et relocalisation industrielle.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Projets publics (santé, éducation) : investissements planifiés pluriannuels (cf. Partie 1.4) — pipeline solide et visible.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Non-résidentiel privé : prudent mais stable.</w:t>
      </w:r>
    </w:p>
    <w:p/>
    <w:p>
      <w:pPr>
        <w:pStyle w:val="Heading1"/>
      </w:pPr>
      <w:r>
        <w:rPr>
          <w:rFonts w:ascii="Calibri" w:hAnsi="Calibri"/>
          <w:color w:val="1F497D"/>
        </w:rPr>
        <w:t>PARTIE 4 — POIDS DES SEGMENTS ERP</w:t>
      </w:r>
    </w:p>
    <w:p>
      <w:r>
        <w:rPr>
          <w:rFonts w:ascii="Calibri" w:hAnsi="Calibri"/>
          <w:i/>
          <w:color w:val="C05020"/>
          <w:sz w:val="18"/>
        </w:rPr>
        <w:t>⚠ Les données chiffrées par segment ERP en Belgique sont fragmentaires. Les informations ci-dessous combinent données disponibles et signaux qualitatifs. Les lacunes sont explicitement signalées.</w:t>
      </w:r>
    </w:p>
    <w:p>
      <w:pPr>
        <w:pStyle w:val="Heading2"/>
      </w:pPr>
      <w:r>
        <w:rPr>
          <w:rFonts w:ascii="Calibri" w:hAnsi="Calibri"/>
          <w:color w:val="2E75B6"/>
        </w:rPr>
        <w:t>4.1 Éducation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Fédération Wallonie-Bruxelles : 1 Md€ de subventions pour rénovation bâtiments scolaires (2023-2028). 1er appel 300M€, 2ème appel 200M€ (nov. 2023).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Priorités : performance énergétique, accessibilité PMR, connectivité.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Résidences étudiantes : projet emblématique Sart-Tilman (ULiège) — 407 chambres, livraison fin 2025. Appel à projets Wallonie pour logements étudiants publics en cours.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[DONNÉE NON DISPONIBLE — nombre total d'établissements scolaires BE, volume marché rénovation/neuf éducation par an]</w:t>
      </w:r>
    </w:p>
    <w:p>
      <w:pPr>
        <w:pStyle w:val="Heading2"/>
      </w:pPr>
      <w:r>
        <w:rPr>
          <w:rFonts w:ascii="Calibri" w:hAnsi="Calibri"/>
          <w:color w:val="2E75B6"/>
        </w:rPr>
        <w:t>4.2 Santé / Hôpitaux / EHPAD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Hôpitaux universitaires FWB : plan 438 M€ 2024-2028 — rénovation + construction neuve (CHU Liège, Saint-Luc, Erasme, Mont-Godinne).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Santé mentale : Z.org KU Leuven + Kortenberg, programme 270 M€ jusqu'à 2040 (120 M€ BEI).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EHPAD/Maisons de retraite : [DONNÉE NON DISPONIBLE — parc total BE, taux de rénovation, volume investissement]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Signal fort : vieillissement de la population belge → pression croissante sur l'offre de soins et d'hébergement.</w:t>
      </w:r>
    </w:p>
    <w:p>
      <w:pPr>
        <w:pStyle w:val="Heading2"/>
      </w:pPr>
      <w:r>
        <w:rPr>
          <w:rFonts w:ascii="Calibri" w:hAnsi="Calibri"/>
          <w:color w:val="2E75B6"/>
        </w:rPr>
        <w:t>4.3 Bâtiments tertiaires (Bureaux / Cantines)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Seul segment non-résidentiel en croissance nette (+1,4% 2024). Bureaux et cantines d'entreprises en regain.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[DONNÉE NON DISPONIBLE — volume marché bureau neuf/rénové en valeur, nombre de m² livrés]</w:t>
      </w:r>
    </w:p>
    <w:p>
      <w:pPr>
        <w:pStyle w:val="Heading2"/>
      </w:pPr>
      <w:r>
        <w:rPr>
          <w:rFonts w:ascii="Calibri" w:hAnsi="Calibri"/>
          <w:color w:val="2E75B6"/>
        </w:rPr>
        <w:t>4.4 Bâtiments industriels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En hausse en 2024. Logistique et industrie légère moteurs principaux.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[DONNÉE NON DISPONIBLE — données chiffrées spécifiques]</w:t>
      </w:r>
    </w:p>
    <w:p>
      <w:pPr>
        <w:pStyle w:val="Heading2"/>
      </w:pPr>
      <w:r>
        <w:rPr>
          <w:rFonts w:ascii="Calibri" w:hAnsi="Calibri"/>
          <w:color w:val="2E75B6"/>
        </w:rPr>
        <w:t>4.5 CHR (Cafés, Hôtels, Restaurants)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Secteur hôtelier belge 2024 : reprise post-COVID, tendance à la montée en gamme (sécurité, wellness, piscines privées). (Forbes Belgique, 2024)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[DONNÉE NON DISPONIBLE — nombre d'hôtels BE, volume investissement CHR en robinetterie]</w:t>
      </w:r>
    </w:p>
    <w:p>
      <w:pPr>
        <w:pStyle w:val="Heading2"/>
      </w:pPr>
      <w:r>
        <w:rPr>
          <w:rFonts w:ascii="Calibri" w:hAnsi="Calibri"/>
          <w:color w:val="2E75B6"/>
        </w:rPr>
        <w:t>4.6 HPA (Hôtellerie Plein Air, Campings, Piscines plein air)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Wallonie : extension des incitations pour piscines communautaires votée déc. 2025. Coopérations supracommunales encouragées.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[DONNÉE NON DISPONIBLE — parc campings BE, volume équipement HPA]</w:t>
      </w:r>
    </w:p>
    <w:p>
      <w:pPr>
        <w:pStyle w:val="Heading2"/>
      </w:pPr>
      <w:r>
        <w:rPr>
          <w:rFonts w:ascii="Calibri" w:hAnsi="Calibri"/>
          <w:color w:val="2E75B6"/>
        </w:rPr>
        <w:t>4.7 Centres Sport &amp; Loisirs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Programme Infrasports Wallonie : subventions aux communes pour équipements sportifs.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Projet phare : nouveau complexe sportif avec piscine en périphérie bruxelloise — travaux début 2025 (piscine olympique + récréative + wellness + vagues). (L'Avenir, 2024)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[DONNÉE NON DISPONIBLE — nombre de gymnases et piscines couvertes BE, volume marché]</w:t>
      </w:r>
    </w:p>
    <w:p>
      <w:pPr>
        <w:pStyle w:val="Heading2"/>
      </w:pPr>
      <w:r>
        <w:rPr>
          <w:rFonts w:ascii="Calibri" w:hAnsi="Calibri"/>
          <w:color w:val="2E75B6"/>
        </w:rPr>
        <w:t>4.8 Établissements à sécurité renforcée (Pénitentiaire)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Surpopulation carcérale critique : 13 397 détenus pour 10 795 places (taux 124%), 614 au sol (Prison Insider, déc. 2025).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Plan d'action fédéral juillet 2025 : maintien prisons anciennes + unités modulaires préfabriquées + nouvelles constructions avec technologies avancées.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Nouvelles prisons : Anvers livrée début 2025 (440 détenus). Vresse-sur-Semois : 171 M€ (Wallonie). 3 autres prisons à horizon 2030.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Pipeline de construction pénitentiaire solide — segment anti-vandalisme stratégique pour Presto.</w:t>
      </w:r>
    </w:p>
    <w:p>
      <w:pPr>
        <w:pStyle w:val="Heading2"/>
      </w:pPr>
      <w:r>
        <w:rPr>
          <w:rFonts w:ascii="Calibri" w:hAnsi="Calibri"/>
          <w:color w:val="2E75B6"/>
        </w:rPr>
        <w:t>4.9 Bâtiments culturels, lieux de culte, transports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[DONNÉE NON DISPONIBLE — données sectorielles BE non trouvées en sources fiables]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Note : aéroports (Brussels Airport, Charleroi), gares SNCB — projets de modernisation en cours mais données non sourcées.</w:t>
      </w:r>
    </w:p>
    <w:p/>
    <w:p>
      <w:pPr>
        <w:pStyle w:val="Heading2"/>
      </w:pPr>
      <w:r>
        <w:rPr>
          <w:rFonts w:ascii="Calibri" w:hAnsi="Calibri"/>
          <w:color w:val="2E75B6"/>
        </w:rPr>
        <w:t>4.12 Opportunités Presto par segment — synthèse</w:t>
      </w:r>
    </w:p>
    <w:p>
      <w:r>
        <w:rPr>
          <w:rFonts w:ascii="Calibri" w:hAnsi="Calibri"/>
          <w:i/>
          <w:color w:val="C05020"/>
          <w:sz w:val="18"/>
        </w:rPr>
        <w:t>⚠ Classement par potentiel décroissant pour Presto sur le marché belge ERP.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rFonts w:ascii="Calibri" w:hAnsi="Calibri"/>
                <w:b/>
                <w:sz w:val="18"/>
              </w:rPr>
              <w:t>Segment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b/>
                <w:sz w:val="18"/>
              </w:rPr>
              <w:t>Score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b/>
                <w:sz w:val="18"/>
              </w:rPr>
              <w:t>Produits Presto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b/>
                <w:sz w:val="18"/>
              </w:rPr>
              <w:t>Arguments clés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b/>
                <w:sz w:val="18"/>
              </w:rPr>
              <w:t>Canal recommandé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4.2 Santé / Hôpitaux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5/5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Temposoft, Tempostop, gamme hospitalière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Hygiène, anti-brûlure, PMR, BELGAQUA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Prescription BET + distributeurs santé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4.1 Éducation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4/5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Temporisateurs push-button, électroniques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Économie d'eau (PLAGE/UREBA), robustesse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Appels d'offres publics, négoce pro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4.8 Pénitentiaire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4/5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Inox anti-vandalisme, encastrés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Anti-vandalisme, indestructibilité, entretien minimal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Prescription directe Régie des Bâtiments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4.5 CHR / Hôtels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Thermostatiques, design, économiseurs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Montée en gamme, durabilité, pression constante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Distributeurs CHR, architectes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4.7 Sport &amp; Loisirs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Temporisateurs douche, push-button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Économie d'eau, hygiène, certif. PMR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Collectivités locales, BET sport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4.3 Tertiaire / Bureaux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3/5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Temporisateurs, électroniques sans contact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BREEAM, économie eau, UE/OTAN niche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Prescription architectes + BET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4.11 Transports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2/5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Robinets encastrés, anti-vandalisme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Résistance vandalisme, entretien minimal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BET spécialisés, marchés SNCB/BSCA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4.4 Industrie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2/5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Inox, temporisateurs process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Résistance corrosion, hygiène alimentaire/pharma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Bureaux d'études process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4.6 HPA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1/5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Limitée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Marché quasi inexistant en Belgique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4.9 Bâtiments culturels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1/5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Opportunités ponctuelles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Projets municipaux dispersés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4.10 Lieux de culte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1/5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Très limité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Marché résiduel, non prioritaire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</w:tbl>
    <w:p/>
    <w:p>
      <w:r>
        <w:rPr>
          <w:rFonts w:ascii="Calibri" w:hAnsi="Calibri"/>
          <w:sz w:val="20"/>
        </w:rPr>
        <w:t>Priorités absolues : Santé et Éducation (volumes + pipelines sécurisés). Niche stratégique : Pénitentiaire (anti-vandalisme, sans concurrent dominant). Levier différenciant : certification BELGAQUA à obtenir en priorité.</w:t>
      </w:r>
    </w:p>
    <w:p/>
    <w:p>
      <w:pPr>
        <w:pStyle w:val="Heading1"/>
      </w:pPr>
      <w:r>
        <w:rPr>
          <w:rFonts w:ascii="Calibri" w:hAnsi="Calibri"/>
          <w:color w:val="1F497D"/>
        </w:rPr>
        <w:t>PARTIE 5 — TAILLE MARCHÉ : ROBINETTERIE GÉNÉRALE</w:t>
      </w:r>
    </w:p>
    <w:p>
      <w:pPr>
        <w:pStyle w:val="Heading2"/>
      </w:pPr>
      <w:r>
        <w:rPr>
          <w:rFonts w:ascii="Calibri" w:hAnsi="Calibri"/>
          <w:color w:val="2E75B6"/>
        </w:rPr>
        <w:t>5.1 Taille et valeur du marché — Double estimation obligatoire (v4)</w:t>
      </w:r>
    </w:p>
    <w:p>
      <w:r>
        <w:rPr>
          <w:rFonts w:ascii="Calibri" w:hAnsi="Calibri"/>
          <w:i/>
          <w:color w:val="C05020"/>
          <w:sz w:val="18"/>
        </w:rPr>
        <w:t>⚠ Aucune source publique ne recense la taille exacte du marché belge. Deux estimations par extrapolation, présentées côte à côte conformément au protocole MAB v4.</w:t>
      </w:r>
    </w:p>
    <w:p>
      <w:pPr>
        <w:pStyle w:val="Heading2"/>
      </w:pPr>
      <w:r>
        <w:rPr>
          <w:rFonts w:ascii="Calibri" w:hAnsi="Calibri"/>
          <w:color w:val="2E75B6"/>
        </w:rPr>
        <w:t>Constantes de référence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PIB/hab France 2025 : </w:t>
      </w:r>
      <w:r>
        <w:rPr>
          <w:rFonts w:ascii="Calibri" w:hAnsi="Calibri"/>
          <w:sz w:val="20"/>
        </w:rPr>
        <w:t>48 982 USD (Worldometer)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Population France 2025 : </w:t>
      </w:r>
      <w:r>
        <w:rPr>
          <w:rFonts w:ascii="Calibri" w:hAnsi="Calibri"/>
          <w:sz w:val="20"/>
        </w:rPr>
        <w:t>69,1 M (Worldometer)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PIB/hab Belgique 2024 : </w:t>
      </w:r>
      <w:r>
        <w:rPr>
          <w:rFonts w:ascii="Calibri" w:hAnsi="Calibri"/>
          <w:sz w:val="20"/>
        </w:rPr>
        <w:t>46 000 USD (SPF Économie / FMI)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Population Belgique 2025 : </w:t>
      </w:r>
      <w:r>
        <w:rPr>
          <w:rFonts w:ascii="Calibri" w:hAnsi="Calibri"/>
          <w:sz w:val="20"/>
        </w:rPr>
        <w:t>11,825 M (Statbel)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Coefficient global : </w:t>
      </w:r>
      <w:r>
        <w:rPr>
          <w:rFonts w:ascii="Calibri" w:hAnsi="Calibri"/>
          <w:sz w:val="20"/>
        </w:rPr>
        <w:t>(46 000 / 48 982) × (11,825 / 69,1) = 0,939 × 0,171 = 0,161</w:t>
      </w:r>
    </w:p>
    <w:p>
      <w:pPr>
        <w:pStyle w:val="Heading2"/>
      </w:pPr>
      <w:r>
        <w:rPr>
          <w:rFonts w:ascii="Calibri" w:hAnsi="Calibri"/>
          <w:color w:val="2E75B6"/>
        </w:rPr>
        <w:t>Estimation A — base « Analyse de Marché France » (source interne Presto)</w:t>
      </w:r>
    </w:p>
    <w:p>
      <w:r>
        <w:rPr>
          <w:rFonts w:ascii="Calibri" w:hAnsi="Calibri"/>
          <w:i/>
          <w:color w:val="C05020"/>
          <w:sz w:val="18"/>
        </w:rPr>
        <w:t>⚠ Base France = valeurs internes Presto divisées par 2 (valeurs HT). Ne pas utiliser Xerfi 635 M€.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18"/>
              </w:rPr>
              <w:t>Segment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18"/>
              </w:rPr>
              <w:t>Base France (/2)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18"/>
              </w:rPr>
              <w:t>× Coeff. 0,161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18"/>
              </w:rPr>
              <w:t>Estimation Belgique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18"/>
              </w:rPr>
              <w:t>Robinetterie collectivités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100–125 M€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16–20 M€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18"/>
              </w:rPr>
              <w:t>Chasses d'eau &amp; équipements WC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90–110 M€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14–18 M€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18"/>
              </w:rPr>
              <w:t>Douches &amp; équipements connexes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52–65 M€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8–10 M€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18"/>
              </w:rPr>
              <w:t>TOTAL Estimation 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242–300 M€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× 0,161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39–48 M€</w:t>
            </w:r>
          </w:p>
        </w:tc>
      </w:tr>
    </w:tbl>
    <w:p/>
    <w:p>
      <w:r>
        <w:rPr>
          <w:rFonts w:ascii="Calibri" w:hAnsi="Calibri"/>
          <w:i/>
          <w:color w:val="C05020"/>
          <w:sz w:val="18"/>
        </w:rPr>
        <w:t>⚠ Fiabilité : moyenne — méthode macro, ne capte pas l'économie informelle ni les spécificités sectorielles locales.</w:t>
      </w:r>
    </w:p>
    <w:p>
      <w:pPr>
        <w:pStyle w:val="Heading2"/>
      </w:pPr>
      <w:r>
        <w:rPr>
          <w:rFonts w:ascii="Calibri" w:hAnsi="Calibri"/>
          <w:color w:val="2E75B6"/>
        </w:rPr>
        <w:t>Estimation B — base « Études BRG » (BRG Belgium 2020)</w:t>
      </w:r>
    </w:p>
    <w:p>
      <w:r>
        <w:rPr>
          <w:rFonts w:ascii="Calibri" w:hAnsi="Calibri"/>
          <w:i/>
          <w:color w:val="C05020"/>
          <w:sz w:val="18"/>
        </w:rPr>
        <w:t>⚠ [DONNÉE NON DISPONIBLE — BE_Bathrooms_Full_Report_2020.pdf présent en sources-internes mais non extractible sans poppler. La valeur de référence France citée dans le BRG n'a pas pu être lue. Estimation B à compléter dès installation de poppler-utils ou conversion manuelle du PDF.]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Action : installer poppler (`brew install poppler`) et relancer le script pour extraire automatiquement la base BRG et calculer l'Estimation B.</w:t>
      </w:r>
    </w:p>
    <w:p>
      <w:pPr>
        <w:pStyle w:val="Heading2"/>
      </w:pPr>
      <w:r>
        <w:rPr>
          <w:rFonts w:ascii="Calibri" w:hAnsi="Calibri"/>
          <w:color w:val="2E75B6"/>
        </w:rPr>
        <w:t>Synthèse Partie 5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Estimation A (seule disponible) : 39–48 M€ pour le périmètre robinetterie collective + chasses d'eau + douches en Belgique.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Estimation B : [NON DISPONIBLE — BRG non lisible]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Écart inter-méthodes : non calculable. À compléter.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Commentaire : L'Estimation A est cohérente avec la fourchette 24–29 M€ retenue en source interne pour la seule robinetterie collective (segment le plus étroit). Le total élargi converge.</w:t>
      </w:r>
    </w:p>
    <w:p>
      <w:pPr>
        <w:pStyle w:val="Heading2"/>
      </w:pPr>
      <w:r>
        <w:rPr>
          <w:rFonts w:ascii="Calibri" w:hAnsi="Calibri"/>
          <w:color w:val="2E75B6"/>
        </w:rPr>
        <w:t>5.2 Canaux de distribution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Négoce spécialisé plomberie-chauffage : principal canal BtoB (SIDER, Versani, Willems-Diels, Aquacaro).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Groupe BME/STG : acquisition de Paepens (Flandre) → réseau négoce sanitaire/chauffage en structuration.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E-commerce professionnel : Sawiday.be, Sider.biz — présence Presto confirmée sur ces plateformes.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Prescripteurs : architectes, bureaux d'études techniques, coordinateurs de marchés publics.</w:t>
      </w:r>
    </w:p>
    <w:p>
      <w:r>
        <w:rPr>
          <w:rFonts w:ascii="Calibri" w:hAnsi="Calibri"/>
          <w:i/>
          <w:color w:val="C05020"/>
          <w:sz w:val="18"/>
        </w:rPr>
        <w:t>⚠ Hypothèse basée sur le modèle France — à confirmer terrain.</w:t>
      </w:r>
    </w:p>
    <w:p>
      <w:pPr>
        <w:pStyle w:val="Heading2"/>
      </w:pPr>
      <w:r>
        <w:rPr>
          <w:rFonts w:ascii="Calibri" w:hAnsi="Calibri"/>
          <w:color w:val="2E75B6"/>
        </w:rPr>
        <w:t>5.3 Spécificités produit Belgique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Forte sensibilité aux marques allemandes/autrichiennes côté flamand (Hansgrohe, Grohe, Hansa).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Côté wallon/bruxellois : proximité culturelle française → ouverture aux marques FR (Presto, Delabie).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Exigence croissante en efficacité hydrique et certification PEB — avantage produits temporisés et électroniques.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[DONNÉE NON DISPONIBLE — volumes de vente par gamme produit, prix moyens marché BE]</w:t>
      </w:r>
    </w:p>
    <w:p>
      <w:pPr>
        <w:pStyle w:val="Heading2"/>
      </w:pPr>
      <w:r>
        <w:rPr>
          <w:rFonts w:ascii="Calibri" w:hAnsi="Calibri"/>
          <w:color w:val="2E75B6"/>
        </w:rPr>
        <w:t>5.4 Dynamique et perspectives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Croissance portée par la rénovation énergétique — économiseurs d'eau certifiés imposés dans les marchés publics.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E-procurement en progression dans les marchés publics belges.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Digitalisation des achats B2B : grossistes STG et Facq Pro disposent de plateformes e-commerce professionnelles.</w:t>
      </w:r>
    </w:p>
    <w:p/>
    <w:p>
      <w:pPr>
        <w:pStyle w:val="Heading1"/>
      </w:pPr>
      <w:r>
        <w:rPr>
          <w:rFonts w:ascii="Calibri" w:hAnsi="Calibri"/>
          <w:color w:val="1F497D"/>
        </w:rPr>
        <w:t>PARTIE 6 — TAILLE MARCHÉ : ROBINETTERIE COLLECTIVE ERP</w:t>
      </w:r>
    </w:p>
    <w:p>
      <w:pPr>
        <w:pStyle w:val="Heading2"/>
      </w:pPr>
      <w:r>
        <w:rPr>
          <w:rFonts w:ascii="Calibri" w:hAnsi="Calibri"/>
          <w:color w:val="2E75B6"/>
        </w:rPr>
        <w:t>6.1 Taille du marché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Source interne Presto : 24–29 M€ pour la robinetterie ERP stricte (collective) en 2025.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Périmètre élargi (semi-collectif, cantines, douches) : 55–66 M€.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Croissance estimée : 3–4 %/an sur 2025–2028 (source interne).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Atout structurel : institutions UE/OTAN à Bruxelles = demande ERP institutionnelle haut de gamme, peu cyclique.</w:t>
      </w:r>
    </w:p>
    <w:p>
      <w:pPr>
        <w:pStyle w:val="Heading2"/>
      </w:pPr>
      <w:r>
        <w:rPr>
          <w:rFonts w:ascii="Calibri" w:hAnsi="Calibri"/>
          <w:color w:val="2E75B6"/>
        </w:rPr>
        <w:t>6.2 Double méthode d'extrapolation (v4)</w:t>
      </w:r>
    </w:p>
    <w:p>
      <w:r>
        <w:rPr>
          <w:rFonts w:ascii="Calibri" w:hAnsi="Calibri"/>
          <w:i/>
          <w:color w:val="C05020"/>
          <w:sz w:val="18"/>
        </w:rPr>
        <w:t>⚠ Deux méthodes obligatoires conformément au protocole MAB v4. Résultats à présenter côte à côte.</w:t>
      </w:r>
    </w:p>
    <w:p>
      <w:pPr>
        <w:pStyle w:val="Heading2"/>
      </w:pPr>
      <w:r>
        <w:rPr>
          <w:rFonts w:ascii="Calibri" w:hAnsi="Calibri"/>
          <w:color w:val="2E75B6"/>
        </w:rPr>
        <w:t>Méthode 1 — base « Analyse de Marché France »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Base France collectivités (/2) : 100–125 M€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Coefficient global : 0,161 (cf. Partie 5)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Estimation brute : 0,161 × 112,5 M€ (midpoint) = 18,1 M€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Ajustement structurel :</w:t>
      </w:r>
    </w:p>
    <w:p>
      <w:pPr>
        <w:pStyle w:val="ListBullet"/>
        <w:ind w:left="283"/>
      </w:pPr>
      <w:r>
        <w:rPr>
          <w:rFonts w:ascii="Calibri" w:hAnsi="Calibri"/>
          <w:sz w:val="20"/>
        </w:rPr>
        <w:t>+10 % économie formelle (Belgique : quasi-zéro économie informelle, marchés publics traçables)</w:t>
      </w:r>
    </w:p>
    <w:p>
      <w:pPr>
        <w:pStyle w:val="ListBullet"/>
        <w:ind w:left="283"/>
      </w:pPr>
      <w:r>
        <w:rPr>
          <w:rFonts w:ascii="Calibri" w:hAnsi="Calibri"/>
          <w:sz w:val="20"/>
        </w:rPr>
        <w:t>+5 % urbanisation très élevée (99 % — demande ERP concentrée, structurée)</w:t>
      </w:r>
    </w:p>
    <w:p>
      <w:pPr>
        <w:pStyle w:val="ListBullet"/>
        <w:ind w:left="283"/>
      </w:pPr>
      <w:r>
        <w:rPr>
          <w:rFonts w:ascii="Calibri" w:hAnsi="Calibri"/>
          <w:sz w:val="20"/>
        </w:rPr>
        <w:t>+5 % PIB/hab proche de la France (marché premium, valeur unitaire haute)</w:t>
      </w:r>
    </w:p>
    <w:p>
      <w:pPr>
        <w:pStyle w:val="ListBullet"/>
        <w:ind w:left="283"/>
      </w:pPr>
      <w:r>
        <w:rPr>
          <w:rFonts w:ascii="Calibri" w:hAnsi="Calibri"/>
          <w:sz w:val="20"/>
        </w:rPr>
        <w:t>–5 % marché BTP atone 2024–2025 (ralentissement investissement public)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Ajustement net : +15 % → facteur 1,15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Estimation Méthode 1 : 18,1 M€ × 1,15 = 20,8 M€  →  fourchette 19–23 M€</w:t>
      </w:r>
    </w:p>
    <w:p>
      <w:r>
        <w:rPr>
          <w:rFonts w:ascii="Calibri" w:hAnsi="Calibri"/>
          <w:i/>
          <w:color w:val="C05020"/>
          <w:sz w:val="18"/>
        </w:rPr>
        <w:t>⚠ Estimation par extrapolation avec ajustement structurel — fiabilité moyenne. Variables ajustement à confirmer terrain.</w:t>
      </w:r>
    </w:p>
    <w:p>
      <w:pPr>
        <w:pStyle w:val="Heading2"/>
      </w:pPr>
      <w:r>
        <w:rPr>
          <w:rFonts w:ascii="Calibri" w:hAnsi="Calibri"/>
          <w:color w:val="2E75B6"/>
        </w:rPr>
        <w:t>Méthode 2 — base « Études BRG »</w:t>
      </w:r>
    </w:p>
    <w:p>
      <w:r>
        <w:rPr>
          <w:rFonts w:ascii="Calibri" w:hAnsi="Calibri"/>
          <w:i/>
          <w:color w:val="C05020"/>
          <w:sz w:val="18"/>
        </w:rPr>
        <w:t>⚠ [DONNÉE NON DISPONIBLE — BE_Bathrooms_Full_Report_2020.pdf non extractible sans poppler. La base France citée dans le BRG Belgique 2020 n'a pas pu être lue. Méthode 2 à compléter après installation de poppler-utils (`brew install poppler`).]</w:t>
      </w:r>
    </w:p>
    <w:p>
      <w:pPr>
        <w:pStyle w:val="Heading2"/>
      </w:pPr>
      <w:r>
        <w:rPr>
          <w:rFonts w:ascii="Calibri" w:hAnsi="Calibri"/>
          <w:color w:val="2E75B6"/>
        </w:rPr>
        <w:t>Synthèse 6.2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18"/>
              </w:rPr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18"/>
              </w:rPr>
              <w:t>Méthode 1 (base Presto interne)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18"/>
              </w:rPr>
              <w:t>Méthode 2 (base BRG)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Base France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100–125 M€ (/2)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[NON DISPONIBLE]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Coefficient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0,161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0,161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Ajustement structurel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+15 %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+15 % (identique)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Estimation brute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~18 M€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[NON DISPONIBLE]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Estimation ajustée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19–23 M€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[NON DISPONIBLE]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Source interne validation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24–29 M€ (convergence ✓)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Niveau de confiance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Moyen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—</w:t>
            </w:r>
          </w:p>
        </w:tc>
      </w:tr>
    </w:tbl>
    <w:p/>
    <w:p>
      <w:pPr>
        <w:pStyle w:val="ListBullet"/>
        <w:ind w:left="0"/>
      </w:pPr>
      <w:r>
        <w:rPr>
          <w:rFonts w:ascii="Calibri" w:hAnsi="Calibri"/>
          <w:sz w:val="20"/>
        </w:rPr>
        <w:t>Fourchette finale retenue : 19–29 M€ (Méthode 1 + source interne). Niveau de confiance : MOYEN.</w:t>
      </w:r>
    </w:p>
    <w:p>
      <w:r>
        <w:rPr>
          <w:rFonts w:ascii="Calibri" w:hAnsi="Calibri"/>
          <w:i/>
          <w:color w:val="C05020"/>
          <w:sz w:val="18"/>
        </w:rPr>
        <w:t>⚠ Limites : ne capte pas l'économie informelle ; ne reflète pas les spécificités sectorielles locales ; volatilité taux de change ; ajustement structurel repose sur hypothèses à confirmer terrain.</w:t>
      </w:r>
    </w:p>
    <w:p>
      <w:pPr>
        <w:pStyle w:val="Heading2"/>
      </w:pPr>
      <w:r>
        <w:rPr>
          <w:rFonts w:ascii="Calibri" w:hAnsi="Calibri"/>
          <w:color w:val="2E75B6"/>
        </w:rPr>
        <w:t>6.3 Potentiel par segment ERP — Scoring 1 à 5 (v4)</w:t>
      </w:r>
    </w:p>
    <w:p>
      <w:r>
        <w:rPr>
          <w:rFonts w:ascii="Calibri" w:hAnsi="Calibri"/>
          <w:i/>
          <w:color w:val="C05020"/>
          <w:sz w:val="18"/>
        </w:rPr>
        <w:t>⚠ Score : 1 = très faible / 2 = faible / 3 = moyen / 4 = fort / 5 = très fort potentiel pour Presto en Belgique.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18"/>
              </w:rPr>
              <w:t>Segment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18"/>
              </w:rPr>
              <w:t>Score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18"/>
              </w:rPr>
              <w:t>Justification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b/>
                <w:sz w:val="18"/>
              </w:rPr>
              <w:t>Hypothèses clés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4.1 Éducation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4/5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Pipeline 3,2 Md€ Flandre + 1 Md€ FWB documenté ; rénovation urgente (66 % bâti pre-1981) ; produits temporisés imposés par PLAGE/UREBA.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Accès marché flamand (néerlandophone) via distributeur local.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4.2 Santé / EHPAD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5/5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Investissements sécurisés pluriannuels (438 M€ hôpitaux univ., 270 M€ psychiatrie) ; exigences hygiène max. ; gamme hospitalière Presto directement applicable.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Différenciation prix vs Delabie sur segments à budget contraint.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4.3 Tertiaire / Bureaux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Segment en reprise (+1,4 % 2024) ; UE/OTAN à Bruxelles = niche haute valeur + BREEAM ; mais moins spécifique ERP que santé/éducation.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Accès via prescription architectes + BET.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4.4 Industrie / Logistique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2/5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Marché inox spécialisé à forte valeur unitaire mais volume très limité ; exigences techniques élevées.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Référencement via bureaux d'études process (pharma, biotech).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4.5 CHR / Hôtels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Hôtellerie en reprise forte (10 M+ visiteurs 2024) ; montée en gamme → budget sanitaire premium ; mais concurrence généraliste forte.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Hôtels 4–5 étoiles Bruxelles/Anvers = cœur de cible.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4.6 HPA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Marché quasi inexistant en Belgique (climat tempéré, faible culture camping vs France) ; opportunités structurelles négligeables.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Marché résiduel, non à prioriser.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4.7 Sport &amp; Loisirs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Plans piscines actifs (PLAGE, Infrasports Wallonie 29 M€, Bruxelles 43 M€) ; parc vieillissant ; certification économie eau imposée.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Rénovations liées aux obligations EPBD = déclencheur.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4.8 Pénitentiaire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4/5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Plan Maître III : 5 nouvelles prisons actives (Anvers livrée 2025, Vresse 171 M€, 3 autres d'ici 2030) ; anti-vandalisme = cœur de gamme ; marché captif.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Presto non dominé par Delabie sur ce segment — ouverture réelle.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4.9 Bâtiments culturels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Données insuffisantes ; marché résiduel ; investissements principalement régionaux et non programmés.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Opportunités ponctuelles uniquement.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4.10 Lieux de culte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Marché résiduel, non prioritaire pour ERP collectif Presto.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Investissements très faibles et dispersés.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4.11 Transports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2/5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SNCB + aéroports : volumes intéressants mais chaîne prescription longue, certifications spécifiques, cycles longs.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Accès via BET spécialisés infra ; délais commerciaux 18–36 mois.</w:t>
            </w:r>
          </w:p>
        </w:tc>
      </w:tr>
    </w:tbl>
    <w:p/>
    <w:p>
      <w:r>
        <w:rPr>
          <w:rFonts w:ascii="Calibri" w:hAnsi="Calibri"/>
          <w:sz w:val="20"/>
        </w:rPr>
        <w:t>Top 3 segments prioritaires : Santé (5/5) · Éducation (4/5) · Pénitentiaire (4/5)</w:t>
      </w:r>
    </w:p>
    <w:p>
      <w:pPr>
        <w:pStyle w:val="Heading2"/>
      </w:pPr>
      <w:r>
        <w:rPr>
          <w:rFonts w:ascii="Calibri" w:hAnsi="Calibri"/>
          <w:color w:val="2E75B6"/>
        </w:rPr>
        <w:t>6.4 Spécificités produit ERP Belgique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Robinetterie temporisée push-button et électronique : dominantes sur ERP — hygiène, économie d'eau, résistance vandalisme.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Prix moyen ERP standard : 90–160 € HT. Segment institutionnel haut de gamme (UE/OTAN) : 200 €+ (source interne Presto).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Marché francophone (Wallonie + Bruxelles) : préférence marques françaises — avantage Presto.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Marché flamand : marques germaniques dominantes — entrée via partenaire distributeur local recommandée.</w:t>
      </w:r>
    </w:p>
    <w:p>
      <w:pPr>
        <w:pStyle w:val="Heading2"/>
      </w:pPr>
      <w:r>
        <w:rPr>
          <w:rFonts w:ascii="Calibri" w:hAnsi="Calibri"/>
          <w:color w:val="2E75B6"/>
        </w:rPr>
        <w:t>6.5 Dynamique et perspectives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Programmes PLAGE (Flandre) et UREBA (Wallonie) : rénovation bâtiments publics impose économiseurs d'eau certifiés — débouché direct.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Institutions UE à Bruxelles : cahiers des charges BREEAM, PMR, anti-legionella — marché de niche à haute valeur.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Rénovation hôpitaux et écoles : flux régulier de projets 2024–2030 — marché visible et qualifiable.</w:t>
      </w:r>
    </w:p>
    <w:p/>
    <w:p>
      <w:pPr>
        <w:pStyle w:val="Heading1"/>
      </w:pPr>
      <w:r>
        <w:rPr>
          <w:rFonts w:ascii="Calibri" w:hAnsi="Calibri"/>
          <w:color w:val="1F497D"/>
        </w:rPr>
        <w:t>PARTIE 7 — CONCURRENTS</w:t>
      </w:r>
    </w:p>
    <w:p>
      <w:pPr>
        <w:pStyle w:val="Heading2"/>
      </w:pPr>
      <w:r>
        <w:rPr>
          <w:rFonts w:ascii="Calibri" w:hAnsi="Calibri"/>
          <w:color w:val="2E75B6"/>
        </w:rPr>
        <w:t>7.1 DELABIE (analyse prioritaire)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Positionnement : leader européen de la robinetterie et équipements sanitaires pour ERP. Haut de gamme institutionnel.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Présence Belgique : filiale Delabie Benelux SRL, Sint-Pieters-Leeuw (Bruxelles), issu de l'acquisition de BSC Belgium. Site dédié : delabiebenelux.com (FR + NL).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Organisation : équipe commerciale locale, catalogue complet ERP, présence sur marchés publics belges.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Gamme : robinetterie temporisée et électronique, robinetterie hospitalière, sanitaires inox anti-vandalisme, accessibilité PMR, grandes cuisines collectives.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Forces : marque très connue dans les ERP, réseau négoce établi, documentation technique exhaustive, certifications NF et EN.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Faiblesses : prix haut de gamme, potentiellement perçu comme inaccessible sur certains segments publics à budget contraint.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[DONNÉE NON DISPONIBLE — parts de marché Delabie Benelux en % du marché BE collectif]</w:t>
      </w:r>
    </w:p>
    <w:p>
      <w:pPr>
        <w:pStyle w:val="Heading2"/>
      </w:pPr>
      <w:r>
        <w:rPr>
          <w:rFonts w:ascii="Calibri" w:hAnsi="Calibri"/>
          <w:color w:val="2E75B6"/>
        </w:rPr>
        <w:t>7.2 Autres concurrents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Hansgrohe / Grohe (LIXIL) : </w:t>
      </w:r>
      <w:r>
        <w:rPr>
          <w:rFonts w:ascii="Calibri" w:hAnsi="Calibri"/>
          <w:sz w:val="20"/>
        </w:rPr>
        <w:t>Marques premium allemandes très présentes en Belgique, notamment côté flamand. Forte présence retail + projets résidentiels haut de gamme. Moins spécialisées ERP collectif.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Hansa : </w:t>
      </w:r>
      <w:r>
        <w:rPr>
          <w:rFonts w:ascii="Calibri" w:hAnsi="Calibri"/>
          <w:sz w:val="20"/>
        </w:rPr>
        <w:t>Robinets intelligents, milieu-haut de gamme. Site Hansa.com en version belge (hansa.com/fr-be). Produits economy-eau mais positionnement moins ERP.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Geberit : </w:t>
      </w:r>
      <w:r>
        <w:rPr>
          <w:rFonts w:ascii="Calibri" w:hAnsi="Calibri"/>
          <w:sz w:val="20"/>
        </w:rPr>
        <w:t>Acteur majeur en sanitaires encastrés, moins sur robinetterie apparente. Fort en projets neufs tertiaires et santé.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Jacob Delafon (Kohler) : </w:t>
      </w:r>
      <w:r>
        <w:rPr>
          <w:rFonts w:ascii="Calibri" w:hAnsi="Calibri"/>
          <w:sz w:val="20"/>
        </w:rPr>
        <w:t>Présence Belgique, milieu de gamme, plus résidentiel que collectif.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Oras / Damixa : </w:t>
      </w:r>
      <w:r>
        <w:rPr>
          <w:rFonts w:ascii="Calibri" w:hAnsi="Calibri"/>
          <w:sz w:val="20"/>
        </w:rPr>
        <w:t>Marques nordiques présentes via négoce. Moins dominantes sur le collectif institutionnel.</w:t>
      </w:r>
    </w:p>
    <w:p>
      <w:pPr>
        <w:pStyle w:val="Heading2"/>
      </w:pPr>
      <w:r>
        <w:rPr>
          <w:rFonts w:ascii="Calibri" w:hAnsi="Calibri"/>
          <w:color w:val="2E75B6"/>
        </w:rPr>
        <w:t>7.3 Opportunités de différenciation pour Presto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Profondeur de gamme collective/temporisée : Presto = spécialiste pur ERP comme Delabie, contrairement aux généralistes résidentiels.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Rapport qualité/prix : alternative crédible à Delabie sur segments à budget contraint (éducation, logement social).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Réactivité logistique depuis France : délais courts, stock disponible, proximité géographique.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Présence digitale Belgique à renforcer : développer la présence sur les plateformes B2B belges et les prescripteurs.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[DONNÉE NON DISPONIBLE — réputation terrain Presto en Belgique auprès des installateurs et maîtres d'œuvre — à valider par entretiens]</w:t>
      </w:r>
    </w:p>
    <w:p/>
    <w:p>
      <w:pPr>
        <w:pStyle w:val="Heading1"/>
      </w:pPr>
      <w:r>
        <w:rPr>
          <w:rFonts w:ascii="Calibri" w:hAnsi="Calibri"/>
          <w:color w:val="1F497D"/>
        </w:rPr>
        <w:t>PARTIE 8 — NORMES &amp; CERTIFICATIONS ROBINETTERIE</w:t>
      </w:r>
    </w:p>
    <w:p>
      <w:pPr>
        <w:pStyle w:val="Heading2"/>
      </w:pPr>
      <w:r>
        <w:rPr>
          <w:rFonts w:ascii="Calibri" w:hAnsi="Calibri"/>
          <w:color w:val="2E75B6"/>
        </w:rPr>
        <w:t>8.1 Normes applicables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NBN EN 816 (1996) : Robinetterie sanitaire — robinets à fermeture automatique PN 10. S'applique aux temporisateurs (cœur de gamme Presto). Couvre marquage, hydraulique, étanchéité, acoustique, résistance pression, endurance mécanique.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NBN EN 817 (2008) : Robinetterie sanitaire — mitigeurs mécaniques PN 10. Spécifications techniques générales.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Marquage CE : obligatoire pour mise sur le marché en Belgique (directive produits de construction). Condition sine qua non.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Normes EN 200, EN 1111, EN 1112, EN 1113 : robinetterie résidentielle (moins contraignantes pour ERP).</w:t>
      </w:r>
    </w:p>
    <w:p>
      <w:pPr>
        <w:pStyle w:val="Heading2"/>
      </w:pPr>
      <w:r>
        <w:rPr>
          <w:rFonts w:ascii="Calibri" w:hAnsi="Calibri"/>
          <w:color w:val="2E75B6"/>
        </w:rPr>
        <w:t>8.2 Certifications recommandées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NF Robinetterie Sanitaire (NF077, AFNOR) : certification française reconnue et valorisée en Belgique francophone — donne confiance aux prescripteurs et maîtres d'ouvrage publics.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Certifications hospitalières spécifiques : pour les produits destinés aux ERP de santé (cf. Delabie — certifications hôpitaux NF).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[DONNÉE NON DISPONIBLE — existence d'une certification belge spécifique type 'BENOR' pour la robinetterie — à vérifier auprès du NBN]</w:t>
      </w:r>
    </w:p>
    <w:p>
      <w:pPr>
        <w:pStyle w:val="Heading2"/>
      </w:pPr>
      <w:r>
        <w:rPr>
          <w:rFonts w:ascii="Calibri" w:hAnsi="Calibri"/>
          <w:color w:val="2E75B6"/>
        </w:rPr>
        <w:t>8.3 Organisme certificat belge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NBN (Bureau de Normalisation Belge) — www.nbn.be — organisme de référence pour les normes EN transposées en Belgique.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Les normes belges NBN EN sont directement transposées des EN européennes : peu d'écarts vs normes françaises NF EN.</w:t>
      </w:r>
    </w:p>
    <w:p>
      <w:pPr>
        <w:pStyle w:val="Heading2"/>
      </w:pPr>
      <w:r>
        <w:rPr>
          <w:rFonts w:ascii="Calibri" w:hAnsi="Calibri"/>
          <w:color w:val="2E75B6"/>
        </w:rPr>
        <w:t>8.4 Contraintes d'entrée et écarts vs France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Écarts normatifs vs France : faibles (normes EN harmonisées communes). Les produits déjà certifiés CE et NF pour la France sont en principe conformes pour le marché belge.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Particularité : marchés publics belges peuvent exiger des certifications spécifiques dans les cahiers des charges — à vérifier au cas par cas.</w:t>
      </w:r>
    </w:p>
    <w:p>
      <w:pPr>
        <w:pStyle w:val="ListBullet"/>
        <w:ind w:left="0"/>
      </w:pPr>
      <w:r>
        <w:rPr>
          <w:rFonts w:ascii="Calibri" w:hAnsi="Calibri"/>
          <w:sz w:val="20"/>
        </w:rPr>
        <w:t>Délais d'obtention : pas de certification belge spécifique identifiée → entrée de marché normative rapide si produits déjà certifiés CE/NF.</w:t>
      </w:r>
    </w:p>
    <w:p/>
    <w:p>
      <w:pPr>
        <w:pStyle w:val="Heading1"/>
      </w:pPr>
      <w:r>
        <w:rPr>
          <w:rFonts w:ascii="Calibri" w:hAnsi="Calibri"/>
          <w:color w:val="1F497D"/>
        </w:rPr>
        <w:t>PARTIE 9 — POINTS À REVÉRIFIER</w:t>
      </w:r>
    </w:p>
    <w:p>
      <w:r>
        <w:rPr>
          <w:rFonts w:ascii="Calibri" w:hAnsi="Calibri"/>
          <w:sz w:val="20"/>
        </w:rPr>
        <w:t>Données incertaines ou manquantes, à revalider par recherches complémentaires ou terrain :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Taille marché robinetterie BE : </w:t>
      </w:r>
      <w:r>
        <w:rPr>
          <w:rFonts w:ascii="Calibri" w:hAnsi="Calibri"/>
          <w:sz w:val="20"/>
        </w:rPr>
        <w:t>Estimation uniquement disponible par extrapolation FR. Vérifier via Xerfi, Markest Belgium, ou fédération professionnelle Techlink. Contact : techlink.be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Taille marché robinetterie collective/ERP BE : </w:t>
      </w:r>
      <w:r>
        <w:rPr>
          <w:rFonts w:ascii="Calibri" w:hAnsi="Calibri"/>
          <w:sz w:val="20"/>
        </w:rPr>
        <w:t>Aucune donnée trouvée. À obtenir via rapport sectoriel ou entretiens distributeurs. Contact : négoce plomberie (SIDER, STG/BME).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Parts de marché Delabie BE : </w:t>
      </w:r>
      <w:r>
        <w:rPr>
          <w:rFonts w:ascii="Calibri" w:hAnsi="Calibri"/>
          <w:sz w:val="20"/>
        </w:rPr>
        <w:t>Non disponibles publiquement. À estimer via entretiens terrain (distributeurs, installateurs). Indicateur : taille de la filiale Benelux (RCS/Trends.be).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Réputation Presto terrain en Belgique : </w:t>
      </w:r>
      <w:r>
        <w:rPr>
          <w:rFonts w:ascii="Calibri" w:hAnsi="Calibri"/>
          <w:sz w:val="20"/>
        </w:rPr>
        <w:t>À valider par entretiens installateurs et prescripteurs. Identifier les régions où Presto est le plus/moins connu.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Certification BENOR robinetterie : </w:t>
      </w:r>
      <w:r>
        <w:rPr>
          <w:rFonts w:ascii="Calibri" w:hAnsi="Calibri"/>
          <w:sz w:val="20"/>
        </w:rPr>
        <w:t>Vérifier auprès du NBN si une certification belge spécifique existe pour la robinetterie ERP et si elle est requise dans les marchés publics belges.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Poids BTP dans PIB belge : </w:t>
      </w:r>
      <w:r>
        <w:rPr>
          <w:rFonts w:ascii="Calibri" w:hAnsi="Calibri"/>
          <w:sz w:val="20"/>
        </w:rPr>
        <w:t>Donnée non trouvée en source fiable — à chercher via Statbel (statbel.fgov.be) ou Embuild (fédération construction BE).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Données segments ERP chiffrées : </w:t>
      </w:r>
      <w:r>
        <w:rPr>
          <w:rFonts w:ascii="Calibri" w:hAnsi="Calibri"/>
          <w:sz w:val="20"/>
        </w:rPr>
        <w:t>Parc hôpitaux, EHPAD, gymnases, piscines, prisons en Belgique — à compléter via SPF Santé publique, Statbel, Régie des Bâtiments.</w:t>
      </w:r>
    </w:p>
    <w:p>
      <w:pPr>
        <w:pStyle w:val="ListBullet"/>
        <w:ind w:left="0"/>
      </w:pPr>
      <w:r>
        <w:rPr>
          <w:rFonts w:ascii="Calibri" w:hAnsi="Calibri"/>
          <w:b/>
          <w:sz w:val="20"/>
        </w:rPr>
        <w:t xml:space="preserve">Distribution Presto Belgique actuelle : </w:t>
      </w:r>
      <w:r>
        <w:rPr>
          <w:rFonts w:ascii="Calibri" w:hAnsi="Calibri"/>
          <w:sz w:val="20"/>
        </w:rPr>
        <w:t>Identifier les distributeurs actuels, les régions couvertes, et les gaps réseau. À demander en interne.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