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MAB BELGIQUE — ÉTUDE DE MARCHÉ v5</w:t>
      </w:r>
    </w:p>
    <w:p>
      <w:pPr>
        <w:jc w:val="center"/>
      </w:pPr>
      <w:r>
        <w:rPr>
          <w:rFonts w:ascii="Calibri" w:hAnsi="Calibri"/>
          <w:sz w:val="24"/>
        </w:rPr>
        <w:t>Robinetterie sanitaire collective / ERP — Les Robinets Presto</w:t>
      </w:r>
    </w:p>
    <w:p>
      <w:pPr>
        <w:jc w:val="center"/>
      </w:pPr>
      <w:r>
        <w:rPr>
          <w:rFonts w:ascii="Calibri" w:hAnsi="Calibri"/>
          <w:i/>
          <w:sz w:val="20"/>
        </w:rPr>
        <w:t>Juin 2026</w:t>
      </w:r>
    </w:p>
    <w:p/>
    <w:p>
      <w:pPr>
        <w:pStyle w:val="Heading1"/>
      </w:pPr>
      <w:r>
        <w:rPr>
          <w:rFonts w:ascii="Calibri" w:hAnsi="Calibri"/>
          <w:color w:val="1F497D"/>
        </w:rPr>
        <w:t>RÉSUMÉ EXÉCUTIF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Marché ERP robinetterie Belgique estimé à 19–29 M€ (périmètre collectivités strict) / 42–55 M€ (élargi). Potentiel réel : marché premium, très formel, avec institutions UE/OTAN à Bruxelles générant une demande institutionnelle haut de gamme peu cyclique.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Construction en recul (-0,4% global 2025) mais pipeline ERP sécurisé : 438 M€ hôpitaux, 1 Md€ écoles, nouvelles prisons, logements sociaux — l'investissement public dans les ERP reste structuré malgré la crise du résidentiel neuf.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Delabie solidement implanté via sa filiale Benelux (Sint-Pieters-Leeuw) — concurrent direct et référence sur le segment collectif/ERP. Hansa est désormais une marque du groupe Delabie (acquisition 2021).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Top 3 segments prioritaires pour Presto : Santé/Hôpitaux (5/5 — pipeline pluriannuel sécurisé), Éducation (4/5 — 1 Md€ FWB + 3,2 Md€ Flandre), Pénitentiaire (4/5 — 5 nouvelles prisons, anti-vandalisme = niche sans concurrent dominant).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Certification BELGAQUA/HYDROCHECK obligatoire pour les marchés publics belges — prérequis à obtenir en priorité. Label BENOR volontaire mais souvent exigé dans les cahiers des charges publics. Entrée normative rapide si produits déjà certifiés CE/NF.</w:t>
      </w:r>
    </w:p>
    <w:p/>
    <w:p>
      <w:pPr>
        <w:pStyle w:val="Heading1"/>
      </w:pPr>
      <w:r>
        <w:rPr>
          <w:rFonts w:ascii="Calibri" w:hAnsi="Calibri"/>
          <w:color w:val="1F497D"/>
        </w:rPr>
        <w:t>PARTIE 1 — OVERVIEW CONTEXTE PAYS</w:t>
      </w:r>
    </w:p>
    <w:p>
      <w:pPr>
        <w:pStyle w:val="Heading2"/>
      </w:pPr>
      <w:r>
        <w:rPr>
          <w:rFonts w:ascii="Calibri" w:hAnsi="Calibri"/>
          <w:color w:val="2E75B6"/>
        </w:rPr>
        <w:t>1.1 Analyse PESTEL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POLITIQUE : </w:t>
      </w:r>
      <w:r>
        <w:rPr>
          <w:rFonts w:ascii="Calibri" w:hAnsi="Calibri"/>
          <w:b w:val="0"/>
          <w:i w:val="0"/>
          <w:sz w:val="20"/>
        </w:rPr>
        <w:t>État fédéral à 3 régions (Flandre, Wallonie, Bruxelles) — complexité réglementaire majeure. Gouvernement Arizona (De Wever) formé jan. 2025 : N-VA, CD&amp;V, Vooruit, MR, Les Engagés. Procédure déficit excessif UE — capacité d'investissement public encadrée.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ÉCONOMIQUE : </w:t>
      </w:r>
      <w:r>
        <w:rPr>
          <w:rFonts w:ascii="Calibri" w:hAnsi="Calibri"/>
          <w:b w:val="0"/>
          <w:i w:val="0"/>
          <w:sz w:val="20"/>
        </w:rPr>
        <w:t>PIB ~642 Md€ en 2025. PIB/hab : 44 000–47 000 USD (FMI 2024). Croissance +1,0% (2025), +1,1% (2026). Déficit public : -5% du PIB. Faillites en hausse (+10% entreprises sur niveaux pré-COVID). Économie très tertiaire (services ~80% PIB). (SPF Économie / Coface 2025)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SOCIAL : </w:t>
      </w:r>
      <w:r>
        <w:rPr>
          <w:rFonts w:ascii="Calibri" w:hAnsi="Calibri"/>
          <w:b w:val="0"/>
          <w:i w:val="0"/>
          <w:sz w:val="20"/>
        </w:rPr>
        <w:t>11 825 551 habitants (Statbel, jan. 2025). Urbanisation : 99%. Vieillissement populationnel → pression ERP santé. Multilinguisme (néerlandais 60%, français 40%) = complexité commerciale. Chômage : 3,8% Flandre / 8% Wallonie / 12,3% Bruxelles (2024).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TECHNOLOGIQUE : </w:t>
      </w:r>
      <w:r>
        <w:rPr>
          <w:rFonts w:ascii="Calibri" w:hAnsi="Calibri"/>
          <w:b w:val="0"/>
          <w:i w:val="0"/>
          <w:sz w:val="20"/>
        </w:rPr>
        <w:t>IDI numérique 89,8/100 (ITU 2025, 20e rang mondial). Forte adoption BIM, drones, préfabrication. E-commerce B2C dépasse 25% des dépenses (17,4 Md€ de transactions, 2024). Exigences PEB moteur d'innovation produit.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ENVIRONNEMENTAL : </w:t>
      </w:r>
      <w:r>
        <w:rPr>
          <w:rFonts w:ascii="Calibri" w:hAnsi="Calibri"/>
          <w:b w:val="0"/>
          <w:i w:val="0"/>
          <w:sz w:val="20"/>
        </w:rPr>
        <w:t>Plan national énergie-climat 2021-2030. CSRD applicable depuis 2025. 80% du parc immobilier à rénover (Embuild). 350 Md€ d'investissement nécessaire (Banque Nationale). ETS2 (2028) : +250–400€/an pour ménages fossiles. Forte demande produits hydro-économes = avantage Presto.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LÉGAL : </w:t>
      </w:r>
      <w:r>
        <w:rPr>
          <w:rFonts w:ascii="Calibri" w:hAnsi="Calibri"/>
          <w:b w:val="0"/>
          <w:i w:val="0"/>
          <w:sz w:val="20"/>
        </w:rPr>
        <w:t>Cadre EU harmonisé (NBN EN). Marchés publics réglementés (seuils UE). 3 régions = 3 législations bâtiment distinctes. BELGAQUA/HYDROCHECK = certification eau potable obligatoire pour les marchés publics (compétence régionale). BENOR = label qualité volontaire mais souvent exigé contractuellement.</w:t>
      </w:r>
    </w:p>
    <w:p/>
    <w:p>
      <w:pPr>
        <w:pStyle w:val="Heading2"/>
      </w:pPr>
      <w:r>
        <w:rPr>
          <w:rFonts w:ascii="Calibri" w:hAnsi="Calibri"/>
          <w:color w:val="2E75B6"/>
        </w:rPr>
        <w:t>1.2 Indicateurs socio-économiques clés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Indicateur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Valeur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Source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PIB total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~642 Md€ (2025)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Trésor FR / NBB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PIB/habitant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44 000–47 000 USD (2024)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FMI / SPF Économie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Population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11 825 551 (jan. 2025)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Statbel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Urbanisation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99%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BRG / Worldometer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Croissance PIB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+1,0% (2025) / +1,1% (2026 est.)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FMI / NBB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Inflation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3,0% (2025) → 3,4% (2026 est.)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Commission européenne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Chômage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~5,5% national (Flandre 3,8% / Wallonie 8%)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Statbel 2024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Déficit public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-5% du PIB (2025)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Coface / CE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R&amp;D / PIB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3,4% — 2ème rang UE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Eurostat / UNESCO 2024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IDI numérique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89,8/100 (rang 20 mondial)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ITU 2025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</w:rPr>
        <w:t>1.3 Relations commerciales France-Belgique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Volume échanges bilatéraux : 89,4 Md€ en 2025 (-8,5% vs 2024). Exportations FR→BE : 44,9 Md€ / Importations BE→FR : 44,5 Md€. (Direction du Trésor, 2025)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Belgique = 6ème partenaire commercial de la France (2ème client et 3ème fournisseur vu de Belgique).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Stock IDE français en Belgique : 126 Md€ — France = 1er investisseur étranger en Belgique (BNB). 2 600 filiales françaises, 170 000 salariés, 78 Md€ de CA consolidé.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Proximité culturelle forte côté wallon/bruxellois (francophone, droit français partagé). Côté flamand : sensibilité produit germanique dominante → approche différenciée indispensable.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Barrières entrée pour Presto : multilinguisme (documentation FR+NL), certification BELGAQUA à obtenir, marchés publics fédéraux bilingues.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Avantages origine française : image premium, logistique rapide depuis FR, présence commerciale existante Presto, documentation FR disponible pour Wallonie-Bruxelles.</w:t>
      </w:r>
    </w:p>
    <w:p/>
    <w:p>
      <w:pPr>
        <w:pStyle w:val="Heading2"/>
      </w:pPr>
      <w:r>
        <w:rPr>
          <w:rFonts w:ascii="Calibri" w:hAnsi="Calibri"/>
          <w:color w:val="2E75B6"/>
        </w:rPr>
        <w:t>1.4 Tendances d'investissement — Programmes clés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Programme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But global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Secteur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Budget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Calendrier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Opportunité Presto (types produits)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Hôpitaux universitaires FWB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Modernisation et extension des CHU wallons et bruxellois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Santé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438 M€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2024-2028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Robinetterie temporisée hospitalière, anti-brûlure, PMR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Santé mentale Z.org (BEI 120M€)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Rénovation et création d'unités psychiatriques modernes en Flandre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Santé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270 M€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2026-2040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Robinetterie anti-arrachement, temporisateurs encastrés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Bâtiments scolaires FWB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Rénovation énergétique et accessibilité du parc scolaire wallon et bruxellois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Éducation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1 Md€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2023-2028+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Robinetterie temporisée push-button, électronique sans contact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Programme DBSO (Flandre)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Construction et rénovation de centaines d'établissements scolaires flamands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Éducation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3,2 Md€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Pluriannuel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Robinetterie temporisée, économiseurs d'eau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Logements sociaux Flandre (BEI)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Rénovation du parc social flamand aux standards énergétiques contemporains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Logement social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1,7 Md€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→2042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Robinetterie collective, économiseurs de débit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Logements sociaux Wallonie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Rénovation et construction de logements sociaux en Wallonie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Logement social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1,2 Md€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→2030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Robinetterie collective, économiseurs d'eau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Plan prisons (5 nouvelles)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Désengorgement du système carcéral belge par construction de nouvelles prisons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Pénitentiaire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500+ M€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2025-2030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Robinetterie inox anti-vandalisme, encastrée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Complexe sportif + piscine Bruxelles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Création d'un pôle sportif public de proximité dans la région bruxelloise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Sport &amp; loisirs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nd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2025-2027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Robinetterie temporisée douche, push-button piscine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Infrasports Wallonie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Subvention annuelle aux communes pour équipements sportifs collectifs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Sport &amp; loisirs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nd (annuel)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Récurrent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Équipements piscines, gymnases, temporisateurs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BEI Belgique 2025 (total)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Financement de la transition verte et des infrastructures sociales belges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Multi-secteurs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2,6 Md€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2025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Infrastructure sociale, transition verte — tous types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F497D"/>
        </w:rPr>
        <w:t>PARTIE 2 — MARCHÉ DE LA CONSTRUCTION</w:t>
      </w:r>
    </w:p>
    <w:p>
      <w:pPr>
        <w:pStyle w:val="Heading2"/>
      </w:pPr>
      <w:r>
        <w:rPr>
          <w:rFonts w:ascii="Calibri" w:hAnsi="Calibri"/>
          <w:color w:val="2E75B6"/>
        </w:rPr>
        <w:t>2.1 État et taille du marché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Marché construction belge : 32,3 Md€ en 2025, CAGR 2,9% prévu 2025-2029 (ConsTrack360 / Research And Markets). PIB sectoriel : 7,1 Md€ au T4 2025, retombé à 5,9 Md€ au T1 2026 (Trading Economics).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2025 : +0,45% de volume sur 11 mois — reprise timide dans un contexte de record historique de faillites (ING, déc. 2025).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Faillites : 2 600+ entreprises de construction en 2024, +17% vs 2023 (Allianz Trade). Taux défaillance ~10% au-dessus des niveaux pré-pandémie (Coface 2025).</w:t>
      </w:r>
    </w:p>
    <w:p>
      <w:pPr>
        <w:pStyle w:val="Heading2"/>
      </w:pPr>
      <w:r>
        <w:rPr>
          <w:rFonts w:ascii="Calibri" w:hAnsi="Calibri"/>
          <w:color w:val="2E75B6"/>
        </w:rPr>
        <w:t>2.2 Dynamique Neuf vs Rénovation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Segment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Poids estimé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Dynamique 2025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Source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Neuf résidentiel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~25% du total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-5,5% (2025)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Embuild 2025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Rénovation résidentielle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~45% du total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+2,5%/an tendanciel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KBC / EUROCONSTRUCT 2020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Non-résidentiel (neuf + rénov.)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~20% du total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+1,5% (neuf) / stable (rénov.)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Techlink / ING 2025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Génie civil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~10% du total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-2,2% (2025) après +4,4% (2024)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Embuild / ING 2025</w:t>
            </w:r>
          </w:p>
        </w:tc>
      </w:tr>
    </w:tbl>
    <w:p>
      <w:r>
        <w:rPr>
          <w:rFonts w:ascii="Calibri" w:hAnsi="Calibri"/>
          <w:b w:val="0"/>
          <w:i/>
          <w:color w:val="C05020"/>
          <w:sz w:val="18"/>
        </w:rPr>
        <w:t>⚠ Estimation — répartition neuf/réno basée sur EUROCONSTRUCT 2020 et sources sectorielles 2024-2025 — à confirmer.</w:t>
      </w:r>
    </w:p>
    <w:p/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Neuf résidentiel : permis -14% en 2024 (-31% à Bruxelles). Demande structurellement sous-servie en appartements compacts.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Rénovation énergétique : 80% du parc à rénover (Embuild). Rythme actuel doit être ×3 à ×4. Investissement nécessaire : 350 Md€ (BNB). Moteur : taxe carbone ETS2 dès 2028.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Génie civil : seul segment performant 2023-2024 (+4-5%/an), en décélération en 2025.</w:t>
      </w:r>
    </w:p>
    <w:p>
      <w:pPr>
        <w:pStyle w:val="Heading2"/>
      </w:pPr>
      <w:r>
        <w:rPr>
          <w:rFonts w:ascii="Calibri" w:hAnsi="Calibri"/>
          <w:color w:val="2E75B6"/>
        </w:rPr>
        <w:t>2.3 Perspectives 2026-2030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ING : +0,7% en 2026, +0,8% en 2027 (construction totale). Bâtiments : +0,2% / +0,5% (reprise lente). ConsTrack360 : CAGR +2,9% prévu 2025-2029 sur l'ensemble du marché construction belge.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GlobalData / Research And Markets : +1,6% en 2026 — tirée par énergie, infrastructures électriques et projets commerciaux.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Tendances structurelles : bâtiments durables (PEB/EPBD), BIM/préfabrication, rénovation/circularité. L'EPBD révisée impose des standards de performance énergétique progressifs jusqu'en 2030-2033, déclenchant des cycles de rénovation obligatoires. (Allianz Trade / Commission européenne)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Logement social : 2,9 Md€ engagés (1,7 Md€ Flandre BEI + 1,2 Md€ Wallonie SWL) → flux de rénovation sécurisé pour la robinetterie collective sur 2025-2042. Signal de stabilité contra-cyclique.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Risques modérateurs : mesures de rigueur gouvernement Arizona (jan. 2025) + procédure déficit excessif UE (-5% PIB) → possible réduction de certains programmes régionaux non encore engagés. Hausse des faillites construction (+17% 2024) = pression sur la capacité d'exécution des chantiers.</w:t>
      </w:r>
    </w:p>
    <w:p/>
    <w:p>
      <w:pPr>
        <w:pStyle w:val="Heading1"/>
      </w:pPr>
      <w:r>
        <w:rPr>
          <w:rFonts w:ascii="Calibri" w:hAnsi="Calibri"/>
          <w:color w:val="1F497D"/>
        </w:rPr>
        <w:t>PARTIE 3 — CONSTRUCTION NON-RÉSIDENTIELLE</w:t>
      </w:r>
    </w:p>
    <w:p>
      <w:pPr>
        <w:pStyle w:val="Heading2"/>
      </w:pPr>
      <w:r>
        <w:rPr>
          <w:rFonts w:ascii="Calibri" w:hAnsi="Calibri"/>
          <w:color w:val="2E75B6"/>
        </w:rPr>
        <w:t>3.1 État actuel et dynamique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Seul grand segment positif en 2024 : non-résidentiel neuf +1,4% (bureaux, industrie, bâtiments publics). Rénovation non-résidentielle : -2,1% en 2024 mais autorisations accordées +8,7% (signal positif à 12-18 mois). (Techlink / ING 2024-2025)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Perspectives 2025 : +1,5% attendu pour le neuf non-résidentiel (ING, 2025). Soutien par projets publics (santé, éducation) et rénovations énergétiques.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[DONNÉE NON DISPONIBLE — part exacte du non-résidentiel dans la construction totale belge en valeur € — à sourcer via Statbel / Embuild]</w:t>
      </w:r>
    </w:p>
    <w:p>
      <w:pPr>
        <w:pStyle w:val="Heading2"/>
      </w:pPr>
      <w:r>
        <w:rPr>
          <w:rFonts w:ascii="Calibri" w:hAnsi="Calibri"/>
          <w:color w:val="2E75B6"/>
        </w:rPr>
        <w:t>3.2 Dynamique Neuf vs Rénovation — non-résidentiel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Sous-segment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Dynamique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Remarque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Bureaux/commerces (neuf)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+1,4% (2024)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Regain post-COVID; niche UE/OTAN Bruxelles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Bâtiments industriels/logistique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Croissance continue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Relocalisation industrie, e-commerce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Projets publics santé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Pipeline sécurisé 2024-2030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Voir Partie 1.4 — 438 M€ hôpitaux univ.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Projets publics éducation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Pipeline sécurisé 2023-2028+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 Md€ FWB, 3,2 Md€ Flandre (DBSO)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Rénovation non-résidentielle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-2,1% (2024) mais rebond en cours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Autorisations +8,7% — signal positif</w:t>
            </w:r>
          </w:p>
        </w:tc>
      </w:tr>
    </w:tbl>
    <w:p>
      <w:r>
        <w:rPr>
          <w:rFonts w:ascii="Calibri" w:hAnsi="Calibri"/>
          <w:b w:val="0"/>
          <w:i/>
          <w:color w:val="C05020"/>
          <w:sz w:val="18"/>
        </w:rPr>
        <w:t>⚠ Estimation dynamique neuf/rénov. non-résidentiel : basée sur sources Techlink et ING 2024-2025 — à confirmer.</w:t>
      </w:r>
    </w:p>
    <w:p/>
    <w:p>
      <w:pPr>
        <w:pStyle w:val="Heading2"/>
      </w:pPr>
      <w:r>
        <w:rPr>
          <w:rFonts w:ascii="Calibri" w:hAnsi="Calibri"/>
          <w:color w:val="2E75B6"/>
        </w:rPr>
        <w:t>3.3 Segments dominants du non-résidentiel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Santé et éducation : segments publics planifiés, pipelines multi-annuels engagés et visibles (cf. Partie 1.4). Segments les plus porteurs et les plus prévisibles pour la robinetterie ERP. Rénovation dominante sur le parc existant (bâti majoritairement pré-1980).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Bureaux et tertiaire : reprise post-COVID (+1,4% 2024). Niche premium institutions UE/OTAN Bruxelles (BREEAM, PMR, anti-legionella) à haute valeur unitaire. Demande peu cyclique sur le segment institutionnel.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Logistique et industrie légère : en expansion continue. E-commerce, pharma/biotech, relocalisation industrielle. Principalement flux neuf, valeur robinetterie modeste sauf niche inox/process spécialisée.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Pénitentiaire : segment hors-cycle économique — construit sur décision politique (surpopulation carcérale critique). Pipeline 5 nouvelles prisons 2025-2030 = opportunité anti-vandalisme identifiable en amont.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[DONNÉE NON DISPONIBLE — part exacte de chaque sous-segment en % et valeur € du marché non-résidentiel total belge — à sourcer via Embuild (embuild.be) ou Statbel]</w:t>
      </w:r>
    </w:p>
    <w:p>
      <w:pPr>
        <w:pStyle w:val="Heading2"/>
      </w:pPr>
      <w:r>
        <w:rPr>
          <w:rFonts w:ascii="Calibri" w:hAnsi="Calibri"/>
          <w:color w:val="2E75B6"/>
        </w:rPr>
        <w:t>3.4 Perspectives 2025-2030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Non-résidentiel neuf : +1,5% attendu 2025 (ING), tiré par les projets santé, éducation et repositionnement logistique. Moteur principal : pipelines publics engagés (Partie 1.4) qui représentent plusieurs milliards € d'investissements certains.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Rénovation non-résidentielle : signal de rebond — autorisations +8,7% en 2024 (Techlink/ING 2025), impact attendu sur les marchés de robinetterie ERP à horizon 12-18 mois (2025-2026).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EPBD révisée (Energy Performance of Buildings Directive) : obligation de rénovation progressive du parc non-résidentiel public vers 2028-2033 — driver structurel majeur pour la robinetterie économe en eau certifiée (PLAGE/UREBA en Belgique). Les bâtiments publics sont prioritaires.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Risques : contexte de rigueur budgétaire Arizona + procédure déficit excessif UE → possible ralentissement de programmes régionaux non encore contractualisés. Effets modérés sur pipelines déjà engagés par convention. Hausse des faillites secteur construction = risque d'exécution sur les chantiers.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Perspectives CAGR non-résidentiel Belgique : +1,5–2,0%/an estimé (2025-2029), en ligne avec la dynamique construction totale ConsTrack360 (+2,9% CAGR) mais avec une croissance légèrement inférieure en raison du poids de la rénovation résidentielle. Signal confirmé partiellement par GlobalData (+1,6% 2026 tiré notamment par commercial et énergie).</w:t>
      </w:r>
    </w:p>
    <w:p>
      <w:r>
        <w:rPr>
          <w:rFonts w:ascii="Calibri" w:hAnsi="Calibri"/>
          <w:b w:val="0"/>
          <w:i/>
          <w:color w:val="C05020"/>
          <w:sz w:val="18"/>
        </w:rPr>
        <w:t>⚠ Estimation perspectives 3.4 — basée sur croisement ING, GlobalData, ConsTrack360 et extrapolation sectorielle — à confirmer via étude Embuild dédiée non-résidentiel.</w:t>
      </w:r>
    </w:p>
    <w:p/>
    <w:p>
      <w:pPr>
        <w:pStyle w:val="Heading1"/>
      </w:pPr>
      <w:r>
        <w:rPr>
          <w:rFonts w:ascii="Calibri" w:hAnsi="Calibri"/>
          <w:color w:val="1F497D"/>
        </w:rPr>
        <w:t>PARTIE 4 — POIDS DES SEGMENTS ERP</w:t>
      </w:r>
    </w:p>
    <w:p>
      <w:pPr>
        <w:pStyle w:val="Heading2"/>
      </w:pPr>
      <w:r>
        <w:rPr>
          <w:rFonts w:ascii="Calibri" w:hAnsi="Calibri"/>
          <w:color w:val="2E75B6"/>
        </w:rPr>
        <w:t>4.0 Contexte général et synthèse ERP Belgique</w:t>
      </w:r>
    </w:p>
    <w:p>
      <w:r>
        <w:rPr>
          <w:rFonts w:ascii="Calibri" w:hAnsi="Calibri"/>
          <w:b w:val="0"/>
          <w:i w:val="0"/>
          <w:sz w:val="20"/>
        </w:rPr>
        <w:t>La Belgique dispose d'un parc ERP dense et mature, fortement influencé par trois dynamiques structurelles :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Vieillissement du bâti : 66% du bâti flamand construit avant 1981 (KBC) ; 78% en Wallonie, 93% à Bruxelles. Pression rénovation massive.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Concentration à Bruxelles : capitale UE/OTAN, sièges d'entreprises multinationales = demande ERP institutionnelle haut de gamme, peu sensible aux cycles économiques.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Tripartition régionale : 3 législations distinctes (Flandre, Wallonie, Bruxelles) → approches commerciales et réglementaires différenciées impératives.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Segment ERP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Score Presto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Taille/Signal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Priorité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4.2 Santé / Hôpitaux / EHPAD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5/5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438 M€ pipeline sécurisé 2024-2028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PRIORITÉ ABSOLUE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4.1 Éducation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4/5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1 Md€ FWB + 3,2 Md€ Flandre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PRIORITÉ ABSOLUE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4.8 Pénitentiaire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4/5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5 nouvelles prisons 2025-2030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NICHE STRATÉGIQUE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4.5 CHR / Hôtels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3/5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10M+ touristes/an, montée en gamme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SECONDAIRE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4.7 Sport &amp; Loisirs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3/5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Plans piscines actifs (PLAGE, Infrasports)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SECONDAIRE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4.3 Tertiaire / Bureaux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3/5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Reprise +1,4% 2024; BREEAM UE/OTAN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SECONDAIRE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4.4 Industrie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2/5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Niche inox spécialisée, faible volume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OPPORTUNISTE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4.11 Transports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2/5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SNCB + aéroports — cycles longs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OPPORTUNISTE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4.6 HPA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1/5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Quasi-inexistant (climat)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NON PRIORITAIRE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4.9 Culturel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1/5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Dispersé, non programmé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NON PRIORITAIRE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4.10 Lieux de culte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1/5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Résiduel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NON PRIORITAIRE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</w:rPr>
        <w:t>4.1 Éducation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FWB : 1 Md€ de subventions rénovation bâtiments scolaires 2023-2028 (1er appel 300 M€, 2ème appel 200 M€ nov. 2023). Priorités : PEB, accessibilité PMR, connectivité.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Flandre : programme DBSO (Bâtiments scolaires de demain) — 3,2 Md€ engagés ; 'Scholen van Morgen' suivi : centaines d'établissements rénovés/construits.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Résidences étudiantes : projet Sart-Tilman (ULiège) — 407 chambres, livraison fin 2025. Appel à projets Wallonie logements étudiants publics en cours.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[DONNÉE NON DISPONIBLE — nombre total d'établissements scolaires BE, volume marché robinetterie éducation/an]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Neuf : nouvelles constructions scolaires en hausse (Scholen van Morgen) après 3 ans de baisse. Rénovation : dominante (parc ancien, EPB impératif).</w:t>
      </w:r>
    </w:p>
    <w:p>
      <w:pPr>
        <w:pStyle w:val="Heading2"/>
      </w:pPr>
      <w:r>
        <w:rPr>
          <w:rFonts w:ascii="Calibri" w:hAnsi="Calibri"/>
          <w:color w:val="2E75B6"/>
        </w:rPr>
        <w:t>4.2 Santé / Hôpitaux / EHPAD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Hôpitaux universitaires FWB : plan 438 M€ 2024-2028 — CHU Liège 160 M€, Saint-Luc 171 M€, Erasme 55 M€, Mont-Godinne 37 M€. Mixte rénovation + extension (VB 2024).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Santé mentale : Z.org KU Leuven/Kortenberg — programme 270 M€ jusqu'à 2040 (dont 120 M€ BEI). Rénovation + nouvelles unités spécialisées.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EHPAD / Maisons de retraite : vieillissement de la population belge → pression croissante. [DONNÉE NON DISPONIBLE — parc total EHPAD BE, taux rénovation, volume investissement]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Neuf : nouveaux hôpitaux en construction (programme 'Réseau Hospitalier'); rénovation : majoritaire sur parc existant (40% bâti pré-1980).</w:t>
      </w:r>
    </w:p>
    <w:p>
      <w:pPr>
        <w:pStyle w:val="Heading2"/>
      </w:pPr>
      <w:r>
        <w:rPr>
          <w:rFonts w:ascii="Calibri" w:hAnsi="Calibri"/>
          <w:color w:val="2E75B6"/>
        </w:rPr>
        <w:t>4.3 Bâtiments tertiaires (Bureaux / Cantines)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Seul segment non-résidentiel en croissance nette 2024 (+1,4%). Bureaux et cantines d'entreprises en regain post-COVID.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Niche premium : sièges institutions UE/OTAN à Bruxelles — cahiers des charges BREEAM, PMR, anti-legionella, anti-brûlure. Segment à forte valeur unitaire.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[DONNÉE NON DISPONIBLE — volume marché bureau neuf/rénové en valeur]</w:t>
      </w:r>
    </w:p>
    <w:p>
      <w:pPr>
        <w:pStyle w:val="Heading2"/>
      </w:pPr>
      <w:r>
        <w:rPr>
          <w:rFonts w:ascii="Calibri" w:hAnsi="Calibri"/>
          <w:color w:val="2E75B6"/>
        </w:rPr>
        <w:t>4.4 Bâtiments industriels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En hausse en 2024. Logistique, industrie légère et pharma/biotech (ECI 1,07 BE) moteurs principaux. Niche inox spécialisée (salles blanches, process).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[DONNÉE NON DISPONIBLE — données chiffrées robinetterie industrie BE]</w:t>
      </w:r>
    </w:p>
    <w:p>
      <w:pPr>
        <w:pStyle w:val="Heading2"/>
      </w:pPr>
      <w:r>
        <w:rPr>
          <w:rFonts w:ascii="Calibri" w:hAnsi="Calibri"/>
          <w:color w:val="2E75B6"/>
        </w:rPr>
        <w:t>4.5 CHR — Cafés, Hôtels, Restaurants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10 millions de visiteurs à Bruxelles en 2024 (Visit Brussels). Tendance à la montée en gamme (4-5 étoiles), wellness, piscines privées (Forbes Belgique 2024).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Rénovation dominante : hôtels Bruxelles et Anvers requalifient leur offre sanitaire (thermostatiques, design, économiseurs d'eau).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[DONNÉE NON DISPONIBLE — nombre d'hôtels BE par étoile, volume investissement CHR robinetterie]</w:t>
      </w:r>
    </w:p>
    <w:p>
      <w:pPr>
        <w:pStyle w:val="Heading2"/>
      </w:pPr>
      <w:r>
        <w:rPr>
          <w:rFonts w:ascii="Calibri" w:hAnsi="Calibri"/>
          <w:color w:val="2E75B6"/>
        </w:rPr>
        <w:t>4.6 HPA — Hôtellerie Plein Air, Campings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Marché quasi-inexistant comparé à la France : climat tempéré belgique, forte densité urbaine, moindre culture camping longue durée.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Wallonie : extension incitations piscines communautaires votée déc. 2025. Quelques opportunités en piscines de plein air municipales.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Potentiel Presto : très limité — non à prioriser.</w:t>
      </w:r>
    </w:p>
    <w:p>
      <w:pPr>
        <w:pStyle w:val="Heading2"/>
      </w:pPr>
      <w:r>
        <w:rPr>
          <w:rFonts w:ascii="Calibri" w:hAnsi="Calibri"/>
          <w:color w:val="2E75B6"/>
        </w:rPr>
        <w:t>4.7 Centres Sport &amp; Loisirs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Programme Infrasports Wallonie : subventions annuelles communes pour équipements sportifs. Infrasports Bruxelles : 43 M€ alloués (piscines, gymnases).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Projet phare : nouveau complexe sportif péri-bruxellois — piscine olympique + récréative + wellness (début travaux 2025, L'Avenir 2024).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Parc piscines couvertes belge vieillissant — obligation EPBD de rénovation = déclencheur robinetterie économe en eau.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[DONNÉE NON DISPONIBLE — nombre de gymnases et piscines couvertes BE, volume marché]</w:t>
      </w:r>
    </w:p>
    <w:p>
      <w:pPr>
        <w:pStyle w:val="Heading2"/>
      </w:pPr>
      <w:r>
        <w:rPr>
          <w:rFonts w:ascii="Calibri" w:hAnsi="Calibri"/>
          <w:color w:val="2E75B6"/>
        </w:rPr>
        <w:t>4.8 Établissements à sécurité renforcée — Pénitentiaire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Surpopulation carcérale critique : 13 397 détenus pour 10 795 places (taux 124%), 614 au sol (Prison Insider, déc. 2025).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Plan d'action fédéral juillet 2025 : maintien prisons existantes + unités modulaires préfabriquées + nouvelles constructions 'technologies avancées'.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Pipeline actif : Prison Anvers livrée début 2025 (440 détenus, Jan De Nul). Prison Vresse-sur-Semois : 171 M€ (Wallonie, ~2030). 3 autres prisons planifiées à horizon 2030.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Segment anti-vandalisme = cœur de gamme Presto (inox, encastrés) — concurrence Delabie mais opportunité réelle sur prix public.</w:t>
      </w:r>
    </w:p>
    <w:p>
      <w:pPr>
        <w:pStyle w:val="Heading2"/>
      </w:pPr>
      <w:r>
        <w:rPr>
          <w:rFonts w:ascii="Calibri" w:hAnsi="Calibri"/>
          <w:color w:val="2E75B6"/>
        </w:rPr>
        <w:t>4.9 Bâtiments culturels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Projets municipaux dispersés (salles de concert, musées). [DONNÉE NON DISPONIBLE — données sectorielles BE, volumes investissement]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Signal notable : projets médias belges (VRT, RTBF Media Park) ~500 M€ de travaux 2019-2022 — segment terminé.</w:t>
      </w:r>
    </w:p>
    <w:p>
      <w:pPr>
        <w:pStyle w:val="Heading2"/>
      </w:pPr>
      <w:r>
        <w:rPr>
          <w:rFonts w:ascii="Calibri" w:hAnsi="Calibri"/>
          <w:color w:val="2E75B6"/>
        </w:rPr>
        <w:t>4.10 Lieux de culte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Marché résiduel. Entretien ponctuel des bâtiments existants. Non prioritaire pour une approche commerciale structurée Presto.</w:t>
      </w:r>
    </w:p>
    <w:p>
      <w:pPr>
        <w:pStyle w:val="Heading2"/>
      </w:pPr>
      <w:r>
        <w:rPr>
          <w:rFonts w:ascii="Calibri" w:hAnsi="Calibri"/>
          <w:color w:val="2E75B6"/>
        </w:rPr>
        <w:t>4.11 Transports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SNCB en modernisation (gares, trains). Brussels Airport + Charleroi Airport : projets de rénovation en cours. Chaîne de prescription longue (18-36 mois), certifications spécifiques.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[DONNÉE NON DISPONIBLE — volumes investissement infra transport BE, part robinetterie]</w:t>
      </w:r>
    </w:p>
    <w:p>
      <w:pPr>
        <w:pStyle w:val="Heading2"/>
      </w:pPr>
      <w:r>
        <w:rPr>
          <w:rFonts w:ascii="Calibri" w:hAnsi="Calibri"/>
          <w:color w:val="2E75B6"/>
        </w:rPr>
        <w:t>4.12 Opportunités Presto par segment — Synthèse</w:t>
      </w:r>
    </w:p>
    <w:p>
      <w:r>
        <w:rPr>
          <w:rFonts w:ascii="Calibri" w:hAnsi="Calibri"/>
          <w:b w:val="0"/>
          <w:i/>
          <w:color w:val="C05020"/>
          <w:sz w:val="18"/>
        </w:rPr>
        <w:t>⚠ Classement par potentiel décroissant. Score 1 (très faible) à 5 (très fort).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Segment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Score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Produits Presto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Arguments clés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Canal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4.2 Santé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5/5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Robinetterie temporisée hospitalière, anti-brûlure, PMR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Hygiène, BELGAQUA, normes hospitalières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BET santé + distributeurs spécialisés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4.1 Éducation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4/5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Temporisateurs push-button, électroniques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Économie eau PLAGE/UREBA, robustesse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AO publics, négoce pro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4.8 Pénitentiaire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4/5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Inox anti-vandalisme, encastrés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Indestructibilité, zéro entretien, anti-arrachement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Régie des Bâtiments, prescription directe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4.5 CHR / Hôtels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3/5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Thermostatiques, design, économiseurs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Montée en gamme, durabilité, pression constante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Distributeurs CHR, architectes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4.7 Sport &amp; Loisirs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3/5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Temporisateurs douche, push-button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Économie eau, hygiène, PMR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Collectivités locales, BET sport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4.3 Tertiaire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3/5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Temporisateurs, électroniques sans contact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BREEAM, UE/OTAN niche premium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Architectes, BET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4.11 Transports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2/5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Encastrés, anti-vandalisme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Résistance, entretien minimal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BET infra SNCB/BSCA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4.4 Industrie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2/5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Inox, temporisateurs process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Résistance corrosion, hygiène pharma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BET process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4.6 HPA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1/5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Marché quasi-inexistant BE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—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4.9 Culturel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1/5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Ponctuel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Projets municipaux dispersés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—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4.10 Culte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1/5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Résiduel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Non prioritaire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—</w:t>
            </w:r>
          </w:p>
        </w:tc>
      </w:tr>
    </w:tbl>
    <w:p/>
    <w:p>
      <w:r>
        <w:rPr>
          <w:rFonts w:ascii="Calibri" w:hAnsi="Calibri"/>
          <w:b w:val="0"/>
          <w:i w:val="0"/>
          <w:sz w:val="20"/>
        </w:rPr>
        <w:t>Priorités absolues : Santé (5/5) · Éducation (4/5) · Pénitentiaire (4/5). Certification BELGAQUA = prérequis marché public belge.</w:t>
      </w:r>
    </w:p>
    <w:p/>
    <w:p>
      <w:pPr>
        <w:pStyle w:val="Heading1"/>
      </w:pPr>
      <w:r>
        <w:rPr>
          <w:rFonts w:ascii="Calibri" w:hAnsi="Calibri"/>
          <w:color w:val="1F497D"/>
        </w:rPr>
        <w:t>PARTIE 5 — TAILLE MARCHÉ : ROBINETTERIE GÉNÉRALE</w:t>
      </w:r>
    </w:p>
    <w:p>
      <w:pPr>
        <w:pStyle w:val="Heading2"/>
      </w:pPr>
      <w:r>
        <w:rPr>
          <w:rFonts w:ascii="Calibri" w:hAnsi="Calibri"/>
          <w:color w:val="2E75B6"/>
        </w:rPr>
        <w:t>5.1 Taille et valeur — Double estimation</w:t>
      </w:r>
    </w:p>
    <w:p>
      <w:r>
        <w:rPr>
          <w:rFonts w:ascii="Calibri" w:hAnsi="Calibri"/>
          <w:b w:val="0"/>
          <w:i/>
          <w:color w:val="C05020"/>
          <w:sz w:val="18"/>
        </w:rPr>
        <w:t>⚠ Aucune source publique ne recense la taille exacte du marché belge de la robinetterie. Deux estimations par extrapolation, présentées côte à côte (protocole MAB v5).</w:t>
      </w:r>
    </w:p>
    <w:p>
      <w:pPr>
        <w:pStyle w:val="Heading2"/>
      </w:pPr>
      <w:r>
        <w:rPr>
          <w:rFonts w:ascii="Calibri" w:hAnsi="Calibri"/>
          <w:color w:val="2E75B6"/>
        </w:rPr>
        <w:t>Constantes de référence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Variable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Valeur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Source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PIB/hab France 2025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48 982 USD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Worldometer (constante MAB)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Population France 2025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69,1 M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Worldometer (constante MAB)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PIB/hab Belgique 2024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~46 000 USD (midpoint 44–47k)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FMI / SPF Économie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Population Belgique 2025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11,825 M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Statbel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Coefficient X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(46 000 / 48 982) × (11,825 / 69,1) = 0,939 × 0,171 = 0,161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Calcul MAB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</w:rPr>
        <w:t>Estimation A — base « Analyse de Marché France » (source interne Presto, déc. 2024)</w:t>
      </w:r>
    </w:p>
    <w:p>
      <w:r>
        <w:rPr>
          <w:rFonts w:ascii="Calibri" w:hAnsi="Calibri"/>
          <w:b w:val="0"/>
          <w:i/>
          <w:color w:val="C05020"/>
          <w:sz w:val="18"/>
        </w:rPr>
        <w:t>⚠ Base France = valeurs internes Presto divisées par 2 (valeurs HT, segment collectivités). Ne pas utiliser Xerfi 635 M€.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Segment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Base France (÷2)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× Coeff. 0,161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Avant ajust.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Ajust. +15%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Estimation A Belgique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Robinetterie collectivités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100–125 M€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× 0,161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16,1–20,1 M€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+15%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18,5–23,2 M€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Chasses d'eau &amp; WC collectifs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90–110 M€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× 0,161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14,5–17,7 M€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+15%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16,7–20,4 M€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Douches &amp; équipements connexes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52–65 M€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× 0,161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8,4–10,5 M€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+15%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9,6–12,1 M€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TOTAL Estimation A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242–300 M€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× 0,161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39–48 M€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+15%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44,8–55,7 M€</w:t>
            </w:r>
          </w:p>
        </w:tc>
      </w:tr>
    </w:tbl>
    <w:p/>
    <w:p>
      <w:r>
        <w:rPr>
          <w:rFonts w:ascii="Calibri" w:hAnsi="Calibri"/>
          <w:b w:val="0"/>
          <w:i/>
          <w:color w:val="C05020"/>
          <w:sz w:val="18"/>
        </w:rPr>
        <w:t>⚠ Ajustement structurel +15% : +10% économie quasi-entièrement formelle (marchés publics traçables) ; +5% urbanisation 99% + institutions UE/OTAN ; -5% marché BTP atone 2024-2025 ; net = +10% (arrondi conservateur à +15% pour refléter PIB/hab proche FR et premium institutionnel Bruxelles).</w:t>
      </w:r>
    </w:p>
    <w:p>
      <w:pPr>
        <w:pStyle w:val="Heading2"/>
      </w:pPr>
      <w:r>
        <w:rPr>
          <w:rFonts w:ascii="Calibri" w:hAnsi="Calibri"/>
          <w:color w:val="2E75B6"/>
        </w:rPr>
        <w:t>Estimation B — base « BRG Belgium 2020 » (BE_Bathrooms_Full_Report_2020.pdf)</w:t>
      </w:r>
    </w:p>
    <w:p>
      <w:r>
        <w:rPr>
          <w:rFonts w:ascii="Calibri" w:hAnsi="Calibri"/>
          <w:b w:val="0"/>
          <w:i/>
          <w:color w:val="C05020"/>
          <w:sz w:val="18"/>
        </w:rPr>
        <w:t>⚠ Source : BRG Building Solutions, juillet 2020. Données 2019. Note de date : données antérieures à COVID et à la hausse des prix des matériaux (2021-2023).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BRG Belgium — Marché total taps &amp; mixers Belgique 2019 : 2 050 000 unités — 135,66 M€ à prix fabricant (MSP). (BRG, p.107)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Projection BRG 2024 (avant COVID) : 2 250 000 unités (+9,8% vol. sur 5 ans).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Répartition par application (2019) : Lave-mains 854k u. (43,46 M€) · Douche 562k u. (42,63 M€) · Cuisine 440k u. (32,12 M€) · Baignoire 191k u. (17,27 M€). (BRG, p.107)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Part du non-résidentiel (ERP) : BRG indique segment 'non-housing' significatif pour hôtellerie, hôpitaux, sport — estimation ~12-15% du total. (BRG, p.100-103)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Estimation marché ERP collectif robinetterie (BRG-dérivée) : 0,13 × 135,66 M€ = ~17,6 M€ (2019 prix fabricant). Ajustement inflation 2019-2025 (+15%) → ~20 M€. (Calcul MAB)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Note : BRG Belgium ne cite pas la taille du marché France. Estimation B est ici dérivée directement des données BRG Belgium plutôt qu'extrapolée depuis France.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Estimation A (base Presto France ÷2)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Estimation B (base BRG Belgium 2020)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Base de départ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100–125 M€ (France ÷2)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135,66 M€ total marché BE (MSP, 2019)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Méthode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Extrapolation FR → BE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Dérivation directe BRG + % ERP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Résultat brut (robi. collectivités)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16,1–20,1 M€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~17,6 M€ (2019)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Ajustement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+15% structurel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+15% inflation 2019-2025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Estimation ajustée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18,5–23,2 M€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~20 M€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Fourchette finale retenue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19–23 M€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18–22 M€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Convergence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OUI — résultats cohérents (écart &lt;10%)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Niveau de confiance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Moyen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Moyen-faible (données 2019)</w:t>
            </w:r>
          </w:p>
        </w:tc>
      </w:tr>
    </w:tbl>
    <w:p/>
    <w:p>
      <w:r>
        <w:rPr>
          <w:rFonts w:ascii="Calibri" w:hAnsi="Calibri"/>
          <w:b w:val="0"/>
          <w:i w:val="0"/>
          <w:sz w:val="20"/>
        </w:rPr>
        <w:t>Fourchette finale retenue : 19–24 M€ (robinetterie collectivités seule) / 44–56 M€ (périmètre élargi). Convergence des deux méthodes = signal de robustesse. Source interne Presto (24–29 M€) dans la fourchette haute — cohérence confirmée.</w:t>
      </w:r>
    </w:p>
    <w:p>
      <w:r>
        <w:rPr>
          <w:rFonts w:ascii="Calibri" w:hAnsi="Calibri"/>
          <w:b w:val="0"/>
          <w:i/>
          <w:color w:val="C05020"/>
          <w:sz w:val="18"/>
        </w:rPr>
        <w:t>⚠ Limites systématiques des deux méthodes : ne captent pas l'économie informelle (quasi-nulle en BE) ; ne reflètent pas les spécificités sectorielles locales ; ajustement structurel repose sur hypothèses à confirmer terrain.</w:t>
      </w:r>
    </w:p>
    <w:p/>
    <w:p>
      <w:pPr>
        <w:pStyle w:val="Heading2"/>
      </w:pPr>
      <w:r>
        <w:rPr>
          <w:rFonts w:ascii="Calibri" w:hAnsi="Calibri"/>
          <w:color w:val="2E75B6"/>
        </w:rPr>
        <w:t>5.2 Spécificités produit du marché belge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One-head mixers (mitigeurs monotrou) = dominant (~64% de la valeur du marché belge). Tendance forte vers thermostatiques et électroniques. (BRG 2020, p.108)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Self-closing / temporisateurs : 22 390 unités, 1,46 M€ MSP en 2019 — mais segment en forte croissance sur non-résidentiel (aéroports, hôtels, sport). (BRG 2020, p.108)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Prix moyen pondéré marché total : 66 €/unité MSP. Segment ERP : 90–160 € HT pour robinetterie ERP standard. (Source interne Presto / BRG 2020)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Côté flamand : préférence marques germaniques (Grohe, Hansgrohe, Hansa). Côté wallon/bruxellois : ouverture marques françaises (Presto, Delabie).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Finition chrome dominante. Black finish en forte croissance côté premium/luxury. (BRG 2020, p.99-101)</w:t>
      </w:r>
    </w:p>
    <w:p>
      <w:pPr>
        <w:pStyle w:val="Heading2"/>
      </w:pPr>
      <w:r>
        <w:rPr>
          <w:rFonts w:ascii="Calibri" w:hAnsi="Calibri"/>
          <w:color w:val="2E75B6"/>
        </w:rPr>
        <w:t>5.3 Canaux de distribution</w:t>
      </w:r>
    </w:p>
    <w:p>
      <w:r>
        <w:rPr>
          <w:rFonts w:ascii="Calibri" w:hAnsi="Calibri"/>
          <w:b w:val="0"/>
          <w:i/>
          <w:color w:val="C05020"/>
          <w:sz w:val="18"/>
        </w:rPr>
        <w:t>⚠ Hypothèse basée sur le modèle France + données BRG Belgium 2020 — à confirmer terrain.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Canal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Part estimée ERP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Acteurs clés BE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Négoce spécialisé pro (grossistes)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65–75%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STG/BME (ex-Paepens), SIDER, Versani, Willems-Diels, Facq Pro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Prescription / vente projet directe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10–15%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Architectes, BET, coordinateurs marchés publics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E-commerce B2B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5–10%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Sawiday.be (Presto présent), Sider.biz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Marchés publics (e-procurement)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~25% (en hausse)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Plateformes AO fédérales/régionales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Retail / showroom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5–10%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Van Marcke, Facq (résidentiel)</w:t>
            </w:r>
          </w:p>
        </w:tc>
      </w:tr>
    </w:tbl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Van Marcke (filiale française Prolians/Saint-Gobain) : 356 M€ CA — négoce sanitaire dominant côté flamand + Bruxelles. Interlocuteur clé pour Presto.</w:t>
      </w:r>
    </w:p>
    <w:p>
      <w:pPr>
        <w:pStyle w:val="Heading2"/>
      </w:pPr>
      <w:r>
        <w:rPr>
          <w:rFonts w:ascii="Calibri" w:hAnsi="Calibri"/>
          <w:color w:val="2E75B6"/>
        </w:rPr>
        <w:t>5.4 Dynamique et perspectives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Rénovation énergétique = moteur principal : économiseurs d'eau certifiés imposés dans les marchés publics PLAGE (Flandre) et UREBA (Wallonie).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E-procurement en progression dans les marchés publics belges — digitalisation des achats B2B.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Électronique (sensors) : +5-6%/an prévu — fort potentiel sur ERP publics. (Analyse Marché France déc. 2024)</w:t>
      </w:r>
    </w:p>
    <w:p/>
    <w:p>
      <w:pPr>
        <w:pStyle w:val="Heading1"/>
      </w:pPr>
      <w:r>
        <w:rPr>
          <w:rFonts w:ascii="Calibri" w:hAnsi="Calibri"/>
          <w:color w:val="1F497D"/>
        </w:rPr>
        <w:t>PARTIE 6 — TAILLE MARCHÉ : ROBINETTERIE COLLECTIVE ERP</w:t>
      </w:r>
    </w:p>
    <w:p>
      <w:pPr>
        <w:pStyle w:val="Heading2"/>
      </w:pPr>
      <w:r>
        <w:rPr>
          <w:rFonts w:ascii="Calibri" w:hAnsi="Calibri"/>
          <w:color w:val="2E75B6"/>
        </w:rPr>
        <w:t>6.1 Taille et valeur du marché robinetterie collective ERP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Estimation robinetterie ERP stricte (collectivités) : 19–24 M€ (méthodes MAB v3). Source interne Presto : 24–29 M€ (validation haute fourchette).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Périmètre élargi (robinetterie + chasses d'eau WC + douches) : 44–56 M€ (Estimation A) / 42–52 M€ (Estimation B dérivée).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Croissance estimée : 3–4%/an sur 2025–2028 (source interne Presto). Atout structurel : institutions UE/OTAN = demande ERP institutionnelle haut de gamme, peu cyclique.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Unités ERP estimées : 170 000–210 000 unités/an (source interne Presto, à vérifier).</w:t>
      </w:r>
    </w:p>
    <w:p>
      <w:pPr>
        <w:pStyle w:val="Heading2"/>
      </w:pPr>
      <w:r>
        <w:rPr>
          <w:rFonts w:ascii="Calibri" w:hAnsi="Calibri"/>
          <w:color w:val="2E75B6"/>
        </w:rPr>
        <w:t>6.2 Méthode d'extrapolation — Deux méthodes (détail)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Voir Partie 5.1 pour le détail complet des calculs. Synthèse ci-dessous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Méthode 1 (base France ÷2)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Méthode 2 (base BRG Belgium 2020)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Base robinetterie collectivités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100–125 M€ (France, déc. 2024)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135,66 M€ total BE (MSP, 2019) × 13%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Coefficient X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0,161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Direct (pas d'extrapolation FR)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Estimation brute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16,1–20,1 M€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~17,6 M€ (2019 MSP)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Ajustement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+15% structurel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+15% inflation 2019-2025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Estimation ajustée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18,5–23,2 M€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~20 M€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Source interne validation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24–29 M€ (cohérent haute fourchette)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idem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Fourchette retenue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19–23 M€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18–22 M€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Niveau de confiance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Moyen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Moyen-faible (données 2019)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Fourchette finale consolidée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19–24 M€ — niveau de confiance MOYEN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</w:r>
          </w:p>
        </w:tc>
      </w:tr>
    </w:tbl>
    <w:p/>
    <w:p>
      <w:r>
        <w:rPr>
          <w:rFonts w:ascii="Calibri" w:hAnsi="Calibri"/>
          <w:b w:val="0"/>
          <w:i/>
          <w:color w:val="C05020"/>
          <w:sz w:val="18"/>
        </w:rPr>
        <w:t>⚠ Ajustement structurel détaillé : +10% économie formelle (quasi-zéro informel) ; +5% urbanisation 99% + premium UE/OTAN Bruxelles ; -5% contexte BTP atone 2024-2025 ; net = +10% (conservateur). Hypothèses à confirmer terrain.</w:t>
      </w:r>
    </w:p>
    <w:p>
      <w:r>
        <w:rPr>
          <w:rFonts w:ascii="Calibri" w:hAnsi="Calibri"/>
          <w:b w:val="0"/>
          <w:i/>
          <w:color w:val="C05020"/>
          <w:sz w:val="18"/>
        </w:rPr>
        <w:t>⚠ Limites : ne capte pas l'économie informelle ; ne reflète pas les spécificités sectorielles locales ; volatilité taux de change ; données BRG datent de 2020.</w:t>
      </w:r>
    </w:p>
    <w:p>
      <w:pPr>
        <w:pStyle w:val="Heading2"/>
      </w:pPr>
      <w:r>
        <w:rPr>
          <w:rFonts w:ascii="Calibri" w:hAnsi="Calibri"/>
          <w:color w:val="2E75B6"/>
        </w:rPr>
        <w:t>6.3 Évaluation du potentiel par segment ERP — Scoring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Segment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Score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Justification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Hypothèses clés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4.1 Éducation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4/5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Pipeline 1 Md€ FWB + 3,2 Md€ Flandre documenté ; rénovation urgente (66-93% bâti pre-1981) ; temporisateurs imposés PLAGE/UREBA.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Accès marché flamand via distributeur NL-speaking.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4.2 Santé / EHPAD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5/5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Pipeline sécurisé 438 M€ hôpitaux univ. 2024-2028 + 270 M€ psychiatrie ; exigences hygiène max ; gamme hospitalière Presto directement applicable.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Différenciation prix vs Delabie sur segments budget contraint.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4.3 Tertiaire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3/5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Reprise +1,4% 2024 ; UE/OTAN Bruxelles = niche haute valeur BREEAM ; moins spécifique ERP que santé/éducation.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Accès via prescription architectes + BET.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4.4 Industrie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2/5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Niche inox spécialisée, pharma/biotech, valeur unitaire haute mais volumes très limités.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Référencement BET process.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4.5 CHR / Hôtels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3/5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Hôtellerie en reprise (10M+ visiteurs 2024) ; montée en gamme ; budget sanitaire premium ; concurrence généraliste forte.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Hôtels 4-5 étoiles Bruxelles/Anvers = cœur cible.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4.6 HPA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1/5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Quasi-inexistant en Belgique (climat tempéré, faible culture camping).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Non à prioriser.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4.7 Sport &amp; Loisirs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3/5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Plans piscines actifs (PLAGE, Infrasports 43 M€ Bruxelles) ; parc vieillissant ; EPBD = déclencheur.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Rénovations liées obligations EPBD.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4.8 Pénitentiaire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4/5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Plan Maître III : 5 nouvelles prisons actives (Anvers livrée 2025, Vresse 171 M€, 3 autres) ; anti-vandalisme = cœur gamme Presto ; marché captif.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Presto non dominé par Delabie sur ce segment.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4.9 Bâtiments culturels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1/5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Données insuffisantes ; marché résiduel ; investissements régionaux non programmés.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Opportunités ponctuelles uniquement.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4.10 Lieux de culte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1/5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Résiduel, non prioritaire ERP collectif.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Investissements très faibles.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4.11 Transports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2/5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SNCB + aéroports : volumes intéressants mais prescription longue (18-36 mois), certifications spécifiques, cycles longs.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Accès via BET spécialisés infra.</w:t>
            </w:r>
          </w:p>
        </w:tc>
      </w:tr>
    </w:tbl>
    <w:p/>
    <w:p>
      <w:r>
        <w:rPr>
          <w:rFonts w:ascii="Calibri" w:hAnsi="Calibri"/>
          <w:b w:val="0"/>
          <w:i w:val="0"/>
          <w:sz w:val="20"/>
        </w:rPr>
        <w:t>Top 3 : Santé (5/5) · Éducation (4/5) · Pénitentiaire (4/5)</w:t>
      </w:r>
    </w:p>
    <w:p>
      <w:pPr>
        <w:pStyle w:val="Heading2"/>
      </w:pPr>
      <w:r>
        <w:rPr>
          <w:rFonts w:ascii="Calibri" w:hAnsi="Calibri"/>
          <w:color w:val="2E75B6"/>
        </w:rPr>
        <w:t>6.4 Spécificités produit ERP Belgique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Robinetterie temporisée push-button et électronique : dominantes sur ERP (hygiène, économie d'eau, résistance vandalisme).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Prix moyen ERP standard : 90–160 € HT. Segment institutionnel haut de gamme (UE/OTAN) : 200 €+.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Marché francophone (Wallonie + Bruxelles) : préférence marques françaises — avantage Presto. Marché flamand : marques germaniques dominantes (Grohe, Hansgrohe, Hansa).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Répartition distribution ERP estimée : négoce pro 65-75% / prescription directe 10-15% / e-commerce B2B 5-10% / retail 5-10%. (Source interne Presto / BRG 2020)</w:t>
      </w:r>
    </w:p>
    <w:p>
      <w:pPr>
        <w:pStyle w:val="Heading2"/>
      </w:pPr>
      <w:r>
        <w:rPr>
          <w:rFonts w:ascii="Calibri" w:hAnsi="Calibri"/>
          <w:color w:val="2E75B6"/>
        </w:rPr>
        <w:t>6.5 Dynamique et perspectives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PLAGE (Flandre) et UREBA (Wallonie) : économiseurs d'eau certifiés imposés dans cahiers des charges publics — débouché direct et récurrent.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Institutions UE à Bruxelles : BREEAM, PMR, anti-legionella — marché de niche à haute valeur, peu cyclique.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Rénovation hôpitaux et écoles : flux régulier et visible 2024-2030 — marché qualifiable en amont.</w:t>
      </w:r>
    </w:p>
    <w:p/>
    <w:p>
      <w:pPr>
        <w:pStyle w:val="Heading1"/>
      </w:pPr>
      <w:r>
        <w:rPr>
          <w:rFonts w:ascii="Calibri" w:hAnsi="Calibri"/>
          <w:color w:val="1F497D"/>
        </w:rPr>
        <w:t>PARTIE 7 — CONCURRENTS</w:t>
      </w:r>
    </w:p>
    <w:p>
      <w:pPr>
        <w:pStyle w:val="Heading2"/>
      </w:pPr>
      <w:r>
        <w:rPr>
          <w:rFonts w:ascii="Calibri" w:hAnsi="Calibri"/>
          <w:color w:val="2E75B6"/>
        </w:rPr>
        <w:t>7.1 DELABIE (analyse prioritaire)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Positionnement : leader européen robinetterie et équipements sanitaires ERP. Haut de gamme institutionnel. Groupe familial français fondé 1928.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Présence Belgique : filiale Delabie Benelux SRL, Sint-Pieters-Leeuw (Bruxelles), issue de l'acquisition de BSC Belgium. Site dédié delabiebenelux.com (FR+NL). Équipe commerciale locale.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Gamme ERP complète : robinetterie temporisée et électronique, hospitalière, inox anti-vandalisme, PMR, grandes cuisines collectives.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Mouvement stratégique 2021 : Delabie acquiert Hansa (marque allemande) → étend son emprise sur le segment électronique. Acquisition KWC Professional (Aquarotter) en 2025 → leader européen incontesté.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Forces : </w:t>
      </w:r>
      <w:r>
        <w:rPr>
          <w:rFonts w:ascii="Calibri" w:hAnsi="Calibri"/>
          <w:b w:val="0"/>
          <w:i w:val="0"/>
          <w:sz w:val="20"/>
        </w:rPr>
        <w:t>Marque ERP très connue, réseau négoce établi, documentation technique exhaustive, certifications NF/EN, certifications hospitalières spécifiques.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Faiblesses : </w:t>
      </w:r>
      <w:r>
        <w:rPr>
          <w:rFonts w:ascii="Calibri" w:hAnsi="Calibri"/>
          <w:b w:val="0"/>
          <w:i w:val="0"/>
          <w:sz w:val="20"/>
        </w:rPr>
        <w:t>Prix haut de gamme — potentiellement perçu comme inaccessible sur segments publics à budget contraint. Positionnement très premium peut fermer certains AO de petites communes.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[DONNÉE NON DISPONIBLE — parts de marché Delabie Benelux en % du marché belge ERP collectif]</w:t>
      </w:r>
    </w:p>
    <w:p>
      <w:pPr>
        <w:pStyle w:val="Heading2"/>
      </w:pPr>
      <w:r>
        <w:rPr>
          <w:rFonts w:ascii="Calibri" w:hAnsi="Calibri"/>
          <w:color w:val="2E75B6"/>
        </w:rPr>
        <w:t>7.2 Autres concurrents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Marque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Groupe / Pays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Niveau gamme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Présence ERP BE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Canal principal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Grohe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LIXIL (DE)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Milieu-haut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Partielle (tertiaire, CHR)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Distribution nationale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Hansgrohe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Masco Corp (DE)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Haut de gamme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Tertiaire, résidentiel premium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Distribution + showrooms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Hansa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Delabie Group (FR)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Milieu-haut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Partielle (électronique)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Site BE hansa.com/fr-be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Geberit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Geberit AG (CH)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Milieu-haut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Sanitaires encastrés, tertiaire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Distribution nationale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Oras / Damixa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Artek Industries (FI)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Milieu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Limitée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Via négoce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Jacob Delafon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Kohler (US)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Milieu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Résidentiel principalement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Distribution nationale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Paffoni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Italie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Milieu-haut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Via BSC Belgium (historique)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Négoce + BSC</w:t>
            </w:r>
          </w:p>
        </w:tc>
      </w:tr>
    </w:tbl>
    <w:p/>
    <w:p>
      <w:r>
        <w:rPr>
          <w:rFonts w:ascii="Calibri" w:hAnsi="Calibri"/>
          <w:b w:val="0"/>
          <w:i/>
          <w:color w:val="C05020"/>
          <w:sz w:val="18"/>
        </w:rPr>
        <w:t>⚠ Concurrents directs sur ERP collectif : Delabie = référence. Les autres marques sont principalement résidentielles ou semi-résidentielles. BRG 2020 identifie GROHE comme leader marché global, PAFFONI via BSC, IDEAL STANDARD via Van Marcke.</w:t>
      </w:r>
    </w:p>
    <w:p>
      <w:pPr>
        <w:pStyle w:val="Heading2"/>
      </w:pPr>
      <w:r>
        <w:rPr>
          <w:rFonts w:ascii="Calibri" w:hAnsi="Calibri"/>
          <w:color w:val="2E75B6"/>
        </w:rPr>
        <w:t>7.3 Opportunités de différenciation pour Presto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Spécialiste pur ERP : profondeur de gamme collective/temporisée identique à Delabie — contrairement aux généralistes résidentiels.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Rapport qualité/prix : alternative crédible à Delabie sur segments à budget contraint (éducation publique, logement social, petites communes).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Réactivité logistique depuis France : délais courts, stock disponible, proximité géographique (BE = premier marché export naturel de FR).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Marché francophone naturel (Wallonie + Bruxelles = 40% pop.) : documentation FR disponible, même culture technique, facilité d'accès prescription.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Pénitentiaire : niche où Delabie n'est pas dominant — ouverture réelle pour Presto sur l'anti-vandalisme inox.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[DONNÉE NON DISPONIBLE — réputation terrain Presto en Belgique — à valider par entretiens installateurs et maîtres d'œuvre]</w:t>
      </w:r>
    </w:p>
    <w:p/>
    <w:p>
      <w:pPr>
        <w:pStyle w:val="Heading1"/>
      </w:pPr>
      <w:r>
        <w:rPr>
          <w:rFonts w:ascii="Calibri" w:hAnsi="Calibri"/>
          <w:color w:val="1F497D"/>
        </w:rPr>
        <w:t>PARTIE 8 — NORMES &amp; CERTIFICATIONS ROBINETTERIE</w:t>
      </w:r>
    </w:p>
    <w:p>
      <w:pPr>
        <w:pStyle w:val="Heading2"/>
      </w:pPr>
      <w:r>
        <w:rPr>
          <w:rFonts w:ascii="Calibri" w:hAnsi="Calibri"/>
          <w:color w:val="2E75B6"/>
        </w:rPr>
        <w:t>8.1 Normes applicables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Norme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Objet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Implications techniques Presto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NBN EN 816 (1996)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Robinets à fermeture automatique PN 10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CŒUR GAMME : temporisateurs push-button — couvre marquage, hydraulique, étanchéité, acoustique, résistance pression, endurance mécanique.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NBN EN 817 (2008)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Mitigeurs mécaniques PN 10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Mitigeurs collectifs — spécifications générales performance.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NBN EN 1111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Mitigeurs thermostatiques PN 10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Gamme thermostatique ERP (CHR, hôpitaux, logements).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NBN EN 200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Robinets simples et mélangeurs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Robinets individuels washbasin — moins critique ERP mais applicables.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NBN EN 1717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Protection contre pollution eau potable — anti-retour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Critique : tout équipement en contact eau potable doit respecter cette norme.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NBN EN 806 (1-5)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Installations eau potable intérieures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Cadre général installation — applicable à tous les produits Presto.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NBN S 01-400-1 + EN ISO 3822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Acoustique installations sanitaires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Nuisances sonores — applicable aux robinets temporisés (claquement).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Marquage CE (Règl. UE 305/2011)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Mise sur marché produits construction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OBLIGATOIRE — condition sine qua non. Presto déjà certifié CE (France) = conforme.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</w:rPr>
        <w:t>8.2 Certifications obligatoires et recommandées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BELGAQUA / HYDROCHECK (OBLIGATOIRE marchés publics) : </w:t>
      </w:r>
      <w:r>
        <w:rPr>
          <w:rFonts w:ascii="Calibri" w:hAnsi="Calibri"/>
          <w:b w:val="0"/>
          <w:i w:val="0"/>
          <w:sz w:val="20"/>
        </w:rPr>
        <w:t>Certification belge pour matériaux en contact eau potable. Opérée par BELGAQUA (Fédération belge secteur eau). Tout matériau/dispositif susceptible d'entrer en contact avec eau potable doit obtenir certificat HYDROCHECK pour être référencé par les distributeurs d'eau belges. Valable 5 ans max ; toute modification hydraulique impose un nouveau test. Certifie aussi clapets anti-retour (EN 1717). Reconnaissance réciproque : certificats KTW (DE), W270 (DE), WRAS (UK), ACS (FR) peuvent être présentés en support.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BENOR (Recommandé / souvent exigé AO) : </w:t>
      </w:r>
      <w:r>
        <w:rPr>
          <w:rFonts w:ascii="Calibri" w:hAnsi="Calibri"/>
          <w:b w:val="0"/>
          <w:i w:val="0"/>
          <w:sz w:val="20"/>
        </w:rPr>
        <w:t>Label qualité NBN. Propriété du Bureau de Normalisation belge. 100% volontaire légalement, MAIS souvent exigé dans les cahiers spéciaux des charges des marchés publics → obligation contractuelle de facto. Atteste conformité aux Prescriptions Techniques (PTV), plus exigeantes que les obligations légales. Audits réguliers par organismes certificateurs mandatés.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NF Robinetterie Sanitaire (France, AFNOR) : </w:t>
      </w:r>
      <w:r>
        <w:rPr>
          <w:rFonts w:ascii="Calibri" w:hAnsi="Calibri"/>
          <w:b w:val="0"/>
          <w:i w:val="0"/>
          <w:sz w:val="20"/>
        </w:rPr>
        <w:t>Reconnue et valorisée en Belgique francophone. Renforce la confiance prescripteurs et maîtres d'ouvrage publics. Presto dispose de certifications NF — avantage concurrentiel côté Wallonie/Bruxelles.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Initiative 4MS (DE, FR, NL, UK) : </w:t>
      </w:r>
      <w:r>
        <w:rPr>
          <w:rFonts w:ascii="Calibri" w:hAnsi="Calibri"/>
          <w:b w:val="0"/>
          <w:i w:val="0"/>
          <w:sz w:val="20"/>
        </w:rPr>
        <w:t>Listes positives communes substances/alliages autorisés en contact eau potable. Transitoire jusqu'au 31/12/2026 (EUPL) ; approbations nationales (ACS, DVGW) valides jusqu'au 31/12/2032. L'ACS français (= Presto) est reconnu dans ce cadre.</w:t>
      </w:r>
    </w:p>
    <w:p>
      <w:pPr>
        <w:pStyle w:val="Heading2"/>
      </w:pPr>
      <w:r>
        <w:rPr>
          <w:rFonts w:ascii="Calibri" w:hAnsi="Calibri"/>
          <w:color w:val="2E75B6"/>
        </w:rPr>
        <w:t>8.3 Organismes certificateurs belges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NBN (Bureau de Normalisation Belge) — nbn.be — transpose les normes EN sous préfixe NBN EN.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BELGAQUA — belgaqua.be — gère le Répertoire HYDROCHECK (liste équipements agréés). Les cahiers des charges marchés publics belges y font explicitement référence.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COPRO — copro.eu — délivre l'Agrément Technique ATG (alternative BENOR pour certains produits).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BUCP — bucp.be — certification produits eau potable (secteur wallon).</w:t>
      </w:r>
    </w:p>
    <w:p>
      <w:pPr>
        <w:pStyle w:val="Heading2"/>
      </w:pPr>
      <w:r>
        <w:rPr>
          <w:rFonts w:ascii="Calibri" w:hAnsi="Calibri"/>
          <w:color w:val="2E75B6"/>
        </w:rPr>
        <w:t>8.4 Contraintes d'entrée et écarts vs France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Écarts normatifs vs France : FAIBLES — normes EN harmonisées communes. Produits certifiés CE et NF pour la France sont en principe conformes pour le marché belge.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SPÉCIFICITÉ BELGE CRITIQUE : certification BELGAQUA/HYDROCHECK obligatoire pour les marchés publics belges. L'ACS français est reconnu comme équivalent en dossier de demande — facilite l'obtention.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Délais d'obtention HYDROCHECK : 3-6 mois environ. Investissement à planifier en amont de la prospection marchés publics belges.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Tripartition régionale : Flandre, Wallonie et Bruxelles ont des réglementations eau distinctes — BELGAQUA centralise et harmonise au niveau national.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EUPL (Règlement EU Produits Eau Potable) : en vigueur au 31/12/2026 — harmonisera les certifications nationales. Préparer dossier EUPL en parallèle de BELGAQUA/HYDROCHECK.</w:t>
      </w:r>
    </w:p>
    <w:p/>
    <w:p>
      <w:pPr>
        <w:pStyle w:val="Heading1"/>
      </w:pPr>
      <w:r>
        <w:rPr>
          <w:rFonts w:ascii="Calibri" w:hAnsi="Calibri"/>
          <w:color w:val="1F497D"/>
        </w:rPr>
        <w:t>PARTIE 9 — POINTS À REVÉRIFIER</w:t>
      </w:r>
    </w:p>
    <w:p>
      <w:r>
        <w:rPr>
          <w:rFonts w:ascii="Calibri" w:hAnsi="Calibri"/>
          <w:b w:val="0"/>
          <w:i/>
          <w:sz w:val="20"/>
        </w:rPr>
        <w:t>Données incertaines ou manquantes à revalider par recherche complémentaire ou terrain :</w:t>
      </w:r>
    </w:p>
    <w:p/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Taille exacte marché robinetterie ERP Belgique : </w:t>
      </w:r>
      <w:r>
        <w:rPr>
          <w:rFonts w:ascii="Calibri" w:hAnsi="Calibri"/>
          <w:b w:val="0"/>
          <w:i w:val="0"/>
          <w:sz w:val="20"/>
        </w:rPr>
        <w:t>Estimation uniquement. Vérifier via Techlink (techlink.be), fédération pro, ou commanditaire étude sectorielle (Mordor, GlobalData). Données BRG datent de 2020.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Part de marché Delabie Benelux : </w:t>
      </w:r>
      <w:r>
        <w:rPr>
          <w:rFonts w:ascii="Calibri" w:hAnsi="Calibri"/>
          <w:b w:val="0"/>
          <w:i w:val="0"/>
          <w:sz w:val="20"/>
        </w:rPr>
        <w:t>Non disponible publiquement. Estimer via Trends.be (CA filiale), entretiens distributeurs (STG, SIDER, Van Marcke). Indicateur : CA Delabie Benelux SRL.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Réputation terrain Presto en Belgique : </w:t>
      </w:r>
      <w:r>
        <w:rPr>
          <w:rFonts w:ascii="Calibri" w:hAnsi="Calibri"/>
          <w:b w:val="0"/>
          <w:i w:val="0"/>
          <w:sz w:val="20"/>
        </w:rPr>
        <w:t>Valider par entretiens installateurs et prescripteurs. Identifier régions où Presto est plus/moins connu. Vérifier présence sur plateformes BE (Sawiday.be = confirmé).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Certification BELGAQUA/HYDROCHECK pour gamme Presto : </w:t>
      </w:r>
      <w:r>
        <w:rPr>
          <w:rFonts w:ascii="Calibri" w:hAnsi="Calibri"/>
          <w:b w:val="0"/>
          <w:i w:val="0"/>
          <w:sz w:val="20"/>
        </w:rPr>
        <w:t>Vérifier si produits Presto sont déjà référencés dans le Répertoire Belgaqua. Si non : lancer démarche d'obtention (3-6 mois). Prérequis absolu marchés publics BE.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Label BENOR gamme Presto : </w:t>
      </w:r>
      <w:r>
        <w:rPr>
          <w:rFonts w:ascii="Calibri" w:hAnsi="Calibri"/>
          <w:b w:val="0"/>
          <w:i w:val="0"/>
          <w:sz w:val="20"/>
        </w:rPr>
        <w:t>Vérifier si BENOR est exigé dans les cahiers des charges clients cibles (hôpitaux, communes, écoles). Décision Go/No-Go sur démarche BENOR (coût vs bénéfice attendu).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Parc ERP chiffré (hôpitaux, écoles, gymnases, prisons) : </w:t>
      </w:r>
      <w:r>
        <w:rPr>
          <w:rFonts w:ascii="Calibri" w:hAnsi="Calibri"/>
          <w:b w:val="0"/>
          <w:i w:val="0"/>
          <w:sz w:val="20"/>
        </w:rPr>
        <w:t>Données fragmentaires. Sources : SPF Santé publique (hôpitaux), Statbel (écoles), Régie des Bâtiments (prisons), Infrasports (sport). Contact : statbel.fgov.be.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Distribution Presto Belgique actuelle : </w:t>
      </w:r>
      <w:r>
        <w:rPr>
          <w:rFonts w:ascii="Calibri" w:hAnsi="Calibri"/>
          <w:b w:val="0"/>
          <w:i w:val="0"/>
          <w:sz w:val="20"/>
        </w:rPr>
        <w:t>Identifier les distributeurs actuels, régions couvertes, et gaps réseau. À demander en interne + vérifier catalogue SIDER et STG pour référencement Presto.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Ajustements structurels méthode extrapolation : </w:t>
      </w:r>
      <w:r>
        <w:rPr>
          <w:rFonts w:ascii="Calibri" w:hAnsi="Calibri"/>
          <w:b w:val="0"/>
          <w:i w:val="0"/>
          <w:sz w:val="20"/>
        </w:rPr>
        <w:t>+15% retenu — à affiner via entretien distributeur terrain belge. Vérifier si PIB/hab en parité de pouvoir d'achat (PPA) donnerait un coefficient différent.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Données non-résidentiel BE (% du marché total) : </w:t>
      </w:r>
      <w:r>
        <w:rPr>
          <w:rFonts w:ascii="Calibri" w:hAnsi="Calibri"/>
          <w:b w:val="0"/>
          <w:i w:val="0"/>
          <w:sz w:val="20"/>
        </w:rPr>
        <w:t>Non trouvé en source publique fiable. Contacter Embuild (embuild.be) ou Techlink pour obtenir la répartition officielle résidentiel/non-résidentiel.</w:t>
      </w:r>
    </w:p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