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MAB BELGIQUE — ÉTUDE DE MARCHÉ</w:t>
      </w:r>
    </w:p>
    <w:p>
      <w:pPr>
        <w:jc w:val="center"/>
      </w:pPr>
      <w:r>
        <w:rPr>
          <w:sz w:val="24"/>
        </w:rPr>
        <w:t>Robinetterie sanitaire collective / ERP — Les Robinets Presto</w:t>
      </w:r>
    </w:p>
    <w:p>
      <w:pPr>
        <w:jc w:val="center"/>
      </w:pPr>
      <w:r>
        <w:rPr>
          <w:i/>
          <w:sz w:val="20"/>
        </w:rPr>
        <w:t>Juin 2026</w:t>
      </w:r>
    </w:p>
    <w:p/>
    <w:p>
      <w:pPr>
        <w:pStyle w:val="Heading1"/>
      </w:pPr>
      <w:r>
        <w:rPr>
          <w:color w:val="1F497D"/>
        </w:rPr>
        <w:t>RÉSUMÉ EXÉCUTIF</w:t>
      </w:r>
    </w:p>
    <w:p>
      <w:pPr>
        <w:pStyle w:val="ListBullet"/>
        <w:ind w:left="0"/>
      </w:pPr>
      <w:r>
        <w:rPr>
          <w:sz w:val="20"/>
        </w:rPr>
        <w:t>Marché de la construction en recul structurel (-2,8% en 2024, -0,4% en 2025) avec un résidentiel neuf sinistré — la rénovation et le génie civil tirent le secteur.</w:t>
      </w:r>
    </w:p>
    <w:p>
      <w:pPr>
        <w:pStyle w:val="ListBullet"/>
        <w:ind w:left="0"/>
      </w:pPr>
      <w:r>
        <w:rPr>
          <w:sz w:val="20"/>
        </w:rPr>
        <w:t>Non-résidentiel seul segment positif (+1,4% en 2024, +1,5% en 2025) : bureaux, industrie, projets publics (santé, éducation). Fort potentiel pour la robinetterie ERP.</w:t>
      </w:r>
    </w:p>
    <w:p>
      <w:pPr>
        <w:pStyle w:val="ListBullet"/>
        <w:ind w:left="0"/>
      </w:pPr>
      <w:r>
        <w:rPr>
          <w:sz w:val="20"/>
        </w:rPr>
        <w:t>Investissements publics massifs dans les segments-clés : 438 M€ hôpitaux universitaires, 1 Md€ bâtiments scolaires, 1,7 Md€ logements sociaux (Flandre), 120 M€ psychiatrie (BEI). Opportunité directe pour Presto.</w:t>
      </w:r>
    </w:p>
    <w:p>
      <w:pPr>
        <w:pStyle w:val="ListBullet"/>
        <w:ind w:left="0"/>
      </w:pPr>
      <w:r>
        <w:rPr>
          <w:sz w:val="20"/>
        </w:rPr>
        <w:t>Delabie solidement implanté via sa filiale Benelux (Sint-Pieters-Leeuw) — concurrent direct, leader sur le même segment collectif/ERP.</w:t>
      </w:r>
    </w:p>
    <w:p>
      <w:pPr>
        <w:pStyle w:val="ListBullet"/>
        <w:ind w:left="0"/>
      </w:pPr>
      <w:r>
        <w:rPr>
          <w:sz w:val="20"/>
        </w:rPr>
        <w:t>Presto est déjà présent (présence commerciale existante) : l'enjeu est de structurer et consolider la distribution face à Delabie.</w:t>
      </w:r>
    </w:p>
    <w:p/>
    <w:p>
      <w:pPr>
        <w:pStyle w:val="Heading1"/>
      </w:pPr>
      <w:r>
        <w:rPr>
          <w:color w:val="1F497D"/>
        </w:rPr>
        <w:t>PARTIE 1 — OVERVIEW CONTEXTE PAYS</w:t>
      </w:r>
    </w:p>
    <w:p>
      <w:pPr>
        <w:pStyle w:val="Heading2"/>
      </w:pPr>
      <w:r>
        <w:rPr>
          <w:color w:val="2E75B6"/>
        </w:rPr>
        <w:t>1.1 Analyse PESTEL</w:t>
      </w:r>
    </w:p>
    <w:p>
      <w:pPr>
        <w:pStyle w:val="ListBullet"/>
        <w:ind w:left="0"/>
      </w:pPr>
      <w:r>
        <w:rPr>
          <w:b/>
          <w:sz w:val="20"/>
        </w:rPr>
        <w:t xml:space="preserve">POLITIQUE : </w:t>
      </w:r>
      <w:r>
        <w:rPr>
          <w:sz w:val="20"/>
        </w:rPr>
        <w:t>Instabilité relative — score stabilité politique 0,4/2,58 en 2023 (TheGlobalEconomy). Régime fédéral à 3 régions (Flandre, Wallonie, Bruxelles) créant une complexité réglementaire et administrative. Gouvernement Arizona formé en 2025 (coalition De Wever).</w:t>
      </w:r>
    </w:p>
    <w:p>
      <w:pPr>
        <w:pStyle w:val="ListBullet"/>
        <w:ind w:left="0"/>
      </w:pPr>
      <w:r>
        <w:rPr>
          <w:b/>
          <w:sz w:val="20"/>
        </w:rPr>
        <w:t xml:space="preserve">ÉCONOMIQUE : </w:t>
      </w:r>
      <w:r>
        <w:rPr>
          <w:sz w:val="20"/>
        </w:rPr>
        <w:t>PIB 642 Md€ en 2025, croissance +1,0% (NBB, 2025). PIB/hab : 48 700€ (Trésor FR, 2025). Chômage : 6,2%. Déficit public : -5,2% du PIB en 2025. Économie très tertiaire (services ~80% du PIB).</w:t>
      </w:r>
    </w:p>
    <w:p>
      <w:pPr>
        <w:pStyle w:val="ListBullet"/>
        <w:ind w:left="0"/>
      </w:pPr>
      <w:r>
        <w:rPr>
          <w:b/>
          <w:sz w:val="20"/>
        </w:rPr>
        <w:t xml:space="preserve">SOCIAL : </w:t>
      </w:r>
      <w:r>
        <w:rPr>
          <w:sz w:val="20"/>
        </w:rPr>
        <w:t>11,77 millions d'habitants (Worldometer, 2026). Taux d'urbanisation : 99%. Vieillissement de la population (pression sur les ERP de santé). Multilinguisme (néerlandais 60%, français 40%, allemand &lt;1%) : complexité commerciale.</w:t>
      </w:r>
    </w:p>
    <w:p>
      <w:pPr>
        <w:pStyle w:val="ListBullet"/>
        <w:ind w:left="0"/>
      </w:pPr>
      <w:r>
        <w:rPr>
          <w:b/>
          <w:sz w:val="20"/>
        </w:rPr>
        <w:t xml:space="preserve">TECHNOLOGIQUE : </w:t>
      </w:r>
      <w:r>
        <w:rPr>
          <w:sz w:val="20"/>
        </w:rPr>
        <w:t>Forte adoption du BIM et outils numériques dans la construction. Exigences PEB (Performance Énergétique des Bâtiments) moteur d'innovation produit. Développement domotique et capteurs IoT dans les ERP.</w:t>
      </w:r>
    </w:p>
    <w:p>
      <w:pPr>
        <w:pStyle w:val="ListBullet"/>
        <w:ind w:left="0"/>
      </w:pPr>
      <w:r>
        <w:rPr>
          <w:b/>
          <w:sz w:val="20"/>
        </w:rPr>
        <w:t xml:space="preserve">ENVIRONNEMENTAL : </w:t>
      </w:r>
      <w:r>
        <w:rPr>
          <w:sz w:val="20"/>
        </w:rPr>
        <w:t>Stress hydrique modéré à élevé (EEA, 2025). Réglementation PEB stricte : objectif bâtiments neutres carbone 2045 (Flandre), -35% énergie primaire d'ici 2030. Forte demande pour produits hydro-économes — avantage Presto.</w:t>
      </w:r>
    </w:p>
    <w:p>
      <w:pPr>
        <w:pStyle w:val="ListBullet"/>
        <w:ind w:left="0"/>
      </w:pPr>
      <w:r>
        <w:rPr>
          <w:b/>
          <w:sz w:val="20"/>
        </w:rPr>
        <w:t xml:space="preserve">LÉGAL : </w:t>
      </w:r>
      <w:r>
        <w:rPr>
          <w:sz w:val="20"/>
        </w:rPr>
        <w:t>Normes harmonisées EU (NBN EN 816, NBN EN 817). Marchés publics réglementés (seuils UE 2024-2025). 3 régions = 3 législations bâtiment distinctes (complexité pour les appels d'offres).</w:t>
      </w:r>
    </w:p>
    <w:p/>
    <w:p>
      <w:pPr>
        <w:pStyle w:val="Heading2"/>
      </w:pPr>
      <w:r>
        <w:rPr>
          <w:color w:val="2E75B6"/>
        </w:rPr>
        <w:t>1.2 Indicateurs socio-économiques clés</w:t>
      </w:r>
    </w:p>
    <w:p>
      <w:pPr>
        <w:pStyle w:val="ListBullet"/>
        <w:ind w:left="0"/>
      </w:pPr>
      <w:r>
        <w:rPr>
          <w:b/>
          <w:sz w:val="20"/>
        </w:rPr>
        <w:t xml:space="preserve">PIB total : </w:t>
      </w:r>
      <w:r>
        <w:rPr>
          <w:sz w:val="20"/>
        </w:rPr>
        <w:t>642 Md€ en 2025 (Trésor FR / NBB)</w:t>
      </w:r>
    </w:p>
    <w:p>
      <w:pPr>
        <w:pStyle w:val="ListBullet"/>
        <w:ind w:left="0"/>
      </w:pPr>
      <w:r>
        <w:rPr>
          <w:b/>
          <w:sz w:val="20"/>
        </w:rPr>
        <w:t xml:space="preserve">PIB/habitant : </w:t>
      </w:r>
      <w:r>
        <w:rPr>
          <w:sz w:val="20"/>
        </w:rPr>
        <w:t>48 700 €/an — parmi les plus élevés d'Europe</w:t>
      </w:r>
    </w:p>
    <w:p>
      <w:pPr>
        <w:pStyle w:val="ListBullet"/>
        <w:ind w:left="0"/>
      </w:pPr>
      <w:r>
        <w:rPr>
          <w:b/>
          <w:sz w:val="20"/>
        </w:rPr>
        <w:t xml:space="preserve">Population : </w:t>
      </w:r>
      <w:r>
        <w:rPr>
          <w:sz w:val="20"/>
        </w:rPr>
        <w:t>11 774 642 habitants (Worldometer, mi-2026)</w:t>
      </w:r>
    </w:p>
    <w:p>
      <w:pPr>
        <w:pStyle w:val="ListBullet"/>
        <w:ind w:left="0"/>
      </w:pPr>
      <w:r>
        <w:rPr>
          <w:b/>
          <w:sz w:val="20"/>
        </w:rPr>
        <w:t xml:space="preserve">Urbanisation : </w:t>
      </w:r>
      <w:r>
        <w:rPr>
          <w:sz w:val="20"/>
        </w:rPr>
        <w:t>99% (quasi-totalité de la population en zone urbaine)</w:t>
      </w:r>
    </w:p>
    <w:p>
      <w:pPr>
        <w:pStyle w:val="ListBullet"/>
        <w:ind w:left="0"/>
      </w:pPr>
      <w:r>
        <w:rPr>
          <w:b/>
          <w:sz w:val="20"/>
        </w:rPr>
        <w:t xml:space="preserve">Croissance PIB : </w:t>
      </w:r>
      <w:r>
        <w:rPr>
          <w:sz w:val="20"/>
        </w:rPr>
        <w:t>+1,0% en 2025, +1,1% en 2024</w:t>
      </w:r>
    </w:p>
    <w:p>
      <w:pPr>
        <w:pStyle w:val="ListBullet"/>
        <w:ind w:left="0"/>
      </w:pPr>
      <w:r>
        <w:rPr>
          <w:b/>
          <w:sz w:val="20"/>
        </w:rPr>
        <w:t xml:space="preserve">Déficit public : </w:t>
      </w:r>
      <w:r>
        <w:rPr>
          <w:sz w:val="20"/>
        </w:rPr>
        <w:t>-5,2% du PIB en 2025 (pression sur dépenses publiques futures)</w:t>
      </w:r>
    </w:p>
    <w:p>
      <w:pPr>
        <w:pStyle w:val="ListBullet"/>
        <w:ind w:left="0"/>
      </w:pPr>
      <w:r>
        <w:rPr>
          <w:b/>
          <w:sz w:val="20"/>
        </w:rPr>
        <w:t xml:space="preserve">Poids BTP : </w:t>
      </w:r>
      <w:r>
        <w:rPr>
          <w:sz w:val="20"/>
        </w:rPr>
        <w:t>[DONNÉE NON DISPONIBLE — % PIB construction BE non trouvé en source fiable]</w:t>
      </w:r>
    </w:p>
    <w:p/>
    <w:p>
      <w:pPr>
        <w:pStyle w:val="Heading2"/>
      </w:pPr>
      <w:r>
        <w:rPr>
          <w:color w:val="2E75B6"/>
        </w:rPr>
        <w:t>1.3 Relations commerciales France-Belgique</w:t>
      </w:r>
    </w:p>
    <w:p>
      <w:pPr>
        <w:pStyle w:val="ListBullet"/>
        <w:ind w:left="0"/>
      </w:pPr>
      <w:r>
        <w:rPr>
          <w:sz w:val="20"/>
        </w:rPr>
        <w:t>Volume total échanges bilatéraux : 89,4 Md€ en 2025 (Trésor FR, 2025), -8,5% vs 2024.</w:t>
      </w:r>
    </w:p>
    <w:p>
      <w:pPr>
        <w:pStyle w:val="ListBullet"/>
        <w:ind w:left="0"/>
      </w:pPr>
      <w:r>
        <w:rPr>
          <w:sz w:val="20"/>
        </w:rPr>
        <w:t>Exportations françaises vers BE : 44,9 Md€ (stable). Importations depuis BE : 44,5 Md€ (-15,1%).</w:t>
      </w:r>
    </w:p>
    <w:p>
      <w:pPr>
        <w:pStyle w:val="ListBullet"/>
        <w:ind w:left="0"/>
      </w:pPr>
      <w:r>
        <w:rPr>
          <w:sz w:val="20"/>
        </w:rPr>
        <w:t>La France dégage un léger excédent de +0,3 Md€ en 2025 (après déficit -7,2 Md€ en 2024).</w:t>
      </w:r>
    </w:p>
    <w:p>
      <w:pPr>
        <w:pStyle w:val="ListBullet"/>
        <w:ind w:left="0"/>
      </w:pPr>
      <w:r>
        <w:rPr>
          <w:sz w:val="20"/>
        </w:rPr>
        <w:t>Stock IDE français en Belgique : 126 405 M€ en 2024. Flux : 1 358 M€.</w:t>
      </w:r>
    </w:p>
    <w:p>
      <w:pPr>
        <w:pStyle w:val="ListBullet"/>
        <w:ind w:left="0"/>
      </w:pPr>
      <w:r>
        <w:rPr>
          <w:sz w:val="20"/>
        </w:rPr>
        <w:t>Belgique = 6ème partenaire commercial de la France (2ème client et 3ème fournisseur vu de BE).</w:t>
      </w:r>
    </w:p>
    <w:p>
      <w:pPr>
        <w:pStyle w:val="ListBullet"/>
        <w:ind w:left="0"/>
      </w:pPr>
      <w:r>
        <w:rPr>
          <w:sz w:val="20"/>
        </w:rPr>
        <w:t>Proximité culturelle forte côté wallon/bruxellois (francophone). Côté flamand : néerlandophone, sensibilité produit allemande/néerlandaise souvent dominante.</w:t>
      </w:r>
    </w:p>
    <w:p>
      <w:pPr>
        <w:pStyle w:val="ListBullet"/>
        <w:ind w:left="0"/>
      </w:pPr>
      <w:r>
        <w:rPr>
          <w:sz w:val="20"/>
        </w:rPr>
        <w:t>Avantage Presto : marque française reconnue, facilité logistique (livraison rapide depuis FR), documentation disponible en français pour partie francophone.</w:t>
      </w:r>
    </w:p>
    <w:p/>
    <w:p>
      <w:pPr>
        <w:pStyle w:val="Heading2"/>
      </w:pPr>
      <w:r>
        <w:rPr>
          <w:color w:val="2E75B6"/>
        </w:rPr>
        <w:t>1.4 Tendances d'investissement</w:t>
      </w:r>
    </w:p>
    <w:p>
      <w:pPr>
        <w:pStyle w:val="ListBullet"/>
        <w:ind w:left="0"/>
      </w:pPr>
      <w:r>
        <w:rPr>
          <w:sz w:val="20"/>
        </w:rPr>
        <w:t>BEI Groupe : 2,6 Md€ investis en Belgique en 2025 (infra sociales, innovation, transition verte).</w:t>
      </w:r>
    </w:p>
    <w:p>
      <w:pPr>
        <w:pStyle w:val="ListBullet"/>
        <w:ind w:left="0"/>
      </w:pPr>
      <w:r>
        <w:rPr>
          <w:sz w:val="20"/>
        </w:rPr>
        <w:t>Logement social Flandre : 1,7 Md€ BEI pour 56 000 logements sociaux d'ici 2042 (premier tranche 700 M€ signée).</w:t>
      </w:r>
    </w:p>
    <w:p>
      <w:pPr>
        <w:pStyle w:val="ListBullet"/>
        <w:ind w:left="0"/>
      </w:pPr>
      <w:r>
        <w:rPr>
          <w:sz w:val="20"/>
        </w:rPr>
        <w:t>Santé mentale : 120 M€ BEI pour Z.org KU Leuven/Kortenberg — programme total 270 M€ (2026-2040).</w:t>
      </w:r>
    </w:p>
    <w:p>
      <w:pPr>
        <w:pStyle w:val="ListBullet"/>
        <w:ind w:left="0"/>
      </w:pPr>
      <w:r>
        <w:rPr>
          <w:sz w:val="20"/>
        </w:rPr>
        <w:t>Hôpitaux universitaires FWB : 438 M€ plan 2024-2028 (CHU Liège 160M€, Saint-Luc 171M€, Erasme 55M€, Mont-Godinne 37M€).</w:t>
      </w:r>
    </w:p>
    <w:p>
      <w:pPr>
        <w:pStyle w:val="ListBullet"/>
        <w:ind w:left="0"/>
      </w:pPr>
      <w:r>
        <w:rPr>
          <w:sz w:val="20"/>
        </w:rPr>
        <w:t>Bâtiments scolaires FWB : 1 Md€ de subventions (dont 300M€ appel 1, 200M€ appel 2 nov. 2023).</w:t>
      </w:r>
    </w:p>
    <w:p>
      <w:pPr>
        <w:pStyle w:val="ListBullet"/>
        <w:ind w:left="0"/>
      </w:pPr>
      <w:r>
        <w:rPr>
          <w:sz w:val="20"/>
        </w:rPr>
        <w:t>Rénovation logements sociaux Wallonie : 1,2 Md€ pour 25 000 logements (objectif 55 000 d'ici 2030).</w:t>
      </w:r>
    </w:p>
    <w:p>
      <w:pPr>
        <w:pStyle w:val="ListBullet"/>
        <w:ind w:left="0"/>
      </w:pPr>
      <w:r>
        <w:rPr>
          <w:sz w:val="20"/>
        </w:rPr>
        <w:t>Plan de relance : 51% des fonds RRF alloués à des mesures climatiques (rénovation énergétique).</w:t>
      </w:r>
    </w:p>
    <w:p/>
    <w:p>
      <w:pPr>
        <w:pStyle w:val="Heading1"/>
      </w:pPr>
      <w:r>
        <w:rPr>
          <w:color w:val="1F497D"/>
        </w:rPr>
        <w:t>PARTIE 2 — MARCHÉ DE LA CONSTRUCTION</w:t>
      </w:r>
    </w:p>
    <w:p>
      <w:pPr>
        <w:pStyle w:val="Heading2"/>
      </w:pPr>
      <w:r>
        <w:rPr>
          <w:color w:val="2E75B6"/>
        </w:rPr>
        <w:t>2.1 État actuel</w:t>
      </w:r>
    </w:p>
    <w:p>
      <w:pPr>
        <w:pStyle w:val="ListBullet"/>
        <w:ind w:left="0"/>
      </w:pPr>
      <w:r>
        <w:rPr>
          <w:sz w:val="20"/>
        </w:rPr>
        <w:t>Marché Benelux (BE+NL+LU) : 111 Md$ en 2024, CAGR 4,2% prévu jusqu'à 2032 → 152 Md$ (DataBridge Market Research, 2024).</w:t>
      </w:r>
    </w:p>
    <w:p>
      <w:pPr>
        <w:pStyle w:val="ListBullet"/>
        <w:ind w:left="0"/>
      </w:pPr>
      <w:r>
        <w:rPr>
          <w:sz w:val="20"/>
        </w:rPr>
        <w:t>Belgique seule 2024 : contraction de -2,8% — une des pires performances d'Europe occidentale.</w:t>
      </w:r>
    </w:p>
    <w:p>
      <w:pPr>
        <w:pStyle w:val="ListBullet"/>
        <w:ind w:left="0"/>
      </w:pPr>
      <w:r>
        <w:rPr>
          <w:sz w:val="20"/>
        </w:rPr>
        <w:t>Permis de construire : -11% (tous types). Permis résidentiels : -15%.</w:t>
      </w:r>
    </w:p>
    <w:p>
      <w:pPr>
        <w:pStyle w:val="ListBullet"/>
        <w:ind w:left="0"/>
      </w:pPr>
      <w:r>
        <w:rPr>
          <w:sz w:val="20"/>
        </w:rPr>
        <w:t>Faillites : 2 600+ entreprises de construction en 2024, soit +17% vs 2023 (Allianz Trade, 2024).</w:t>
      </w:r>
    </w:p>
    <w:p>
      <w:pPr>
        <w:pStyle w:val="ListBullet"/>
        <w:ind w:left="0"/>
      </w:pPr>
      <w:r>
        <w:rPr>
          <w:sz w:val="20"/>
        </w:rPr>
        <w:t>53 800 logements livrés en 2024 (+10% vs 2023), mais volumes de construction résidentielle -11% depuis pic T3 2021.</w:t>
      </w:r>
    </w:p>
    <w:p>
      <w:pPr>
        <w:pStyle w:val="Heading2"/>
      </w:pPr>
      <w:r>
        <w:rPr>
          <w:color w:val="2E75B6"/>
        </w:rPr>
        <w:t>2.2 Dynamique Neuf vs Rénovation</w:t>
      </w:r>
    </w:p>
    <w:p>
      <w:pPr>
        <w:pStyle w:val="ListBullet"/>
        <w:ind w:left="0"/>
      </w:pPr>
      <w:r>
        <w:rPr>
          <w:sz w:val="20"/>
        </w:rPr>
        <w:t>Neuf résidentiel : sous-performance majeure. Nombre de permis historiquement bas.</w:t>
      </w:r>
    </w:p>
    <w:p>
      <w:pPr>
        <w:pStyle w:val="ListBullet"/>
        <w:ind w:left="0"/>
      </w:pPr>
      <w:r>
        <w:rPr>
          <w:sz w:val="20"/>
        </w:rPr>
        <w:t>Rénovation : dominant — le nombre de permis de rénovation dépasse celui des nouvelles constructions depuis plusieurs années.</w:t>
      </w:r>
    </w:p>
    <w:p>
      <w:pPr>
        <w:pStyle w:val="ListBullet"/>
        <w:ind w:left="0"/>
      </w:pPr>
      <w:r>
        <w:rPr>
          <w:sz w:val="20"/>
        </w:rPr>
        <w:t>Génie civil 2024 : +4,4% (après +4,9% en 2023) — seul segment performant, porté par plans de relance et investissements municipaux.</w:t>
      </w:r>
    </w:p>
    <w:p>
      <w:pPr>
        <w:pStyle w:val="ListBullet"/>
        <w:ind w:left="0"/>
      </w:pPr>
      <w:r>
        <w:rPr>
          <w:sz w:val="20"/>
        </w:rPr>
        <w:t>Génie civil 2025 : -2,2% attendu (Embuild / ING, 2025) — décélération après deux années de soutien public.</w:t>
      </w:r>
    </w:p>
    <w:p>
      <w:pPr>
        <w:pStyle w:val="Heading2"/>
      </w:pPr>
      <w:r>
        <w:rPr>
          <w:color w:val="2E75B6"/>
        </w:rPr>
        <w:t>2.3 Perspectives</w:t>
      </w:r>
    </w:p>
    <w:p>
      <w:pPr>
        <w:pStyle w:val="ListBullet"/>
        <w:ind w:left="0"/>
      </w:pPr>
      <w:r>
        <w:rPr>
          <w:sz w:val="20"/>
        </w:rPr>
        <w:t>2025 : -0,4% global (EMAE, 2025). Contexte : demande atone, marges faibles, contraintes administratives excessives.</w:t>
      </w:r>
    </w:p>
    <w:p>
      <w:pPr>
        <w:pStyle w:val="ListBullet"/>
        <w:ind w:left="0"/>
      </w:pPr>
      <w:r>
        <w:rPr>
          <w:sz w:val="20"/>
        </w:rPr>
        <w:t>2026 : reprise très modérée attendue (ING, déc. 2025) — bâtiments non-résidentiels et rénovation en tête.</w:t>
      </w:r>
    </w:p>
    <w:p>
      <w:pPr>
        <w:pStyle w:val="ListBullet"/>
        <w:ind w:left="0"/>
      </w:pPr>
      <w:r>
        <w:rPr>
          <w:sz w:val="20"/>
        </w:rPr>
        <w:t>Moteurs durables : rénovation énergétique (PEB), investissements publics ciblés, demande de bâtiments durables.</w:t>
      </w:r>
    </w:p>
    <w:p/>
    <w:p>
      <w:pPr>
        <w:pStyle w:val="Heading1"/>
      </w:pPr>
      <w:r>
        <w:rPr>
          <w:color w:val="1F497D"/>
        </w:rPr>
        <w:t>PARTIE 3 — CONSTRUCTION NON-RÉSIDENTIELLE</w:t>
      </w:r>
    </w:p>
    <w:p>
      <w:pPr>
        <w:pStyle w:val="Heading2"/>
      </w:pPr>
      <w:r>
        <w:rPr>
          <w:color w:val="2E75B6"/>
        </w:rPr>
        <w:t>3.1 État actuel et part dans la construction totale</w:t>
      </w:r>
    </w:p>
    <w:p>
      <w:pPr>
        <w:pStyle w:val="ListBullet"/>
        <w:ind w:left="0"/>
      </w:pPr>
      <w:r>
        <w:rPr>
          <w:sz w:val="20"/>
        </w:rPr>
        <w:t>Seul grand segment en croissance positive en 2024 : +1,4% pour le non-résidentiel neuf (bureaux, commerces, bâtiments industriels).</w:t>
      </w:r>
    </w:p>
    <w:p>
      <w:pPr>
        <w:pStyle w:val="ListBullet"/>
        <w:ind w:left="0"/>
      </w:pPr>
      <w:r>
        <w:rPr>
          <w:sz w:val="20"/>
        </w:rPr>
        <w:t>Non-résidentiel rénovation : -2,1% en 2024, mais autorisations accordées +8,7% — signal positif à 12-18 mois.</w:t>
      </w:r>
    </w:p>
    <w:p>
      <w:pPr>
        <w:pStyle w:val="ListBullet"/>
        <w:ind w:left="0"/>
      </w:pPr>
      <w:r>
        <w:rPr>
          <w:sz w:val="20"/>
        </w:rPr>
        <w:t>Perspectives 2025 : +1,5% attendu pour le neuf non-résidentiel (ING, 2025). Soutien des projets publics (santé, éducation) et rénovations énergétiques.</w:t>
      </w:r>
    </w:p>
    <w:p>
      <w:pPr>
        <w:pStyle w:val="ListBullet"/>
        <w:ind w:left="0"/>
      </w:pPr>
      <w:r>
        <w:rPr>
          <w:sz w:val="20"/>
        </w:rPr>
        <w:t>[DONNÉE NON DISPONIBLE — part exacte du non-résidentiel dans la construction totale belge en valeur]</w:t>
      </w:r>
    </w:p>
    <w:p>
      <w:pPr>
        <w:pStyle w:val="Heading2"/>
      </w:pPr>
      <w:r>
        <w:rPr>
          <w:color w:val="2E75B6"/>
        </w:rPr>
        <w:t>3.2 Segments dominants</w:t>
      </w:r>
    </w:p>
    <w:p>
      <w:pPr>
        <w:pStyle w:val="ListBullet"/>
        <w:ind w:left="0"/>
      </w:pPr>
      <w:r>
        <w:rPr>
          <w:sz w:val="20"/>
        </w:rPr>
        <w:t>Bureaux et espaces commerciaux : en hausse — regain d'activité post-COVID.</w:t>
      </w:r>
    </w:p>
    <w:p>
      <w:pPr>
        <w:pStyle w:val="ListBullet"/>
        <w:ind w:left="0"/>
      </w:pPr>
      <w:r>
        <w:rPr>
          <w:sz w:val="20"/>
        </w:rPr>
        <w:t>Bâtiments industriels : croissance continue, portée par logistique et relocalisation industrielle.</w:t>
      </w:r>
    </w:p>
    <w:p>
      <w:pPr>
        <w:pStyle w:val="ListBullet"/>
        <w:ind w:left="0"/>
      </w:pPr>
      <w:r>
        <w:rPr>
          <w:sz w:val="20"/>
        </w:rPr>
        <w:t>Projets publics (santé, éducation) : investissements planifiés pluriannuels (cf. Partie 1.4) — pipeline solide et visible.</w:t>
      </w:r>
    </w:p>
    <w:p>
      <w:pPr>
        <w:pStyle w:val="ListBullet"/>
        <w:ind w:left="0"/>
      </w:pPr>
      <w:r>
        <w:rPr>
          <w:sz w:val="20"/>
        </w:rPr>
        <w:t>Non-résidentiel privé : prudent mais stable.</w:t>
      </w:r>
    </w:p>
    <w:p/>
    <w:p>
      <w:pPr>
        <w:pStyle w:val="Heading1"/>
      </w:pPr>
      <w:r>
        <w:rPr>
          <w:color w:val="1F497D"/>
        </w:rPr>
        <w:t>PARTIE 4 — POIDS DES SEGMENTS ERP</w:t>
      </w:r>
    </w:p>
    <w:p>
      <w:r>
        <w:rPr>
          <w:i/>
          <w:color w:val="C05020"/>
          <w:sz w:val="18"/>
        </w:rPr>
        <w:t>⚠ Les données chiffrées par segment ERP en Belgique sont fragmentaires. Les informations ci-dessous combinent données disponibles et signaux qualitatifs. Les lacunes sont explicitement signalées.</w:t>
      </w:r>
    </w:p>
    <w:p>
      <w:pPr>
        <w:pStyle w:val="Heading2"/>
      </w:pPr>
      <w:r>
        <w:rPr>
          <w:color w:val="2E75B6"/>
        </w:rPr>
        <w:t>4.1 Éducation</w:t>
      </w:r>
    </w:p>
    <w:p>
      <w:pPr>
        <w:pStyle w:val="ListBullet"/>
        <w:ind w:left="0"/>
      </w:pPr>
      <w:r>
        <w:rPr>
          <w:sz w:val="20"/>
        </w:rPr>
        <w:t>Fédération Wallonie-Bruxelles : 1 Md€ de subventions pour rénovation bâtiments scolaires (2023-2028). 1er appel 300M€, 2ème appel 200M€ (nov. 2023).</w:t>
      </w:r>
    </w:p>
    <w:p>
      <w:pPr>
        <w:pStyle w:val="ListBullet"/>
        <w:ind w:left="0"/>
      </w:pPr>
      <w:r>
        <w:rPr>
          <w:sz w:val="20"/>
        </w:rPr>
        <w:t>Priorités : performance énergétique, accessibilité PMR, connectivité.</w:t>
      </w:r>
    </w:p>
    <w:p>
      <w:pPr>
        <w:pStyle w:val="ListBullet"/>
        <w:ind w:left="0"/>
      </w:pPr>
      <w:r>
        <w:rPr>
          <w:sz w:val="20"/>
        </w:rPr>
        <w:t>Résidences étudiantes : projet emblématique Sart-Tilman (ULiège) — 407 chambres, livraison fin 2025. Appel à projets Wallonie pour logements étudiants publics en cours.</w:t>
      </w:r>
    </w:p>
    <w:p>
      <w:pPr>
        <w:pStyle w:val="ListBullet"/>
        <w:ind w:left="0"/>
      </w:pPr>
      <w:r>
        <w:rPr>
          <w:sz w:val="20"/>
        </w:rPr>
        <w:t>[DONNÉE NON DISPONIBLE — nombre total d'établissements scolaires BE, volume marché rénovation/neuf éducation par an]</w:t>
      </w:r>
    </w:p>
    <w:p>
      <w:pPr>
        <w:pStyle w:val="Heading2"/>
      </w:pPr>
      <w:r>
        <w:rPr>
          <w:color w:val="2E75B6"/>
        </w:rPr>
        <w:t>4.2 Santé / Hôpitaux / EHPAD</w:t>
      </w:r>
    </w:p>
    <w:p>
      <w:pPr>
        <w:pStyle w:val="ListBullet"/>
        <w:ind w:left="0"/>
      </w:pPr>
      <w:r>
        <w:rPr>
          <w:sz w:val="20"/>
        </w:rPr>
        <w:t>Hôpitaux universitaires FWB : plan 438 M€ 2024-2028 — rénovation + construction neuve (CHU Liège, Saint-Luc, Erasme, Mont-Godinne).</w:t>
      </w:r>
    </w:p>
    <w:p>
      <w:pPr>
        <w:pStyle w:val="ListBullet"/>
        <w:ind w:left="0"/>
      </w:pPr>
      <w:r>
        <w:rPr>
          <w:sz w:val="20"/>
        </w:rPr>
        <w:t>Santé mentale : Z.org KU Leuven + Kortenberg, programme 270 M€ jusqu'à 2040 (120 M€ BEI).</w:t>
      </w:r>
    </w:p>
    <w:p>
      <w:pPr>
        <w:pStyle w:val="ListBullet"/>
        <w:ind w:left="0"/>
      </w:pPr>
      <w:r>
        <w:rPr>
          <w:sz w:val="20"/>
        </w:rPr>
        <w:t>EHPAD/Maisons de retraite : [DONNÉE NON DISPONIBLE — parc total BE, taux de rénovation, volume investissement]</w:t>
      </w:r>
    </w:p>
    <w:p>
      <w:pPr>
        <w:pStyle w:val="ListBullet"/>
        <w:ind w:left="0"/>
      </w:pPr>
      <w:r>
        <w:rPr>
          <w:sz w:val="20"/>
        </w:rPr>
        <w:t>Signal fort : vieillissement de la population belge → pression croissante sur l'offre de soins et d'hébergement.</w:t>
      </w:r>
    </w:p>
    <w:p>
      <w:pPr>
        <w:pStyle w:val="Heading2"/>
      </w:pPr>
      <w:r>
        <w:rPr>
          <w:color w:val="2E75B6"/>
        </w:rPr>
        <w:t>4.3 Bâtiments tertiaires (Bureaux / Cantines)</w:t>
      </w:r>
    </w:p>
    <w:p>
      <w:pPr>
        <w:pStyle w:val="ListBullet"/>
        <w:ind w:left="0"/>
      </w:pPr>
      <w:r>
        <w:rPr>
          <w:sz w:val="20"/>
        </w:rPr>
        <w:t>Seul segment non-résidentiel en croissance nette (+1,4% 2024). Bureaux et cantines d'entreprises en regain.</w:t>
      </w:r>
    </w:p>
    <w:p>
      <w:pPr>
        <w:pStyle w:val="ListBullet"/>
        <w:ind w:left="0"/>
      </w:pPr>
      <w:r>
        <w:rPr>
          <w:sz w:val="20"/>
        </w:rPr>
        <w:t>[DONNÉE NON DISPONIBLE — volume marché bureau neuf/rénové en valeur, nombre de m² livrés]</w:t>
      </w:r>
    </w:p>
    <w:p>
      <w:pPr>
        <w:pStyle w:val="Heading2"/>
      </w:pPr>
      <w:r>
        <w:rPr>
          <w:color w:val="2E75B6"/>
        </w:rPr>
        <w:t>4.4 Bâtiments industriels</w:t>
      </w:r>
    </w:p>
    <w:p>
      <w:pPr>
        <w:pStyle w:val="ListBullet"/>
        <w:ind w:left="0"/>
      </w:pPr>
      <w:r>
        <w:rPr>
          <w:sz w:val="20"/>
        </w:rPr>
        <w:t>En hausse en 2024. Logistique et industrie légère moteurs principaux.</w:t>
      </w:r>
    </w:p>
    <w:p>
      <w:pPr>
        <w:pStyle w:val="ListBullet"/>
        <w:ind w:left="0"/>
      </w:pPr>
      <w:r>
        <w:rPr>
          <w:sz w:val="20"/>
        </w:rPr>
        <w:t>[DONNÉE NON DISPONIBLE — données chiffrées spécifiques]</w:t>
      </w:r>
    </w:p>
    <w:p>
      <w:pPr>
        <w:pStyle w:val="Heading2"/>
      </w:pPr>
      <w:r>
        <w:rPr>
          <w:color w:val="2E75B6"/>
        </w:rPr>
        <w:t>4.5 CHR (Cafés, Hôtels, Restaurants)</w:t>
      </w:r>
    </w:p>
    <w:p>
      <w:pPr>
        <w:pStyle w:val="ListBullet"/>
        <w:ind w:left="0"/>
      </w:pPr>
      <w:r>
        <w:rPr>
          <w:sz w:val="20"/>
        </w:rPr>
        <w:t>Secteur hôtelier belge 2024 : reprise post-COVID, tendance à la montée en gamme (sécurité, wellness, piscines privées). (Forbes Belgique, 2024)</w:t>
      </w:r>
    </w:p>
    <w:p>
      <w:pPr>
        <w:pStyle w:val="ListBullet"/>
        <w:ind w:left="0"/>
      </w:pPr>
      <w:r>
        <w:rPr>
          <w:sz w:val="20"/>
        </w:rPr>
        <w:t>[DONNÉE NON DISPONIBLE — nombre d'hôtels BE, volume investissement CHR en robinetterie]</w:t>
      </w:r>
    </w:p>
    <w:p>
      <w:pPr>
        <w:pStyle w:val="Heading2"/>
      </w:pPr>
      <w:r>
        <w:rPr>
          <w:color w:val="2E75B6"/>
        </w:rPr>
        <w:t>4.6 HPA (Hôtellerie Plein Air, Campings, Piscines plein air)</w:t>
      </w:r>
    </w:p>
    <w:p>
      <w:pPr>
        <w:pStyle w:val="ListBullet"/>
        <w:ind w:left="0"/>
      </w:pPr>
      <w:r>
        <w:rPr>
          <w:sz w:val="20"/>
        </w:rPr>
        <w:t>Wallonie : extension des incitations pour piscines communautaires votée déc. 2025. Coopérations supracommunales encouragées.</w:t>
      </w:r>
    </w:p>
    <w:p>
      <w:pPr>
        <w:pStyle w:val="ListBullet"/>
        <w:ind w:left="0"/>
      </w:pPr>
      <w:r>
        <w:rPr>
          <w:sz w:val="20"/>
        </w:rPr>
        <w:t>[DONNÉE NON DISPONIBLE — parc campings BE, volume équipement HPA]</w:t>
      </w:r>
    </w:p>
    <w:p>
      <w:pPr>
        <w:pStyle w:val="Heading2"/>
      </w:pPr>
      <w:r>
        <w:rPr>
          <w:color w:val="2E75B6"/>
        </w:rPr>
        <w:t>4.7 Centres Sport &amp; Loisirs</w:t>
      </w:r>
    </w:p>
    <w:p>
      <w:pPr>
        <w:pStyle w:val="ListBullet"/>
        <w:ind w:left="0"/>
      </w:pPr>
      <w:r>
        <w:rPr>
          <w:sz w:val="20"/>
        </w:rPr>
        <w:t>Programme Infrasports Wallonie : subventions aux communes pour équipements sportifs.</w:t>
      </w:r>
    </w:p>
    <w:p>
      <w:pPr>
        <w:pStyle w:val="ListBullet"/>
        <w:ind w:left="0"/>
      </w:pPr>
      <w:r>
        <w:rPr>
          <w:sz w:val="20"/>
        </w:rPr>
        <w:t>Projet phare : nouveau complexe sportif avec piscine en périphérie bruxelloise — travaux début 2025 (piscine olympique + récréative + wellness + vagues). (L'Avenir, 2024)</w:t>
      </w:r>
    </w:p>
    <w:p>
      <w:pPr>
        <w:pStyle w:val="ListBullet"/>
        <w:ind w:left="0"/>
      </w:pPr>
      <w:r>
        <w:rPr>
          <w:sz w:val="20"/>
        </w:rPr>
        <w:t>[DONNÉE NON DISPONIBLE — nombre de gymnases et piscines couvertes BE, volume marché]</w:t>
      </w:r>
    </w:p>
    <w:p>
      <w:pPr>
        <w:pStyle w:val="Heading2"/>
      </w:pPr>
      <w:r>
        <w:rPr>
          <w:color w:val="2E75B6"/>
        </w:rPr>
        <w:t>4.8 Établissements à sécurité renforcée (Pénitentiaire)</w:t>
      </w:r>
    </w:p>
    <w:p>
      <w:pPr>
        <w:pStyle w:val="ListBullet"/>
        <w:ind w:left="0"/>
      </w:pPr>
      <w:r>
        <w:rPr>
          <w:sz w:val="20"/>
        </w:rPr>
        <w:t>Surpopulation carcérale critique : 13 397 détenus pour 10 795 places (taux 124%), 614 au sol (Prison Insider, déc. 2025).</w:t>
      </w:r>
    </w:p>
    <w:p>
      <w:pPr>
        <w:pStyle w:val="ListBullet"/>
        <w:ind w:left="0"/>
      </w:pPr>
      <w:r>
        <w:rPr>
          <w:sz w:val="20"/>
        </w:rPr>
        <w:t>Plan d'action fédéral juillet 2025 : maintien prisons anciennes + unités modulaires préfabriquées + nouvelles constructions avec technologies avancées.</w:t>
      </w:r>
    </w:p>
    <w:p>
      <w:pPr>
        <w:pStyle w:val="ListBullet"/>
        <w:ind w:left="0"/>
      </w:pPr>
      <w:r>
        <w:rPr>
          <w:sz w:val="20"/>
        </w:rPr>
        <w:t>Nouvelles prisons : Anvers livrée début 2025 (440 détenus). Vresse-sur-Semois : 171 M€ (Wallonie). 3 autres prisons à horizon 2030.</w:t>
      </w:r>
    </w:p>
    <w:p>
      <w:pPr>
        <w:pStyle w:val="ListBullet"/>
        <w:ind w:left="0"/>
      </w:pPr>
      <w:r>
        <w:rPr>
          <w:sz w:val="20"/>
        </w:rPr>
        <w:t>Pipeline de construction pénitentiaire solide — segment anti-vandalisme stratégique pour Presto.</w:t>
      </w:r>
    </w:p>
    <w:p>
      <w:pPr>
        <w:pStyle w:val="Heading2"/>
      </w:pPr>
      <w:r>
        <w:rPr>
          <w:color w:val="2E75B6"/>
        </w:rPr>
        <w:t>4.9 Bâtiments culturels, lieux de culte, transports</w:t>
      </w:r>
    </w:p>
    <w:p>
      <w:pPr>
        <w:pStyle w:val="ListBullet"/>
        <w:ind w:left="0"/>
      </w:pPr>
      <w:r>
        <w:rPr>
          <w:sz w:val="20"/>
        </w:rPr>
        <w:t>[DONNÉE NON DISPONIBLE — données sectorielles BE non trouvées en sources fiables]</w:t>
      </w:r>
    </w:p>
    <w:p>
      <w:pPr>
        <w:pStyle w:val="ListBullet"/>
        <w:ind w:left="0"/>
      </w:pPr>
      <w:r>
        <w:rPr>
          <w:sz w:val="20"/>
        </w:rPr>
        <w:t>Note : aéroports (Brussels Airport, Charleroi), gares SNCB — projets de modernisation en cours mais données non sourcées.</w:t>
      </w:r>
    </w:p>
    <w:p/>
    <w:p>
      <w:pPr>
        <w:pStyle w:val="Heading1"/>
      </w:pPr>
      <w:r>
        <w:rPr>
          <w:color w:val="1F497D"/>
        </w:rPr>
        <w:t>PARTIE 5 — TAILLE MARCHÉ : ROBINETTERIE GÉNÉRALE</w:t>
      </w:r>
    </w:p>
    <w:p>
      <w:pPr>
        <w:pStyle w:val="Heading2"/>
      </w:pPr>
      <w:r>
        <w:rPr>
          <w:color w:val="2E75B6"/>
        </w:rPr>
        <w:t>5.1 Taille et valeur du marché</w:t>
      </w:r>
    </w:p>
    <w:p>
      <w:r>
        <w:rPr>
          <w:i/>
          <w:color w:val="C05020"/>
          <w:sz w:val="18"/>
        </w:rPr>
        <w:t>⚠ [DONNÉE NON DISPONIBLE — aucune source fiable trouvée sur la taille du marché belge de la robinetterie générale en valeur. Données ci-dessous = contexte européen/mondial pour calibrage.]</w:t>
      </w:r>
    </w:p>
    <w:p>
      <w:pPr>
        <w:pStyle w:val="ListBullet"/>
        <w:ind w:left="0"/>
      </w:pPr>
      <w:r>
        <w:rPr>
          <w:sz w:val="20"/>
        </w:rPr>
        <w:t>Marché mondial sanitaire (appareils + robinetterie) : 34,3 Md$ en 2024 → 36 Md$ en 2025 (GMI Insights, 2025).</w:t>
      </w:r>
    </w:p>
    <w:p>
      <w:pPr>
        <w:pStyle w:val="ListBullet"/>
        <w:ind w:left="0"/>
      </w:pPr>
      <w:r>
        <w:rPr>
          <w:sz w:val="20"/>
        </w:rPr>
        <w:t>Marché français robinetterie sanitaire (référence proche) : 635 M€ en 2023 — robinetterie = 34% du marché sanitaire total (Xerfi, 2023).</w:t>
      </w:r>
    </w:p>
    <w:p>
      <w:pPr>
        <w:pStyle w:val="ListBullet"/>
        <w:ind w:left="0"/>
      </w:pPr>
      <w:r>
        <w:rPr>
          <w:sz w:val="20"/>
        </w:rPr>
        <w:t>Extrapolation indicative (non sourcée — à revalider) : si ratio FR/BE ~8-10 pour l'économie, marché BE robinetterie serait de l'ordre de 60-80 M€. [À CONFIRMER — cf. Partie 9]</w:t>
      </w:r>
    </w:p>
    <w:p>
      <w:pPr>
        <w:pStyle w:val="Heading2"/>
      </w:pPr>
      <w:r>
        <w:rPr>
          <w:color w:val="2E75B6"/>
        </w:rPr>
        <w:t>5.2 Canaux de distribution</w:t>
      </w:r>
    </w:p>
    <w:p>
      <w:pPr>
        <w:pStyle w:val="ListBullet"/>
        <w:ind w:left="0"/>
      </w:pPr>
      <w:r>
        <w:rPr>
          <w:sz w:val="20"/>
        </w:rPr>
        <w:t>Négoce spécialisé plomberie-chauffage : principal canal BtoB (SIDER, Versani, Willems-Diels, Aquacaro).</w:t>
      </w:r>
    </w:p>
    <w:p>
      <w:pPr>
        <w:pStyle w:val="ListBullet"/>
        <w:ind w:left="0"/>
      </w:pPr>
      <w:r>
        <w:rPr>
          <w:sz w:val="20"/>
        </w:rPr>
        <w:t>Groupe BME/STG : acquisition de Paepens (Flandre) → réseau négoce sanitaire/chauffage en structuration.</w:t>
      </w:r>
    </w:p>
    <w:p>
      <w:pPr>
        <w:pStyle w:val="ListBullet"/>
        <w:ind w:left="0"/>
      </w:pPr>
      <w:r>
        <w:rPr>
          <w:sz w:val="20"/>
        </w:rPr>
        <w:t>E-commerce professionnel : Sawiday.be, Sider.biz — présence Presto confirmée sur ces plateformes.</w:t>
      </w:r>
    </w:p>
    <w:p>
      <w:pPr>
        <w:pStyle w:val="ListBullet"/>
        <w:ind w:left="0"/>
      </w:pPr>
      <w:r>
        <w:rPr>
          <w:sz w:val="20"/>
        </w:rPr>
        <w:t>Prescripteurs : architectes, bureaux d'études techniques, coordinateurs de marché publics.</w:t>
      </w:r>
    </w:p>
    <w:p>
      <w:pPr>
        <w:pStyle w:val="Heading2"/>
      </w:pPr>
      <w:r>
        <w:rPr>
          <w:color w:val="2E75B6"/>
        </w:rPr>
        <w:t>5.3 Spécificités produit Belgique</w:t>
      </w:r>
    </w:p>
    <w:p>
      <w:pPr>
        <w:pStyle w:val="ListBullet"/>
        <w:ind w:left="0"/>
      </w:pPr>
      <w:r>
        <w:rPr>
          <w:sz w:val="20"/>
        </w:rPr>
        <w:t>Forte sensibilité aux marques allemandes/autrichiennes côté flamand (Hansgrohe, Grohe, Hansa).</w:t>
      </w:r>
    </w:p>
    <w:p>
      <w:pPr>
        <w:pStyle w:val="ListBullet"/>
        <w:ind w:left="0"/>
      </w:pPr>
      <w:r>
        <w:rPr>
          <w:sz w:val="20"/>
        </w:rPr>
        <w:t>Côté wallon/bruxellois : proximité culturelle française → ouverture aux marques FR (Presto, Delabie).</w:t>
      </w:r>
    </w:p>
    <w:p>
      <w:pPr>
        <w:pStyle w:val="ListBullet"/>
        <w:ind w:left="0"/>
      </w:pPr>
      <w:r>
        <w:rPr>
          <w:sz w:val="20"/>
        </w:rPr>
        <w:t>Exigence croissante en efficacité hydrique et certification PEB — avantage produits temporisés et électroniques.</w:t>
      </w:r>
    </w:p>
    <w:p>
      <w:pPr>
        <w:pStyle w:val="ListBullet"/>
        <w:ind w:left="0"/>
      </w:pPr>
      <w:r>
        <w:rPr>
          <w:sz w:val="20"/>
        </w:rPr>
        <w:t>[DONNÉE NON DISPONIBLE — volumes de vente par gamme produit, prix moyens marché BE]</w:t>
      </w:r>
    </w:p>
    <w:p/>
    <w:p>
      <w:pPr>
        <w:pStyle w:val="Heading1"/>
      </w:pPr>
      <w:r>
        <w:rPr>
          <w:color w:val="1F497D"/>
        </w:rPr>
        <w:t>PARTIE 6 — TAILLE MARCHÉ : ROBINETTERIE COLLECTIVE</w:t>
      </w:r>
    </w:p>
    <w:p>
      <w:r>
        <w:rPr>
          <w:i/>
          <w:color w:val="C05020"/>
          <w:sz w:val="18"/>
        </w:rPr>
        <w:t>⚠ [DONNÉE NON DISPONIBLE — aucune étude spécifique trouvée sur la taille du marché belge de la robinetterie collective/ERP. Les données ci-dessous sont des signaux indirects.]</w:t>
      </w:r>
    </w:p>
    <w:p>
      <w:pPr>
        <w:pStyle w:val="Heading2"/>
      </w:pPr>
      <w:r>
        <w:rPr>
          <w:color w:val="2E75B6"/>
        </w:rPr>
        <w:t>6.1 Signaux de marché disponibles</w:t>
      </w:r>
    </w:p>
    <w:p>
      <w:pPr>
        <w:pStyle w:val="ListBullet"/>
        <w:ind w:left="0"/>
      </w:pPr>
      <w:r>
        <w:rPr>
          <w:sz w:val="20"/>
        </w:rPr>
        <w:t>Delabie Benelux : filiale commerciale dédiée à Bruxelles (Sint-Pieters-Leeuw) → confirme l'existence d'un marché structuré suffisant pour justifier une implantation locale.</w:t>
      </w:r>
    </w:p>
    <w:p>
      <w:pPr>
        <w:pStyle w:val="ListBullet"/>
        <w:ind w:left="0"/>
      </w:pPr>
      <w:r>
        <w:rPr>
          <w:sz w:val="20"/>
        </w:rPr>
        <w:t>Marchés publics belges : nombreux appels d'offres pour robinetterie hospitalière, scolaire, pénitentiaire — pipeline documenté (cf. Partie 4).</w:t>
      </w:r>
    </w:p>
    <w:p>
      <w:pPr>
        <w:pStyle w:val="ListBullet"/>
        <w:ind w:left="0"/>
      </w:pPr>
      <w:r>
        <w:rPr>
          <w:sz w:val="20"/>
        </w:rPr>
        <w:t>Investissements ERP planifiés (Parties 1 &amp; 4) : environ 2-3 Md€ en construction/rénovation ERP sur 2024-2028 — fraction robinetterie estimée à [DONNÉE NON DISPONIBLE].</w:t>
      </w:r>
    </w:p>
    <w:p>
      <w:pPr>
        <w:pStyle w:val="Heading2"/>
      </w:pPr>
      <w:r>
        <w:rPr>
          <w:color w:val="2E75B6"/>
        </w:rPr>
        <w:t>6.2 Segments ERP dominants (estimation qualitative)</w:t>
      </w:r>
    </w:p>
    <w:p>
      <w:pPr>
        <w:pStyle w:val="ListBullet"/>
        <w:ind w:left="0"/>
      </w:pPr>
      <w:r>
        <w:rPr>
          <w:sz w:val="20"/>
        </w:rPr>
        <w:t>Santé : segment le plus prometteur — investissements pluriannuels, exigences techniques élevées, marché institutionnel stable.</w:t>
      </w:r>
    </w:p>
    <w:p>
      <w:pPr>
        <w:pStyle w:val="ListBullet"/>
        <w:ind w:left="0"/>
      </w:pPr>
      <w:r>
        <w:rPr>
          <w:sz w:val="20"/>
        </w:rPr>
        <w:t>Éducation : volume important (milliers d'établissements), renouvellement progressive, sensible au prix.</w:t>
      </w:r>
    </w:p>
    <w:p>
      <w:pPr>
        <w:pStyle w:val="ListBullet"/>
        <w:ind w:left="0"/>
      </w:pPr>
      <w:r>
        <w:rPr>
          <w:sz w:val="20"/>
        </w:rPr>
        <w:t>Pénitentiaire : niche anti-vandalisme à fort potentiel — pipeline de construction solide 2025-2030.</w:t>
      </w:r>
    </w:p>
    <w:p>
      <w:pPr>
        <w:pStyle w:val="ListBullet"/>
        <w:ind w:left="0"/>
      </w:pPr>
      <w:r>
        <w:rPr>
          <w:sz w:val="20"/>
        </w:rPr>
        <w:t>Logement social : volumes significatifs mais sensibilité-prix forte — position commerciale à définir.</w:t>
      </w:r>
    </w:p>
    <w:p>
      <w:pPr>
        <w:pStyle w:val="Heading2"/>
      </w:pPr>
      <w:r>
        <w:rPr>
          <w:color w:val="2E75B6"/>
        </w:rPr>
        <w:t>6.3 Dynamique et perspectives</w:t>
      </w:r>
    </w:p>
    <w:p>
      <w:pPr>
        <w:pStyle w:val="ListBullet"/>
        <w:ind w:left="0"/>
      </w:pPr>
      <w:r>
        <w:rPr>
          <w:sz w:val="20"/>
        </w:rPr>
        <w:t>Pipeline d'investissements publics en ERP (2024-2030) représente une opportunité structurelle significative.</w:t>
      </w:r>
    </w:p>
    <w:p>
      <w:pPr>
        <w:pStyle w:val="ListBullet"/>
        <w:ind w:left="0"/>
      </w:pPr>
      <w:r>
        <w:rPr>
          <w:sz w:val="20"/>
        </w:rPr>
        <w:t>Tendance : exigences PMR, efficacité hydrique et hygiène renforcée → traction sur produits temporisés, électroniques, inox.</w:t>
      </w:r>
    </w:p>
    <w:p/>
    <w:p>
      <w:pPr>
        <w:pStyle w:val="Heading1"/>
      </w:pPr>
      <w:r>
        <w:rPr>
          <w:color w:val="1F497D"/>
        </w:rPr>
        <w:t>PARTIE 7 — CONCURRENTS</w:t>
      </w:r>
    </w:p>
    <w:p>
      <w:pPr>
        <w:pStyle w:val="Heading2"/>
      </w:pPr>
      <w:r>
        <w:rPr>
          <w:color w:val="2E75B6"/>
        </w:rPr>
        <w:t>7.1 DELABIE (analyse prioritaire)</w:t>
      </w:r>
    </w:p>
    <w:p>
      <w:pPr>
        <w:pStyle w:val="ListBullet"/>
        <w:ind w:left="0"/>
      </w:pPr>
      <w:r>
        <w:rPr>
          <w:sz w:val="20"/>
        </w:rPr>
        <w:t>Positionnement : leader européen de la robinetterie et équipements sanitaires pour ERP. Haut de gamme institutionnel.</w:t>
      </w:r>
    </w:p>
    <w:p>
      <w:pPr>
        <w:pStyle w:val="ListBullet"/>
        <w:ind w:left="0"/>
      </w:pPr>
      <w:r>
        <w:rPr>
          <w:sz w:val="20"/>
        </w:rPr>
        <w:t>Présence Belgique : filiale Delabie Benelux SRL, Sint-Pieters-Leeuw (Bruxelles), issu de l'acquisition de BSC Belgium. Site dédié : delabiebenelux.com (FR + NL).</w:t>
      </w:r>
    </w:p>
    <w:p>
      <w:pPr>
        <w:pStyle w:val="ListBullet"/>
        <w:ind w:left="0"/>
      </w:pPr>
      <w:r>
        <w:rPr>
          <w:sz w:val="20"/>
        </w:rPr>
        <w:t>Organisation : équipe commerciale locale, catalogue complet ERP, présence sur marchés publics belges.</w:t>
      </w:r>
    </w:p>
    <w:p>
      <w:pPr>
        <w:pStyle w:val="ListBullet"/>
        <w:ind w:left="0"/>
      </w:pPr>
      <w:r>
        <w:rPr>
          <w:sz w:val="20"/>
        </w:rPr>
        <w:t>Gamme : robinetterie temporisée et électronique, robinetterie hospitalière, sanitaires inox anti-vandalisme, accessibilité PMR, grandes cuisines collectives.</w:t>
      </w:r>
    </w:p>
    <w:p>
      <w:pPr>
        <w:pStyle w:val="ListBullet"/>
        <w:ind w:left="0"/>
      </w:pPr>
      <w:r>
        <w:rPr>
          <w:sz w:val="20"/>
        </w:rPr>
        <w:t>Forces : marque très connue dans les ERP, réseau négoce établi, documentation technique exhaustive, certifications NF et EN.</w:t>
      </w:r>
    </w:p>
    <w:p>
      <w:pPr>
        <w:pStyle w:val="ListBullet"/>
        <w:ind w:left="0"/>
      </w:pPr>
      <w:r>
        <w:rPr>
          <w:sz w:val="20"/>
        </w:rPr>
        <w:t>Faiblesses : prix haut de gamme, potentiellement perçu comme inaccessible sur certains segments publics à budget contraint.</w:t>
      </w:r>
    </w:p>
    <w:p>
      <w:pPr>
        <w:pStyle w:val="ListBullet"/>
        <w:ind w:left="0"/>
      </w:pPr>
      <w:r>
        <w:rPr>
          <w:sz w:val="20"/>
        </w:rPr>
        <w:t>[DONNÉE NON DISPONIBLE — parts de marché Delabie Benelux en % du marché BE collectif]</w:t>
      </w:r>
    </w:p>
    <w:p>
      <w:pPr>
        <w:pStyle w:val="Heading2"/>
      </w:pPr>
      <w:r>
        <w:rPr>
          <w:color w:val="2E75B6"/>
        </w:rPr>
        <w:t>7.2 Autres concurrents</w:t>
      </w:r>
    </w:p>
    <w:p>
      <w:pPr>
        <w:pStyle w:val="ListBullet"/>
        <w:ind w:left="0"/>
      </w:pPr>
      <w:r>
        <w:rPr>
          <w:b/>
          <w:sz w:val="20"/>
        </w:rPr>
        <w:t xml:space="preserve">Hansgrohe / Grohe (LIXIL) : </w:t>
      </w:r>
      <w:r>
        <w:rPr>
          <w:sz w:val="20"/>
        </w:rPr>
        <w:t>Marques premium allemandes très présentes en Belgique, notamment côté flamand. Forte présence retail + projets résidentiels haut de gamme. Moins spécialisées ERP collectif.</w:t>
      </w:r>
    </w:p>
    <w:p>
      <w:pPr>
        <w:pStyle w:val="ListBullet"/>
        <w:ind w:left="0"/>
      </w:pPr>
      <w:r>
        <w:rPr>
          <w:b/>
          <w:sz w:val="20"/>
        </w:rPr>
        <w:t xml:space="preserve">Hansa : </w:t>
      </w:r>
      <w:r>
        <w:rPr>
          <w:sz w:val="20"/>
        </w:rPr>
        <w:t>Robinets intelligents, milieu-haut de gamme. Site Hansa.com en version belge (hansa.com/fr-be). Produits economy-eau mais positionnement moins ERP.</w:t>
      </w:r>
    </w:p>
    <w:p>
      <w:pPr>
        <w:pStyle w:val="ListBullet"/>
        <w:ind w:left="0"/>
      </w:pPr>
      <w:r>
        <w:rPr>
          <w:b/>
          <w:sz w:val="20"/>
        </w:rPr>
        <w:t xml:space="preserve">Geberit : </w:t>
      </w:r>
      <w:r>
        <w:rPr>
          <w:sz w:val="20"/>
        </w:rPr>
        <w:t>Acteur majeur en sanitaires encastrés, moins sur robinetterie apparente. Fort en projets neufs tertiaires et santé.</w:t>
      </w:r>
    </w:p>
    <w:p>
      <w:pPr>
        <w:pStyle w:val="ListBullet"/>
        <w:ind w:left="0"/>
      </w:pPr>
      <w:r>
        <w:rPr>
          <w:b/>
          <w:sz w:val="20"/>
        </w:rPr>
        <w:t xml:space="preserve">Jacob Delafon (Kohler) : </w:t>
      </w:r>
      <w:r>
        <w:rPr>
          <w:sz w:val="20"/>
        </w:rPr>
        <w:t>Présence Belgique, milieu de gamme, plus résidentiel que collectif.</w:t>
      </w:r>
    </w:p>
    <w:p>
      <w:pPr>
        <w:pStyle w:val="ListBullet"/>
        <w:ind w:left="0"/>
      </w:pPr>
      <w:r>
        <w:rPr>
          <w:b/>
          <w:sz w:val="20"/>
        </w:rPr>
        <w:t xml:space="preserve">Oras / Damixa : </w:t>
      </w:r>
      <w:r>
        <w:rPr>
          <w:sz w:val="20"/>
        </w:rPr>
        <w:t>Marques nordiques présentes via négoce. Moins dominantes sur le collectif institutionnel.</w:t>
      </w:r>
    </w:p>
    <w:p>
      <w:pPr>
        <w:pStyle w:val="Heading2"/>
      </w:pPr>
      <w:r>
        <w:rPr>
          <w:color w:val="2E75B6"/>
        </w:rPr>
        <w:t>7.3 Opportunités de différenciation pour Presto</w:t>
      </w:r>
    </w:p>
    <w:p>
      <w:pPr>
        <w:pStyle w:val="ListBullet"/>
        <w:ind w:left="0"/>
      </w:pPr>
      <w:r>
        <w:rPr>
          <w:sz w:val="20"/>
        </w:rPr>
        <w:t>Profondeur de gamme collective/temporisée : Presto = spécialiste pur ERP comme Delabie, contrairement aux généralistes résidentiels.</w:t>
      </w:r>
    </w:p>
    <w:p>
      <w:pPr>
        <w:pStyle w:val="ListBullet"/>
        <w:ind w:left="0"/>
      </w:pPr>
      <w:r>
        <w:rPr>
          <w:sz w:val="20"/>
        </w:rPr>
        <w:t>Rapport qualité/prix : alternative crédible à Delabie sur segments à budget contraint (éducation, logement social).</w:t>
      </w:r>
    </w:p>
    <w:p>
      <w:pPr>
        <w:pStyle w:val="ListBullet"/>
        <w:ind w:left="0"/>
      </w:pPr>
      <w:r>
        <w:rPr>
          <w:sz w:val="20"/>
        </w:rPr>
        <w:t>Réactivité logistique depuis France : délais courts, stock disponible, proximité géographique.</w:t>
      </w:r>
    </w:p>
    <w:p>
      <w:pPr>
        <w:pStyle w:val="ListBullet"/>
        <w:ind w:left="0"/>
      </w:pPr>
      <w:r>
        <w:rPr>
          <w:sz w:val="20"/>
        </w:rPr>
        <w:t>Présence digitale Belgique à renforcer : développer la présence sur les plateformes B2B belges et les prescripteurs.</w:t>
      </w:r>
    </w:p>
    <w:p>
      <w:pPr>
        <w:pStyle w:val="ListBullet"/>
        <w:ind w:left="0"/>
      </w:pPr>
      <w:r>
        <w:rPr>
          <w:sz w:val="20"/>
        </w:rPr>
        <w:t>[DONNÉE NON DISPONIBLE — réputation terrain Presto en Belgique auprès des installateurs et maîtres d'œuvre — à valider par entretiens]</w:t>
      </w:r>
    </w:p>
    <w:p/>
    <w:p>
      <w:pPr>
        <w:pStyle w:val="Heading1"/>
      </w:pPr>
      <w:r>
        <w:rPr>
          <w:color w:val="1F497D"/>
        </w:rPr>
        <w:t>PARTIE 8 — NORMES &amp; CERTIFICATIONS ROBINETTERIE</w:t>
      </w:r>
    </w:p>
    <w:p>
      <w:pPr>
        <w:pStyle w:val="Heading2"/>
      </w:pPr>
      <w:r>
        <w:rPr>
          <w:color w:val="2E75B6"/>
        </w:rPr>
        <w:t>8.1 Normes applicables</w:t>
      </w:r>
    </w:p>
    <w:p>
      <w:pPr>
        <w:pStyle w:val="ListBullet"/>
        <w:ind w:left="0"/>
      </w:pPr>
      <w:r>
        <w:rPr>
          <w:sz w:val="20"/>
        </w:rPr>
        <w:t>NBN EN 816 (1996) : Robinetterie sanitaire — robinets à fermeture automatique PN 10. S'applique aux temporisateurs (cœur de gamme Presto). Couvre marquage, hydraulique, étanchéité, acoustique, résistance pression, endurance mécanique.</w:t>
      </w:r>
    </w:p>
    <w:p>
      <w:pPr>
        <w:pStyle w:val="ListBullet"/>
        <w:ind w:left="0"/>
      </w:pPr>
      <w:r>
        <w:rPr>
          <w:sz w:val="20"/>
        </w:rPr>
        <w:t>NBN EN 817 (2008) : Robinetterie sanitaire — mitigeurs mécaniques PN 10. Spécifications techniques générales.</w:t>
      </w:r>
    </w:p>
    <w:p>
      <w:pPr>
        <w:pStyle w:val="ListBullet"/>
        <w:ind w:left="0"/>
      </w:pPr>
      <w:r>
        <w:rPr>
          <w:sz w:val="20"/>
        </w:rPr>
        <w:t>Marquage CE : obligatoire pour mise sur le marché en Belgique (directive produits de construction). Condition sine qua non.</w:t>
      </w:r>
    </w:p>
    <w:p>
      <w:pPr>
        <w:pStyle w:val="ListBullet"/>
        <w:ind w:left="0"/>
      </w:pPr>
      <w:r>
        <w:rPr>
          <w:sz w:val="20"/>
        </w:rPr>
        <w:t>Normes EN 200, EN 1111, EN 1112, EN 1113 : robinetterie résidentielle (moins contraignantes pour ERP).</w:t>
      </w:r>
    </w:p>
    <w:p>
      <w:pPr>
        <w:pStyle w:val="Heading2"/>
      </w:pPr>
      <w:r>
        <w:rPr>
          <w:color w:val="2E75B6"/>
        </w:rPr>
        <w:t>8.2 Certifications recommandées</w:t>
      </w:r>
    </w:p>
    <w:p>
      <w:pPr>
        <w:pStyle w:val="ListBullet"/>
        <w:ind w:left="0"/>
      </w:pPr>
      <w:r>
        <w:rPr>
          <w:sz w:val="20"/>
        </w:rPr>
        <w:t>NF Robinetterie Sanitaire (NF077, AFNOR) : certification française reconnue et valorisée en Belgique francophone — donne confiance aux prescripteurs et maîtres d'ouvrage publics.</w:t>
      </w:r>
    </w:p>
    <w:p>
      <w:pPr>
        <w:pStyle w:val="ListBullet"/>
        <w:ind w:left="0"/>
      </w:pPr>
      <w:r>
        <w:rPr>
          <w:sz w:val="20"/>
        </w:rPr>
        <w:t>Certifications hospitalières spécifiques : pour les produits destinés aux ERP de santé (cf. Delabie — certifications hôpitaux NF).</w:t>
      </w:r>
    </w:p>
    <w:p>
      <w:pPr>
        <w:pStyle w:val="ListBullet"/>
        <w:ind w:left="0"/>
      </w:pPr>
      <w:r>
        <w:rPr>
          <w:sz w:val="20"/>
        </w:rPr>
        <w:t>[DONNÉE NON DISPONIBLE — existence d'une certification belge spécifique type 'BENOR' pour la robinetterie — à vérifier auprès du NBN]</w:t>
      </w:r>
    </w:p>
    <w:p>
      <w:pPr>
        <w:pStyle w:val="Heading2"/>
      </w:pPr>
      <w:r>
        <w:rPr>
          <w:color w:val="2E75B6"/>
        </w:rPr>
        <w:t>8.3 Organisme certificat belge</w:t>
      </w:r>
    </w:p>
    <w:p>
      <w:pPr>
        <w:pStyle w:val="ListBullet"/>
        <w:ind w:left="0"/>
      </w:pPr>
      <w:r>
        <w:rPr>
          <w:sz w:val="20"/>
        </w:rPr>
        <w:t>NBN (Bureau de Normalisation Belge) — www.nbn.be — organisme de référence pour les normes EN transposées en Belgique.</w:t>
      </w:r>
    </w:p>
    <w:p>
      <w:pPr>
        <w:pStyle w:val="ListBullet"/>
        <w:ind w:left="0"/>
      </w:pPr>
      <w:r>
        <w:rPr>
          <w:sz w:val="20"/>
        </w:rPr>
        <w:t>Les normes belges NBN EN sont directement transposées des EN européennes : peu d'écarts vs normes françaises NF EN.</w:t>
      </w:r>
    </w:p>
    <w:p>
      <w:pPr>
        <w:pStyle w:val="Heading2"/>
      </w:pPr>
      <w:r>
        <w:rPr>
          <w:color w:val="2E75B6"/>
        </w:rPr>
        <w:t>8.4 Contraintes d'entrée et écarts vs France</w:t>
      </w:r>
    </w:p>
    <w:p>
      <w:pPr>
        <w:pStyle w:val="ListBullet"/>
        <w:ind w:left="0"/>
      </w:pPr>
      <w:r>
        <w:rPr>
          <w:sz w:val="20"/>
        </w:rPr>
        <w:t>Écarts normatifs vs France : faibles (normes EN harmonisées communes). Les produits déjà certifiés CE et NF pour la France sont en principe conformes pour le marché belge.</w:t>
      </w:r>
    </w:p>
    <w:p>
      <w:pPr>
        <w:pStyle w:val="ListBullet"/>
        <w:ind w:left="0"/>
      </w:pPr>
      <w:r>
        <w:rPr>
          <w:sz w:val="20"/>
        </w:rPr>
        <w:t>Particularité : marchés publics belges peuvent exiger des certifications spécifiques dans les cahiers des charges — à vérifier au cas par cas.</w:t>
      </w:r>
    </w:p>
    <w:p>
      <w:pPr>
        <w:pStyle w:val="ListBullet"/>
        <w:ind w:left="0"/>
      </w:pPr>
      <w:r>
        <w:rPr>
          <w:sz w:val="20"/>
        </w:rPr>
        <w:t>Délais d'obtention : pas de certification belge spécifique identifiée → entrée de marché normative rapide si produits déjà certifiés CE/NF.</w:t>
      </w:r>
    </w:p>
    <w:p/>
    <w:p>
      <w:pPr>
        <w:pStyle w:val="Heading1"/>
      </w:pPr>
      <w:r>
        <w:rPr>
          <w:color w:val="1F497D"/>
        </w:rPr>
        <w:t>PARTIE 9 — POINTS À REVÉRIFIER</w:t>
      </w:r>
    </w:p>
    <w:p>
      <w:r>
        <w:rPr>
          <w:sz w:val="20"/>
        </w:rPr>
        <w:t>Données incertaines ou manquantes, à revalider par recherches complémentaires ou terrain :</w:t>
      </w:r>
    </w:p>
    <w:p>
      <w:pPr>
        <w:pStyle w:val="ListBullet"/>
        <w:ind w:left="0"/>
      </w:pPr>
      <w:r>
        <w:rPr>
          <w:b/>
          <w:sz w:val="20"/>
        </w:rPr>
        <w:t xml:space="preserve">Taille marché robinetterie BE : </w:t>
      </w:r>
      <w:r>
        <w:rPr>
          <w:sz w:val="20"/>
        </w:rPr>
        <w:t>Estimation uniquement disponible par extrapolation FR. Vérifier via Xerfi, Markest Belgium, ou fédération professionnelle Techlink. Contact : techlink.be</w:t>
      </w:r>
    </w:p>
    <w:p>
      <w:pPr>
        <w:pStyle w:val="ListBullet"/>
        <w:ind w:left="0"/>
      </w:pPr>
      <w:r>
        <w:rPr>
          <w:b/>
          <w:sz w:val="20"/>
        </w:rPr>
        <w:t xml:space="preserve">Taille marché robinetterie collective/ERP BE : </w:t>
      </w:r>
      <w:r>
        <w:rPr>
          <w:sz w:val="20"/>
        </w:rPr>
        <w:t>Aucune donnée trouvée. À obtenir via rapport sectoriel ou entretiens distributeurs. Contact : négoce plomberie (SIDER, STG/BME).</w:t>
      </w:r>
    </w:p>
    <w:p>
      <w:pPr>
        <w:pStyle w:val="ListBullet"/>
        <w:ind w:left="0"/>
      </w:pPr>
      <w:r>
        <w:rPr>
          <w:b/>
          <w:sz w:val="20"/>
        </w:rPr>
        <w:t xml:space="preserve">Parts de marché Delabie BE : </w:t>
      </w:r>
      <w:r>
        <w:rPr>
          <w:sz w:val="20"/>
        </w:rPr>
        <w:t>Non disponibles publiquement. À estimer via entretiens terrain (distributeurs, installateurs). Indicateur : taille de la filiale Benelux (RCS/Trends.be).</w:t>
      </w:r>
    </w:p>
    <w:p>
      <w:pPr>
        <w:pStyle w:val="ListBullet"/>
        <w:ind w:left="0"/>
      </w:pPr>
      <w:r>
        <w:rPr>
          <w:b/>
          <w:sz w:val="20"/>
        </w:rPr>
        <w:t xml:space="preserve">Réputation Presto terrain en Belgique : </w:t>
      </w:r>
      <w:r>
        <w:rPr>
          <w:sz w:val="20"/>
        </w:rPr>
        <w:t>À valider par entretiens installateurs et prescripteurs. Identifier les régions où Presto est le plus/moins connu.</w:t>
      </w:r>
    </w:p>
    <w:p>
      <w:pPr>
        <w:pStyle w:val="ListBullet"/>
        <w:ind w:left="0"/>
      </w:pPr>
      <w:r>
        <w:rPr>
          <w:b/>
          <w:sz w:val="20"/>
        </w:rPr>
        <w:t xml:space="preserve">Certification BENOR robinetterie : </w:t>
      </w:r>
      <w:r>
        <w:rPr>
          <w:sz w:val="20"/>
        </w:rPr>
        <w:t>Vérifier auprès du NBN si une certification belge spécifique existe pour la robinetterie ERP et si elle est requise dans les marchés publics belges.</w:t>
      </w:r>
    </w:p>
    <w:p>
      <w:pPr>
        <w:pStyle w:val="ListBullet"/>
        <w:ind w:left="0"/>
      </w:pPr>
      <w:r>
        <w:rPr>
          <w:b/>
          <w:sz w:val="20"/>
        </w:rPr>
        <w:t xml:space="preserve">Poids BTP dans PIB belge : </w:t>
      </w:r>
      <w:r>
        <w:rPr>
          <w:sz w:val="20"/>
        </w:rPr>
        <w:t>Donnée non trouvée en source fiable — à chercher via Statbel (statbel.fgov.be) ou Embuild (fédération construction BE).</w:t>
      </w:r>
    </w:p>
    <w:p>
      <w:pPr>
        <w:pStyle w:val="ListBullet"/>
        <w:ind w:left="0"/>
      </w:pPr>
      <w:r>
        <w:rPr>
          <w:b/>
          <w:sz w:val="20"/>
        </w:rPr>
        <w:t xml:space="preserve">Données segments ERP chiffrées : </w:t>
      </w:r>
      <w:r>
        <w:rPr>
          <w:sz w:val="20"/>
        </w:rPr>
        <w:t>Parc hôpitaux, EHPAD, gymnases, piscines, prisons en Belgique — à compléter via SPF Santé publique, Statbel, Régie des Bâtiments.</w:t>
      </w:r>
    </w:p>
    <w:p>
      <w:pPr>
        <w:pStyle w:val="ListBullet"/>
        <w:ind w:left="0"/>
      </w:pPr>
      <w:r>
        <w:rPr>
          <w:b/>
          <w:sz w:val="20"/>
        </w:rPr>
        <w:t xml:space="preserve">Distribution Presto Belgique actuelle : </w:t>
      </w:r>
      <w:r>
        <w:rPr>
          <w:sz w:val="20"/>
        </w:rPr>
        <w:t>Identifier les distributeurs actuels, les régions couvertes, et les gaps réseau. À demander en interne.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