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B. CONSTRUCTION- INOX - MARCHÉ - PDM - CERTIFICATION </w:t>
      </w:r>
    </w:p>
    <w:p w:rsidR="00000000" w:rsidDel="00000000" w:rsidP="00000000" w:rsidRDefault="00000000" w:rsidRPr="00000000" w14:paraId="00000004">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5">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rPr>
          <w:rFonts w:ascii="Calibri" w:cs="Calibri" w:eastAsia="Calibri" w:hAnsi="Calibri"/>
        </w:rPr>
      </w:pPr>
      <w:r w:rsidDel="00000000" w:rsidR="00000000" w:rsidRPr="00000000">
        <w:rPr>
          <w:rtl w:val="0"/>
        </w:rPr>
      </w:r>
    </w:p>
    <w:p w:rsidR="00000000" w:rsidDel="00000000" w:rsidP="00000000" w:rsidRDefault="00000000" w:rsidRPr="00000000" w14:paraId="00000007">
      <w:pPr>
        <w:pStyle w:val="Heading4"/>
        <w:rPr/>
      </w:pPr>
      <w:bookmarkStart w:colFirst="0" w:colLast="0" w:name="_q5hm0p8zegth" w:id="0"/>
      <w:bookmarkEnd w:id="0"/>
      <w:r w:rsidDel="00000000" w:rsidR="00000000" w:rsidRPr="00000000">
        <w:rPr>
          <w:rFonts w:ascii="Calibri" w:cs="Calibri" w:eastAsia="Calibri" w:hAnsi="Calibri"/>
          <w:b w:val="1"/>
          <w:bCs w:val="1"/>
          <w:color w:val="000000"/>
          <w:rtl w:val="0"/>
        </w:rPr>
        <w:t xml:space="preserve">B1. Business - Points forts / Points faibles (selon Coface for Trade)</w:t>
      </w:r>
      <w:r w:rsidDel="00000000" w:rsidR="00000000" w:rsidRPr="00000000">
        <w:rPr>
          <w:rtl w:val="0"/>
        </w:rPr>
        <w:t xml:space="preserve"> </w:t>
      </w:r>
    </w:p>
    <w:p w:rsidR="00000000" w:rsidDel="00000000" w:rsidP="00000000" w:rsidRDefault="00000000" w:rsidRPr="00000000" w14:paraId="00000008">
      <w:pPr>
        <w:rPr>
          <w:rFonts w:ascii="Calibri" w:cs="Calibri" w:eastAsia="Calibri" w:hAnsi="Calibri"/>
        </w:rPr>
      </w:pPr>
      <w:r w:rsidDel="00000000" w:rsidR="00000000" w:rsidRPr="00000000">
        <w:rPr>
          <w:rtl w:val="0"/>
        </w:rPr>
      </w:r>
    </w:p>
    <w:p w:rsidR="00000000" w:rsidDel="00000000" w:rsidP="00000000" w:rsidRDefault="00000000" w:rsidRPr="00000000" w14:paraId="00000009">
      <w:pPr>
        <w:rPr>
          <w:rFonts w:ascii="Calibri" w:cs="Calibri" w:eastAsia="Calibri" w:hAnsi="Calibri"/>
        </w:rPr>
      </w:pPr>
      <w:r w:rsidDel="00000000" w:rsidR="00000000" w:rsidRPr="00000000">
        <w:rPr>
          <w:rFonts w:ascii="Calibri" w:cs="Calibri" w:eastAsia="Calibri" w:hAnsi="Calibri"/>
          <w:rtl w:val="0"/>
        </w:rPr>
        <w:t xml:space="preserve">D’après “Coface for trade” : </w:t>
      </w:r>
    </w:p>
    <w:p w:rsidR="00000000" w:rsidDel="00000000" w:rsidP="00000000" w:rsidRDefault="00000000" w:rsidRPr="00000000" w14:paraId="0000000A">
      <w:pPr>
        <w:numPr>
          <w:ilvl w:val="0"/>
          <w:numId w:val="2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Risque pays : C</w:t>
      </w:r>
    </w:p>
    <w:p w:rsidR="00000000" w:rsidDel="00000000" w:rsidP="00000000" w:rsidRDefault="00000000" w:rsidRPr="00000000" w14:paraId="0000000B">
      <w:pPr>
        <w:numPr>
          <w:ilvl w:val="0"/>
          <w:numId w:val="2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Climat des affaires : A4</w:t>
      </w:r>
    </w:p>
    <w:p w:rsidR="00000000" w:rsidDel="00000000" w:rsidP="00000000" w:rsidRDefault="00000000" w:rsidRPr="00000000" w14:paraId="0000000C">
      <w:pPr>
        <w:spacing w:line="276.00000545454543"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0D">
      <w:pPr>
        <w:spacing w:line="276.00000545454543" w:lineRule="auto"/>
        <w:rPr>
          <w:rFonts w:ascii="Calibri" w:cs="Calibri" w:eastAsia="Calibri" w:hAnsi="Calibri"/>
        </w:rPr>
      </w:pPr>
      <w:r w:rsidDel="00000000" w:rsidR="00000000" w:rsidRPr="00000000">
        <w:rPr>
          <w:rFonts w:ascii="Calibri" w:cs="Calibri" w:eastAsia="Calibri" w:hAnsi="Calibri"/>
          <w:u w:val="single"/>
          <w:rtl w:val="0"/>
        </w:rPr>
        <w:t xml:space="preserve">Points forts</w:t>
      </w:r>
      <w:r w:rsidDel="00000000" w:rsidR="00000000" w:rsidRPr="00000000">
        <w:rPr>
          <w:rtl w:val="0"/>
        </w:rPr>
      </w:r>
    </w:p>
    <w:p w:rsidR="00000000" w:rsidDel="00000000" w:rsidP="00000000" w:rsidRDefault="00000000" w:rsidRPr="00000000" w14:paraId="0000000E">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Situation stratégique, proximité des principaux marchés d'exportation : UE et Moyen-Orient</w:t>
      </w:r>
    </w:p>
    <w:p w:rsidR="00000000" w:rsidDel="00000000" w:rsidP="00000000" w:rsidRDefault="00000000" w:rsidRPr="00000000" w14:paraId="0000000F">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Réseau de fabrication très diversifié, solide savoir-faire en matière de production </w:t>
      </w:r>
    </w:p>
    <w:p w:rsidR="00000000" w:rsidDel="00000000" w:rsidP="00000000" w:rsidRDefault="00000000" w:rsidRPr="00000000" w14:paraId="00000010">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Population jeune, main-d'œuvre qualifiée</w:t>
      </w:r>
    </w:p>
    <w:p w:rsidR="00000000" w:rsidDel="00000000" w:rsidP="00000000" w:rsidRDefault="00000000" w:rsidRPr="00000000" w14:paraId="00000011">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Les énergies renouvelables représentent 53 % de la capacité totale installée de la Turquie</w:t>
      </w:r>
    </w:p>
    <w:p w:rsidR="00000000" w:rsidDel="00000000" w:rsidP="00000000" w:rsidRDefault="00000000" w:rsidRPr="00000000" w14:paraId="00000012">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Découverte d'un gisement de gaz au large des côtes de la mer Noire. </w:t>
      </w:r>
    </w:p>
    <w:p w:rsidR="00000000" w:rsidDel="00000000" w:rsidP="00000000" w:rsidRDefault="00000000" w:rsidRPr="00000000" w14:paraId="00000013">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Monnaie plus stable depuis le retour à des politiques orthodoxes en 2023: réduction du déficit extérieur, reprise des réserves internationales, ralentissement continu de l’inflation, baisse de la prime de risque</w:t>
      </w:r>
    </w:p>
    <w:p w:rsidR="00000000" w:rsidDel="00000000" w:rsidP="00000000" w:rsidRDefault="00000000" w:rsidRPr="00000000" w14:paraId="00000014">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Revenus touristiques importants grâce à un riche patrimoine historique et à des paysages naturels variés qui attirent chaque année des millions de visiteurs</w:t>
      </w:r>
    </w:p>
    <w:p w:rsidR="00000000" w:rsidDel="00000000" w:rsidP="00000000" w:rsidRDefault="00000000" w:rsidRPr="00000000" w14:paraId="00000015">
      <w:pPr>
        <w:numPr>
          <w:ilvl w:val="0"/>
          <w:numId w:val="18"/>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L'union douanière avec l'UE accorde aux exportateurs turcs un accès en franchise de droits au marché européen pour les produits industriels, ce qui favorise le développement du commerce, l'intégration dans les chaînes de valeur européennes et la compétitivité économique</w:t>
      </w:r>
      <w:r w:rsidDel="00000000" w:rsidR="00000000" w:rsidRPr="00000000">
        <w:rPr>
          <w:rtl w:val="0"/>
        </w:rPr>
      </w:r>
    </w:p>
    <w:p w:rsidR="00000000" w:rsidDel="00000000" w:rsidP="00000000" w:rsidRDefault="00000000" w:rsidRPr="00000000" w14:paraId="00000016">
      <w:pPr>
        <w:spacing w:line="276.00000545454543" w:lineRule="auto"/>
        <w:rPr>
          <w:rFonts w:ascii="Calibri" w:cs="Calibri" w:eastAsia="Calibri" w:hAnsi="Calibri"/>
          <w:b w:val="1"/>
          <w:bCs w:val="1"/>
          <w:color w:val="1b365d"/>
          <w:sz w:val="20"/>
          <w:szCs w:val="20"/>
        </w:rPr>
      </w:pPr>
      <w:r w:rsidDel="00000000" w:rsidR="00000000" w:rsidRPr="00000000">
        <w:rPr>
          <w:rFonts w:ascii="Calibri" w:cs="Calibri" w:eastAsia="Calibri" w:hAnsi="Calibri"/>
          <w:b w:val="1"/>
          <w:bCs w:val="1"/>
          <w:color w:val="1b365d"/>
          <w:sz w:val="20"/>
          <w:szCs w:val="20"/>
          <w:rtl w:val="0"/>
        </w:rPr>
        <w:t xml:space="preserve"> </w:t>
      </w:r>
    </w:p>
    <w:p w:rsidR="00000000" w:rsidDel="00000000" w:rsidP="00000000" w:rsidRDefault="00000000" w:rsidRPr="00000000" w14:paraId="00000017">
      <w:pPr>
        <w:spacing w:line="276.00000545454543" w:lineRule="auto"/>
        <w:rPr>
          <w:rFonts w:ascii="Calibri" w:cs="Calibri" w:eastAsia="Calibri" w:hAnsi="Calibri"/>
          <w:u w:val="single"/>
        </w:rPr>
      </w:pPr>
      <w:r w:rsidDel="00000000" w:rsidR="00000000" w:rsidRPr="00000000">
        <w:rPr>
          <w:rFonts w:ascii="Calibri" w:cs="Calibri" w:eastAsia="Calibri" w:hAnsi="Calibri"/>
          <w:u w:val="single"/>
          <w:rtl w:val="0"/>
        </w:rPr>
        <w:t xml:space="preserve">Points faibles</w:t>
      </w:r>
    </w:p>
    <w:p w:rsidR="00000000" w:rsidDel="00000000" w:rsidP="00000000" w:rsidRDefault="00000000" w:rsidRPr="00000000" w14:paraId="00000018">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Risques géopolitiques, notamment liés aux répercussions potentielles de l'expansion et de l'intensification des conflits dans la région</w:t>
      </w:r>
    </w:p>
    <w:p w:rsidR="00000000" w:rsidDel="00000000" w:rsidP="00000000" w:rsidRDefault="00000000" w:rsidRPr="00000000" w14:paraId="00000019">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Dépendance vis-à-vis des hydrocarbures importés et des biens intermédiaires</w:t>
      </w:r>
    </w:p>
    <w:p w:rsidR="00000000" w:rsidDel="00000000" w:rsidP="00000000" w:rsidRDefault="00000000" w:rsidRPr="00000000" w14:paraId="0000001A">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Concentration des exportations vers les pays européens</w:t>
      </w:r>
    </w:p>
    <w:p w:rsidR="00000000" w:rsidDel="00000000" w:rsidP="00000000" w:rsidRDefault="00000000" w:rsidRPr="00000000" w14:paraId="0000001B">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Niveau élevé de la dette extérieure privée à court terme</w:t>
      </w:r>
    </w:p>
    <w:p w:rsidR="00000000" w:rsidDel="00000000" w:rsidP="00000000" w:rsidRDefault="00000000" w:rsidRPr="00000000" w14:paraId="0000001C">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Faiblesse des IDE, principalement orientés vers le secteur de la construction</w:t>
      </w:r>
    </w:p>
    <w:p w:rsidR="00000000" w:rsidDel="00000000" w:rsidP="00000000" w:rsidRDefault="00000000" w:rsidRPr="00000000" w14:paraId="0000001D">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Économie reposant principalement sur des entrées de capitaux à court terme, très sensibles aux tensions géopolitiques et politiques internes</w:t>
      </w:r>
    </w:p>
    <w:p w:rsidR="00000000" w:rsidDel="00000000" w:rsidP="00000000" w:rsidRDefault="00000000" w:rsidRPr="00000000" w14:paraId="0000001E">
      <w:pPr>
        <w:numPr>
          <w:ilvl w:val="0"/>
          <w:numId w:val="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Répartition inégale des revenus</w:t>
      </w:r>
    </w:p>
    <w:p w:rsidR="00000000" w:rsidDel="00000000" w:rsidP="00000000" w:rsidRDefault="00000000" w:rsidRPr="00000000" w14:paraId="0000001F">
      <w:pPr>
        <w:rPr>
          <w:rFonts w:ascii="Calibri" w:cs="Calibri" w:eastAsia="Calibri" w:hAnsi="Calibri"/>
        </w:rPr>
      </w:pPr>
      <w:r w:rsidDel="00000000" w:rsidR="00000000" w:rsidRPr="00000000">
        <w:rPr>
          <w:rtl w:val="0"/>
        </w:rPr>
      </w:r>
    </w:p>
    <w:p w:rsidR="00000000" w:rsidDel="00000000" w:rsidP="00000000" w:rsidRDefault="00000000" w:rsidRPr="00000000" w14:paraId="00000020">
      <w:pPr>
        <w:pStyle w:val="Heading4"/>
        <w:rPr>
          <w:rFonts w:ascii="Calibri" w:cs="Calibri" w:eastAsia="Calibri" w:hAnsi="Calibri"/>
          <w:b w:val="1"/>
          <w:bCs w:val="1"/>
          <w:color w:val="000000"/>
        </w:rPr>
      </w:pPr>
      <w:bookmarkStart w:colFirst="0" w:colLast="0" w:name="_fwhcln67bbls" w:id="1"/>
      <w:bookmarkEnd w:id="1"/>
      <w:r w:rsidDel="00000000" w:rsidR="00000000" w:rsidRPr="00000000">
        <w:rPr>
          <w:rFonts w:ascii="Calibri" w:cs="Calibri" w:eastAsia="Calibri" w:hAnsi="Calibri"/>
          <w:b w:val="1"/>
          <w:bCs w:val="1"/>
          <w:color w:val="000000"/>
          <w:rtl w:val="0"/>
        </w:rPr>
        <w:t xml:space="preserve">B2. Le marché de la construction</w:t>
      </w:r>
    </w:p>
    <w:p w:rsidR="00000000" w:rsidDel="00000000" w:rsidP="00000000" w:rsidRDefault="00000000" w:rsidRPr="00000000" w14:paraId="00000021">
      <w:pPr>
        <w:rPr>
          <w:rFonts w:ascii="Calibri" w:cs="Calibri" w:eastAsia="Calibri" w:hAnsi="Calibri"/>
        </w:rPr>
      </w:pPr>
      <w:r w:rsidDel="00000000" w:rsidR="00000000" w:rsidRPr="00000000">
        <w:rPr>
          <w:rFonts w:ascii="Calibri" w:cs="Calibri" w:eastAsia="Calibri" w:hAnsi="Calibri"/>
          <w:rtl w:val="0"/>
        </w:rPr>
        <w:t xml:space="preserve">Taille du Marché (2025) : 56 Milliards USD (Global Market Insights) </w:t>
      </w:r>
    </w:p>
    <w:p w:rsidR="00000000" w:rsidDel="00000000" w:rsidP="00000000" w:rsidRDefault="00000000" w:rsidRPr="00000000" w14:paraId="00000022">
      <w:pPr>
        <w:rPr>
          <w:rFonts w:ascii="Calibri" w:cs="Calibri" w:eastAsia="Calibri" w:hAnsi="Calibri"/>
        </w:rPr>
      </w:pPr>
      <w:r w:rsidDel="00000000" w:rsidR="00000000" w:rsidRPr="00000000">
        <w:rPr>
          <w:rFonts w:ascii="Calibri" w:cs="Calibri" w:eastAsia="Calibri" w:hAnsi="Calibri"/>
          <w:rtl w:val="0"/>
        </w:rPr>
        <w:t xml:space="preserve">Taille du Marché (2032) : 81 Milliards de dollars (Global Market Insights) </w:t>
      </w:r>
    </w:p>
    <w:p w:rsidR="00000000" w:rsidDel="00000000" w:rsidP="00000000" w:rsidRDefault="00000000" w:rsidRPr="00000000" w14:paraId="00000023">
      <w:pPr>
        <w:rPr>
          <w:rFonts w:ascii="Calibri" w:cs="Calibri" w:eastAsia="Calibri" w:hAnsi="Calibri"/>
        </w:rPr>
      </w:pPr>
      <w:r w:rsidDel="00000000" w:rsidR="00000000" w:rsidRPr="00000000">
        <w:rPr>
          <w:rFonts w:ascii="Calibri" w:cs="Calibri" w:eastAsia="Calibri" w:hAnsi="Calibri"/>
          <w:rtl w:val="0"/>
        </w:rPr>
        <w:t xml:space="preserve">CAGR (2024 - 2029)5.12%</w:t>
      </w:r>
    </w:p>
    <w:p w:rsidR="00000000" w:rsidDel="00000000" w:rsidP="00000000" w:rsidRDefault="00000000" w:rsidRPr="00000000" w14:paraId="00000024">
      <w:pPr>
        <w:rPr>
          <w:rFonts w:ascii="Calibri" w:cs="Calibri" w:eastAsia="Calibri" w:hAnsi="Calibri"/>
        </w:rPr>
      </w:pPr>
      <w:r w:rsidDel="00000000" w:rsidR="00000000" w:rsidRPr="00000000">
        <w:rPr>
          <w:rtl w:val="0"/>
        </w:rPr>
      </w:r>
    </w:p>
    <w:p w:rsidR="00000000" w:rsidDel="00000000" w:rsidP="00000000" w:rsidRDefault="00000000" w:rsidRPr="00000000" w14:paraId="00000025">
      <w:pPr>
        <w:rPr>
          <w:rFonts w:ascii="Calibri" w:cs="Calibri" w:eastAsia="Calibri" w:hAnsi="Calibri"/>
          <w:u w:val="single"/>
        </w:rPr>
      </w:pPr>
      <w:r w:rsidDel="00000000" w:rsidR="00000000" w:rsidRPr="00000000">
        <w:rPr>
          <w:rFonts w:ascii="Calibri" w:cs="Calibri" w:eastAsia="Calibri" w:hAnsi="Calibri"/>
          <w:u w:val="single"/>
          <w:rtl w:val="0"/>
        </w:rPr>
        <w:t xml:space="preserve">Statistiques et recherches sur le marché de la construction, d’après “Construction-industry-in-turkey” de Statista : </w:t>
      </w:r>
    </w:p>
    <w:p w:rsidR="00000000" w:rsidDel="00000000" w:rsidP="00000000" w:rsidRDefault="00000000" w:rsidRPr="00000000" w14:paraId="00000026">
      <w:pPr>
        <w:rPr>
          <w:rFonts w:ascii="Calibri" w:cs="Calibri" w:eastAsia="Calibri" w:hAnsi="Calibri"/>
        </w:rPr>
      </w:pPr>
      <w:r w:rsidDel="00000000" w:rsidR="00000000" w:rsidRPr="00000000">
        <w:rPr>
          <w:rtl w:val="0"/>
        </w:rPr>
      </w:r>
    </w:p>
    <w:p w:rsidR="00000000" w:rsidDel="00000000" w:rsidP="00000000" w:rsidRDefault="00000000" w:rsidRPr="00000000" w14:paraId="00000027">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En 2023, les dépenses atteignent un pic à ~3 678 milliards TRY (en millions : 3 678 000), contre ~380 milliards TRY en 2015</w:t>
      </w:r>
    </w:p>
    <w:p w:rsidR="00000000" w:rsidDel="00000000" w:rsidP="00000000" w:rsidRDefault="00000000" w:rsidRPr="00000000" w14:paraId="00000028">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Croissance annuelle du secteur : progression jusqu’à 2017 (pic ~9%), puis phase de contraction à partir de 2018 (jusqu’à -7,1% en 2022), et rebond en 2023 à ~+7,8%</w:t>
      </w:r>
    </w:p>
    <w:p w:rsidR="00000000" w:rsidDel="00000000" w:rsidP="00000000" w:rsidRDefault="00000000" w:rsidRPr="00000000" w14:paraId="00000029">
      <w:pPr>
        <w:numPr>
          <w:ilvl w:val="0"/>
          <w:numId w:val="19"/>
        </w:numPr>
        <w:ind w:left="720" w:hanging="360"/>
        <w:rPr>
          <w:rFonts w:ascii="Calibri" w:cs="Calibri" w:eastAsia="Calibri" w:hAnsi="Calibri"/>
        </w:rPr>
      </w:pPr>
      <w:r w:rsidDel="00000000" w:rsidR="00000000" w:rsidRPr="00000000">
        <w:rPr>
          <w:rFonts w:ascii="Calibri" w:cs="Calibri" w:eastAsia="Calibri" w:hAnsi="Calibri"/>
          <w:rtl w:val="0"/>
        </w:rPr>
        <w:t xml:space="preserve">Les dépenses sont majoritairement orientées vers le résidentiel : autour de ~69% à ~80% selon les années. Pic de part résidentielle en 2016 (~77,8%) ; en 2023 : ~76,5% résidentiel vs 23,5% non-résidentiel</w:t>
      </w:r>
    </w:p>
    <w:p w:rsidR="00000000" w:rsidDel="00000000" w:rsidP="00000000" w:rsidRDefault="00000000" w:rsidRPr="00000000" w14:paraId="0000002A">
      <w:pPr>
        <w:numPr>
          <w:ilvl w:val="0"/>
          <w:numId w:val="19"/>
        </w:numPr>
        <w:ind w:left="720" w:hanging="360"/>
        <w:rPr>
          <w:rFonts w:ascii="Calibri" w:cs="Calibri" w:eastAsia="Calibri" w:hAnsi="Calibri"/>
        </w:rPr>
      </w:pPr>
      <w:r w:rsidDel="00000000" w:rsidR="00000000" w:rsidRPr="00000000">
        <w:rPr>
          <w:rFonts w:ascii="Calibri" w:cs="Calibri" w:eastAsia="Calibri" w:hAnsi="Calibri"/>
          <w:rtl w:val="0"/>
        </w:rPr>
        <w:t xml:space="preserve">Part du secteur dans le PIB : tendance baissière depuis 2017, passant d’environ 8,6% (2016–2017) à ~4,7% en 2022, puis légère remontée à ~4,9% en 2023</w:t>
      </w:r>
    </w:p>
    <w:p w:rsidR="00000000" w:rsidDel="00000000" w:rsidP="00000000" w:rsidRDefault="00000000" w:rsidRPr="00000000" w14:paraId="0000002B">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Objectif 2028 : construction de rail (cible 11 892 km) et autoroutes à péages (viser 4 700 km en 2028) </w:t>
      </w:r>
    </w:p>
    <w:p w:rsidR="00000000" w:rsidDel="00000000" w:rsidP="00000000" w:rsidRDefault="00000000" w:rsidRPr="00000000" w14:paraId="0000002C">
      <w:pPr>
        <w:numPr>
          <w:ilvl w:val="0"/>
          <w:numId w:val="19"/>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Implication des forts coûts de construction, dû majoritairement à l’inflation : pression coûts très élevée (matériaux et salaires), avec risque sur marges, budgets publics et faisabilité des projets à prix fixes. </w:t>
      </w:r>
    </w:p>
    <w:p w:rsidR="00000000" w:rsidDel="00000000" w:rsidP="00000000" w:rsidRDefault="00000000" w:rsidRPr="00000000" w14:paraId="0000002D">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E">
      <w:pPr>
        <w:ind w:left="0" w:firstLine="0"/>
        <w:rPr>
          <w:rFonts w:ascii="Calibri" w:cs="Calibri" w:eastAsia="Calibri" w:hAnsi="Calibri"/>
        </w:rPr>
      </w:pPr>
      <w:r w:rsidDel="00000000" w:rsidR="00000000" w:rsidRPr="00000000">
        <w:rPr>
          <w:rFonts w:ascii="Calibri" w:cs="Calibri" w:eastAsia="Calibri" w:hAnsi="Calibri"/>
          <w:rtl w:val="0"/>
        </w:rPr>
        <w:t xml:space="preserve">Breakdown of Public Private Partnerships (long term contractual arrangement) contracts in Turkey from 1986 to 2023 : </w:t>
      </w:r>
    </w:p>
    <w:p w:rsidR="00000000" w:rsidDel="00000000" w:rsidP="00000000" w:rsidRDefault="00000000" w:rsidRPr="00000000" w14:paraId="0000002F">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102 contracts in energy</w:t>
      </w:r>
    </w:p>
    <w:p w:rsidR="00000000" w:rsidDel="00000000" w:rsidP="00000000" w:rsidRDefault="00000000" w:rsidRPr="00000000" w14:paraId="00000030">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46 in Motorway </w:t>
      </w:r>
    </w:p>
    <w:p w:rsidR="00000000" w:rsidDel="00000000" w:rsidP="00000000" w:rsidRDefault="00000000" w:rsidRPr="00000000" w14:paraId="00000031">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24 in Port</w:t>
      </w:r>
    </w:p>
    <w:p w:rsidR="00000000" w:rsidDel="00000000" w:rsidP="00000000" w:rsidRDefault="00000000" w:rsidRPr="00000000" w14:paraId="00000032">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23 in border gate </w:t>
      </w:r>
    </w:p>
    <w:p w:rsidR="00000000" w:rsidDel="00000000" w:rsidP="00000000" w:rsidRDefault="00000000" w:rsidRPr="00000000" w14:paraId="00000033">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20 in Marina, in Airport, in health facility </w:t>
      </w:r>
    </w:p>
    <w:p w:rsidR="00000000" w:rsidDel="00000000" w:rsidP="00000000" w:rsidRDefault="00000000" w:rsidRPr="00000000" w14:paraId="00000034">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Etc … </w:t>
      </w:r>
    </w:p>
    <w:p w:rsidR="00000000" w:rsidDel="00000000" w:rsidP="00000000" w:rsidRDefault="00000000" w:rsidRPr="00000000" w14:paraId="00000035">
      <w:pPr>
        <w:rPr>
          <w:rFonts w:ascii="Calibri" w:cs="Calibri" w:eastAsia="Calibri" w:hAnsi="Calibri"/>
        </w:rPr>
      </w:pPr>
      <w:r w:rsidDel="00000000" w:rsidR="00000000" w:rsidRPr="00000000">
        <w:rPr>
          <w:rtl w:val="0"/>
        </w:rPr>
      </w:r>
    </w:p>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rtl w:val="0"/>
        </w:rPr>
        <w:t xml:space="preserve">D’après la partie infrastructure du document Statista “Construction-industry-in-turkey”, la Turquie a investi massivement dans la rénovation de routes, autoroutes et rails de train. On le remarque avec l’évolution positive de la longueur de ces types d’infrastructures depuis 2013. (voir </w:t>
      </w:r>
      <w:r w:rsidDel="00000000" w:rsidR="00000000" w:rsidRPr="00000000">
        <w:rPr>
          <w:rFonts w:ascii="Calibri" w:cs="Calibri" w:eastAsia="Calibri" w:hAnsi="Calibri"/>
          <w:rtl w:val="0"/>
        </w:rPr>
        <w:t xml:space="preserve">graphique</w:t>
      </w:r>
      <w:r w:rsidDel="00000000" w:rsidR="00000000" w:rsidRPr="00000000">
        <w:rPr>
          <w:rFonts w:ascii="Calibri" w:cs="Calibri" w:eastAsia="Calibri" w:hAnsi="Calibri"/>
          <w:rtl w:val="0"/>
        </w:rPr>
        <w:t xml:space="preserve"> “Total length of the railway lines in Turkey from 2003 to 2022”). D’après le même document, la Turquie prévoit de continuer à investir dans la construction de routes et autoroutes. Ces investissements sont des indicateurs directs de l’ambition de développement territorial de la Turquie. En améliorant et/ou construisant des voies de circulation (rails, routes, autoroutes, …), c’est le pays tout entier qui s’enrichit de nouvelles zones d’activités. </w:t>
      </w:r>
    </w:p>
    <w:p w:rsidR="00000000" w:rsidDel="00000000" w:rsidP="00000000" w:rsidRDefault="00000000" w:rsidRPr="00000000" w14:paraId="00000037">
      <w:pPr>
        <w:rPr>
          <w:rFonts w:ascii="Calibri" w:cs="Calibri" w:eastAsia="Calibri" w:hAnsi="Calibri"/>
        </w:rPr>
      </w:pPr>
      <w:r w:rsidDel="00000000" w:rsidR="00000000" w:rsidRPr="00000000">
        <w:rPr>
          <w:rtl w:val="0"/>
        </w:rPr>
      </w:r>
    </w:p>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rtl w:val="0"/>
        </w:rPr>
        <w:t xml:space="preserve">Les routes ouvrent la voie aux transformations que permet la technologie. Pour qu’une économie se développe, que de la richesse soit créée et que la prospérité soit partagée, il faut que les personnes et les biens puissent circuler. La mobilité est une condition préalable au développement. Dans une large mesure, de même qu’une économie dynamique dépend du mouvement des produits et des services, les populations sont tributaires des routes pour l’accès à l’emploi, à l’éducation et aux soins de santé.” (</w:t>
      </w:r>
      <w:r w:rsidDel="00000000" w:rsidR="00000000" w:rsidRPr="00000000">
        <w:rPr>
          <w:rFonts w:ascii="Calibri" w:cs="Calibri" w:eastAsia="Calibri" w:hAnsi="Calibri"/>
          <w:i w:val="1"/>
          <w:iCs w:val="1"/>
          <w:rtl w:val="0"/>
        </w:rPr>
        <w:t xml:space="preserve">Article de la Banque mondiale</w:t>
      </w:r>
      <w:r w:rsidDel="00000000" w:rsidR="00000000" w:rsidRPr="00000000">
        <w:rPr>
          <w:rFonts w:ascii="Calibri" w:cs="Calibri" w:eastAsia="Calibri" w:hAnsi="Calibri"/>
          <w:rtl w:val="0"/>
        </w:rPr>
        <w:t xml:space="preserve">). </w:t>
      </w:r>
    </w:p>
    <w:p w:rsidR="00000000" w:rsidDel="00000000" w:rsidP="00000000" w:rsidRDefault="00000000" w:rsidRPr="00000000" w14:paraId="00000039">
      <w:pPr>
        <w:rPr>
          <w:rFonts w:ascii="Calibri" w:cs="Calibri" w:eastAsia="Calibri" w:hAnsi="Calibri"/>
        </w:rPr>
      </w:pPr>
      <w:r w:rsidDel="00000000" w:rsidR="00000000" w:rsidRPr="00000000">
        <w:rPr>
          <w:rtl w:val="0"/>
        </w:rPr>
      </w:r>
    </w:p>
    <w:p w:rsidR="00000000" w:rsidDel="00000000" w:rsidP="00000000" w:rsidRDefault="00000000" w:rsidRPr="00000000" w14:paraId="0000003A">
      <w:pPr>
        <w:ind w:left="0" w:firstLine="0"/>
        <w:rPr>
          <w:rFonts w:ascii="Calibri" w:cs="Calibri" w:eastAsia="Calibri" w:hAnsi="Calibri"/>
          <w:u w:val="single"/>
        </w:rPr>
      </w:pPr>
      <w:r w:rsidDel="00000000" w:rsidR="00000000" w:rsidRPr="00000000">
        <w:rPr>
          <w:rFonts w:ascii="Calibri" w:cs="Calibri" w:eastAsia="Calibri" w:hAnsi="Calibri"/>
          <w:u w:val="single"/>
          <w:rtl w:val="0"/>
        </w:rPr>
        <w:t xml:space="preserve">D’après divers sources (annexes) : </w:t>
      </w:r>
    </w:p>
    <w:p w:rsidR="00000000" w:rsidDel="00000000" w:rsidP="00000000" w:rsidRDefault="00000000" w:rsidRPr="00000000" w14:paraId="0000003B">
      <w:pPr>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La Turquie compte près de 10 millions de bâtiments qui, en tant que plus gros consommateurs d'énergie, offrent d'importantes possibilités d'économies d'énergie, tant dans les constructions neuves que dans les rénovations.</w:t>
      </w:r>
    </w:p>
    <w:p w:rsidR="00000000" w:rsidDel="00000000" w:rsidP="00000000" w:rsidRDefault="00000000" w:rsidRPr="00000000" w14:paraId="0000003C">
      <w:pPr>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Il existe une feuille de route qui prévoit qu'à partir de 2021, les trois quarts du parc immobilier seront antérieurs au XXIe siècle, c'est-à-dire antérieurs aux normes énergétiques.</w:t>
      </w:r>
    </w:p>
    <w:p w:rsidR="00000000" w:rsidDel="00000000" w:rsidP="00000000" w:rsidRDefault="00000000" w:rsidRPr="00000000" w14:paraId="0000003D">
      <w:pPr>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La ville d'Eskisehir s'est engagée à convertir tous les bâtiments existants en bâtiments à zéro émission d'ici 2050. </w:t>
      </w:r>
    </w:p>
    <w:p w:rsidR="00000000" w:rsidDel="00000000" w:rsidP="00000000" w:rsidRDefault="00000000" w:rsidRPr="00000000" w14:paraId="0000003E">
      <w:pPr>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La Turquie est classée par l'U.S. Green Council (USGBC) comme le 4e pays au monde (pour l'année 2023) avec 36 projets certifiés LEED (Leadership in Energy and Environmental Design) couvrant plus de 31 millions de pieds carrés certifiés (2,9 millions de mètres carrés bruts), ce qui témoigne clairement de l'engagement de la Turquie à pratiquer une architecture durable, à créer des espaces plus sains, à réduire les émissions de carbone et à préserver les ressources.</w:t>
      </w:r>
    </w:p>
    <w:p w:rsidR="00000000" w:rsidDel="00000000" w:rsidP="00000000" w:rsidRDefault="00000000" w:rsidRPr="00000000" w14:paraId="0000003F">
      <w:pPr>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Le marché de la construction dans le pays a connu une croissance robuste entre 2020 et 2024, atteignant un TCAC de 7,1 %. Cette trajectoire ascendante devrait se poursuivre, le marché devant croître à un TCAC de 2,5 % entre 2025 et 2029. </w:t>
      </w:r>
    </w:p>
    <w:p w:rsidR="00000000" w:rsidDel="00000000" w:rsidP="00000000" w:rsidRDefault="00000000" w:rsidRPr="00000000" w14:paraId="00000040">
      <w:pPr>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D'ici la fin 2029, le secteur de la construction devrait passer de 1 440 milliards de livres turques en 2024 à environ 1 680 milliards de livres turques.</w:t>
      </w:r>
    </w:p>
    <w:p w:rsidR="00000000" w:rsidDel="00000000" w:rsidP="00000000" w:rsidRDefault="00000000" w:rsidRPr="00000000" w14:paraId="00000041">
      <w:pPr>
        <w:rPr>
          <w:rFonts w:ascii="Calibri" w:cs="Calibri" w:eastAsia="Calibri" w:hAnsi="Calibri"/>
        </w:rPr>
      </w:pPr>
      <w:r w:rsidDel="00000000" w:rsidR="00000000" w:rsidRPr="00000000">
        <w:rPr>
          <w:rtl w:val="0"/>
        </w:rPr>
      </w:r>
    </w:p>
    <w:p w:rsidR="00000000" w:rsidDel="00000000" w:rsidP="00000000" w:rsidRDefault="00000000" w:rsidRPr="00000000" w14:paraId="00000042">
      <w:pPr>
        <w:ind w:left="0" w:firstLine="0"/>
        <w:rPr>
          <w:rFonts w:ascii="Calibri" w:cs="Calibri" w:eastAsia="Calibri" w:hAnsi="Calibri"/>
        </w:rPr>
      </w:pPr>
      <w:r w:rsidDel="00000000" w:rsidR="00000000" w:rsidRPr="00000000">
        <w:rPr>
          <w:rFonts w:ascii="Calibri" w:cs="Calibri" w:eastAsia="Calibri" w:hAnsi="Calibri"/>
          <w:u w:val="single"/>
          <w:rtl w:val="0"/>
        </w:rPr>
        <w:t xml:space="preserve">Les entreprises turques de BTP, une présence internationale ? :</w:t>
      </w:r>
      <w:r w:rsidDel="00000000" w:rsidR="00000000" w:rsidRPr="00000000">
        <w:rPr>
          <w:rFonts w:ascii="Calibri" w:cs="Calibri" w:eastAsia="Calibri" w:hAnsi="Calibri"/>
          <w:rtl w:val="0"/>
        </w:rPr>
        <w:t xml:space="preserve"> </w:t>
      </w:r>
    </w:p>
    <w:p w:rsidR="00000000" w:rsidDel="00000000" w:rsidP="00000000" w:rsidRDefault="00000000" w:rsidRPr="00000000" w14:paraId="00000043">
      <w:pPr>
        <w:ind w:left="0" w:firstLine="720"/>
        <w:rPr>
          <w:rFonts w:ascii="Calibri" w:cs="Calibri" w:eastAsia="Calibri" w:hAnsi="Calibri"/>
        </w:rPr>
      </w:pPr>
      <w:r w:rsidDel="00000000" w:rsidR="00000000" w:rsidRPr="00000000">
        <w:rPr>
          <w:rFonts w:ascii="Calibri" w:cs="Calibri" w:eastAsia="Calibri" w:hAnsi="Calibri"/>
          <w:rtl w:val="0"/>
        </w:rPr>
        <w:t xml:space="preserve">« Au cours des dernières années, les entreprises de construction turques sont devenues des acteurs clés dans le secteur mondial de la promotion immobilière et des infrastructures, et ont renforcé leur présence en Europe, en Asie et en Afrique. Selon le rapport de l'Association turque des entrepreneurs (Türkiye </w:t>
      </w:r>
      <w:r w:rsidDel="00000000" w:rsidR="00000000" w:rsidRPr="00000000">
        <w:rPr>
          <w:rFonts w:ascii="Calibri" w:cs="Calibri" w:eastAsia="Calibri" w:hAnsi="Calibri"/>
          <w:rtl w:val="0"/>
        </w:rPr>
        <w:t xml:space="preserve">Muteahhitler</w:t>
      </w:r>
      <w:r w:rsidDel="00000000" w:rsidR="00000000" w:rsidRPr="00000000">
        <w:rPr>
          <w:rFonts w:ascii="Calibri" w:cs="Calibri" w:eastAsia="Calibri" w:hAnsi="Calibri"/>
          <w:rtl w:val="0"/>
        </w:rPr>
        <w:t xml:space="preserve"> Birligi), entre 1972 et 2022, les entreprises de construction turques ont réalisé 11 605 projets dans 133 pays, pour une valeur totale de 472 milliards de dollars américains. </w:t>
      </w:r>
    </w:p>
    <w:p w:rsidR="00000000" w:rsidDel="00000000" w:rsidP="00000000" w:rsidRDefault="00000000" w:rsidRPr="00000000" w14:paraId="00000044">
      <w:pPr>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45">
      <w:pPr>
        <w:rPr>
          <w:rFonts w:ascii="Calibri" w:cs="Calibri" w:eastAsia="Calibri" w:hAnsi="Calibri"/>
        </w:rPr>
      </w:pPr>
      <w:r w:rsidDel="00000000" w:rsidR="00000000" w:rsidRPr="00000000">
        <w:rPr>
          <w:rFonts w:ascii="Calibri" w:cs="Calibri" w:eastAsia="Calibri" w:hAnsi="Calibri"/>
          <w:rtl w:val="0"/>
        </w:rPr>
        <w:t xml:space="preserve">Il convient de noter que les entreprises de construction turques ont réalisé 1 864 projets à travers l'Afrique, d'une valeur de 85,4 milliards de dollars à la fin de 2023, selon le discours prononcé par le ministre turc du Commerce lors du IVe Forum économique et commercial Turquie-Afrique. Ces projets comprennent divers projets d'infrastructure et de superstructure tels que des routes principales, des chemins de fer, des aéroports et des bâtiments publics.”</w:t>
      </w:r>
    </w:p>
    <w:p w:rsidR="00000000" w:rsidDel="00000000" w:rsidP="00000000" w:rsidRDefault="00000000" w:rsidRPr="00000000" w14:paraId="00000046">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7">
      <w:pPr>
        <w:ind w:left="0" w:firstLine="0"/>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    </w:t>
      </w:r>
    </w:p>
    <w:p w:rsidR="00000000" w:rsidDel="00000000" w:rsidP="00000000" w:rsidRDefault="00000000" w:rsidRPr="00000000" w14:paraId="00000048">
      <w:pPr>
        <w:numPr>
          <w:ilvl w:val="0"/>
          <w:numId w:val="15"/>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Marché en forte progression, croissance robuste et perspective d’évolution positive d’ici 2028-2030</w:t>
      </w:r>
    </w:p>
    <w:p w:rsidR="00000000" w:rsidDel="00000000" w:rsidP="00000000" w:rsidRDefault="00000000" w:rsidRPr="00000000" w14:paraId="00000049">
      <w:pPr>
        <w:numPr>
          <w:ilvl w:val="0"/>
          <w:numId w:val="15"/>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Principalement résidentiel (60 % à ¾ du marché)</w:t>
      </w:r>
    </w:p>
    <w:p w:rsidR="00000000" w:rsidDel="00000000" w:rsidP="00000000" w:rsidRDefault="00000000" w:rsidRPr="00000000" w14:paraId="0000004A">
      <w:pPr>
        <w:numPr>
          <w:ilvl w:val="0"/>
          <w:numId w:val="15"/>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Tendance vers la construction verte et le respect des normes/législations écologiques (zéro émission, projets certifiés LEED, etc.)</w:t>
      </w:r>
    </w:p>
    <w:p w:rsidR="00000000" w:rsidDel="00000000" w:rsidP="00000000" w:rsidRDefault="00000000" w:rsidRPr="00000000" w14:paraId="0000004B">
      <w:pPr>
        <w:numPr>
          <w:ilvl w:val="0"/>
          <w:numId w:val="15"/>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Objectif 2028 : investissements massifs dans la construction de routes et de rails -&gt; ouvrir et développer le pays au niveau national</w:t>
      </w:r>
    </w:p>
    <w:p w:rsidR="00000000" w:rsidDel="00000000" w:rsidP="00000000" w:rsidRDefault="00000000" w:rsidRPr="00000000" w14:paraId="0000004C">
      <w:pPr>
        <w:numPr>
          <w:ilvl w:val="0"/>
          <w:numId w:val="15"/>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Forte inflation, pressions sur les matières et la main-d’œuvre </w:t>
      </w:r>
    </w:p>
    <w:p w:rsidR="00000000" w:rsidDel="00000000" w:rsidP="00000000" w:rsidRDefault="00000000" w:rsidRPr="00000000" w14:paraId="0000004D">
      <w:pPr>
        <w:ind w:left="0" w:firstLine="0"/>
        <w:rPr>
          <w:rFonts w:ascii="Calibri" w:cs="Calibri" w:eastAsia="Calibri" w:hAnsi="Calibri"/>
          <w:i w:val="1"/>
          <w:iCs w:val="1"/>
        </w:rPr>
      </w:pPr>
      <w:r w:rsidDel="00000000" w:rsidR="00000000" w:rsidRPr="00000000">
        <w:rPr>
          <w:rtl w:val="0"/>
        </w:rPr>
      </w:r>
    </w:p>
    <w:p w:rsidR="00000000" w:rsidDel="00000000" w:rsidP="00000000" w:rsidRDefault="00000000" w:rsidRPr="00000000" w14:paraId="0000004E">
      <w:pPr>
        <w:pStyle w:val="Heading4"/>
        <w:rPr>
          <w:rFonts w:ascii="Calibri" w:cs="Calibri" w:eastAsia="Calibri" w:hAnsi="Calibri"/>
          <w:b w:val="1"/>
          <w:bCs w:val="1"/>
          <w:color w:val="000000"/>
        </w:rPr>
      </w:pPr>
      <w:bookmarkStart w:colFirst="0" w:colLast="0" w:name="_upu48pqmwxmb" w:id="2"/>
      <w:bookmarkEnd w:id="2"/>
      <w:r w:rsidDel="00000000" w:rsidR="00000000" w:rsidRPr="00000000">
        <w:rPr>
          <w:rFonts w:ascii="Calibri" w:cs="Calibri" w:eastAsia="Calibri" w:hAnsi="Calibri"/>
          <w:b w:val="1"/>
          <w:bCs w:val="1"/>
          <w:color w:val="000000"/>
          <w:rtl w:val="0"/>
        </w:rPr>
        <w:t xml:space="preserve">B3. Le marché des robinets en Turquie</w:t>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rPr>
      </w:pPr>
      <w:r w:rsidDel="00000000" w:rsidR="00000000" w:rsidRPr="00000000">
        <w:rPr>
          <w:rFonts w:ascii="Calibri" w:cs="Calibri" w:eastAsia="Calibri" w:hAnsi="Calibri"/>
          <w:rtl w:val="0"/>
        </w:rPr>
        <w:t xml:space="preserve">D’après la formule suivante : </w:t>
      </w:r>
    </w:p>
    <w:p w:rsidR="00000000" w:rsidDel="00000000" w:rsidP="00000000" w:rsidRDefault="00000000" w:rsidRPr="00000000" w14:paraId="00000051">
      <w:pPr>
        <w:ind w:firstLine="720"/>
        <w:rPr>
          <w:rFonts w:ascii="Calibri" w:cs="Calibri" w:eastAsia="Calibri" w:hAnsi="Calibri"/>
        </w:rPr>
      </w:pPr>
      <w:r w:rsidDel="00000000" w:rsidR="00000000" w:rsidRPr="00000000">
        <w:rPr>
          <w:rFonts w:ascii="Calibri" w:cs="Calibri" w:eastAsia="Calibri" w:hAnsi="Calibri"/>
          <w:rtl w:val="0"/>
        </w:rPr>
        <w:t xml:space="preserve">(PIB par habitant Turquie / PIB par habitant France) * (Population Turquie / Population France) = X  -&gt; X * valeur du marché de la robinetterie sanitaire de collectivité en France = Y valeur du marché de la robinetterie sanitaire de collectivité en Turquie </w:t>
      </w:r>
    </w:p>
    <w:p w:rsidR="00000000" w:rsidDel="00000000" w:rsidP="00000000" w:rsidRDefault="00000000" w:rsidRPr="00000000" w14:paraId="00000052">
      <w:pPr>
        <w:rPr>
          <w:rFonts w:ascii="Calibri" w:cs="Calibri" w:eastAsia="Calibri" w:hAnsi="Calibri"/>
        </w:rPr>
      </w:pPr>
      <w:r w:rsidDel="00000000" w:rsidR="00000000" w:rsidRPr="00000000">
        <w:rPr>
          <w:rtl w:val="0"/>
        </w:rPr>
      </w:r>
    </w:p>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rtl w:val="0"/>
        </w:rPr>
        <w:t xml:space="preserve">Valeurs utilisés : </w:t>
      </w:r>
    </w:p>
    <w:p w:rsidR="00000000" w:rsidDel="00000000" w:rsidP="00000000" w:rsidRDefault="00000000" w:rsidRPr="00000000" w14:paraId="00000054">
      <w:pPr>
        <w:numPr>
          <w:ilvl w:val="0"/>
          <w:numId w:val="1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120 millions d’euros : taille du marché de la robinetterie sanitaire de collectivité en France en 2024  = 140, 3 millions USD</w:t>
      </w:r>
    </w:p>
    <w:p w:rsidR="00000000" w:rsidDel="00000000" w:rsidP="00000000" w:rsidRDefault="00000000" w:rsidRPr="00000000" w14:paraId="00000055">
      <w:pPr>
        <w:numPr>
          <w:ilvl w:val="0"/>
          <w:numId w:val="1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18 198 $ : PIB/hab en Turquie en 2025 (Worldometer) </w:t>
      </w:r>
    </w:p>
    <w:p w:rsidR="00000000" w:rsidDel="00000000" w:rsidP="00000000" w:rsidRDefault="00000000" w:rsidRPr="00000000" w14:paraId="00000056">
      <w:pPr>
        <w:numPr>
          <w:ilvl w:val="0"/>
          <w:numId w:val="1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48 982 $ : PIB/hab en France en 2025 (Worldometer) </w:t>
      </w:r>
      <w:r w:rsidDel="00000000" w:rsidR="00000000" w:rsidRPr="00000000">
        <w:rPr>
          <w:rtl w:val="0"/>
        </w:rPr>
      </w:r>
    </w:p>
    <w:p w:rsidR="00000000" w:rsidDel="00000000" w:rsidP="00000000" w:rsidRDefault="00000000" w:rsidRPr="00000000" w14:paraId="00000057">
      <w:pPr>
        <w:numPr>
          <w:ilvl w:val="0"/>
          <w:numId w:val="1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87,8 millions : population en Turquie en 2025</w:t>
      </w:r>
    </w:p>
    <w:p w:rsidR="00000000" w:rsidDel="00000000" w:rsidP="00000000" w:rsidRDefault="00000000" w:rsidRPr="00000000" w14:paraId="00000058">
      <w:pPr>
        <w:numPr>
          <w:ilvl w:val="0"/>
          <w:numId w:val="1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69.1 millions : population en France en 2025</w:t>
      </w:r>
    </w:p>
    <w:p w:rsidR="00000000" w:rsidDel="00000000" w:rsidP="00000000" w:rsidRDefault="00000000" w:rsidRPr="00000000" w14:paraId="00000059">
      <w:pPr>
        <w:rPr>
          <w:rFonts w:ascii="Calibri" w:cs="Calibri" w:eastAsia="Calibri" w:hAnsi="Calibri"/>
        </w:rPr>
      </w:pPr>
      <w:r w:rsidDel="00000000" w:rsidR="00000000" w:rsidRPr="00000000">
        <w:rPr>
          <w:rtl w:val="0"/>
        </w:rPr>
      </w:r>
    </w:p>
    <w:p w:rsidR="00000000" w:rsidDel="00000000" w:rsidP="00000000" w:rsidRDefault="00000000" w:rsidRPr="00000000" w14:paraId="0000005A">
      <w:pPr>
        <w:rPr>
          <w:rFonts w:ascii="Calibri" w:cs="Calibri" w:eastAsia="Calibri" w:hAnsi="Calibri"/>
        </w:rPr>
      </w:pPr>
      <w:r w:rsidDel="00000000" w:rsidR="00000000" w:rsidRPr="00000000">
        <w:rPr>
          <w:rFonts w:ascii="Calibri" w:cs="Calibri" w:eastAsia="Calibri" w:hAnsi="Calibri"/>
          <w:rtl w:val="0"/>
        </w:rPr>
        <w:t xml:space="preserve">En chiffres : (18 198/48 982) * (87.8/69.1) = 0,47 -&gt; 0,47 * 140,3 = 66 M USD </w:t>
      </w:r>
      <w:r w:rsidDel="00000000" w:rsidR="00000000" w:rsidRPr="00000000">
        <w:rPr>
          <w:rtl w:val="0"/>
        </w:rPr>
      </w:r>
    </w:p>
    <w:p w:rsidR="00000000" w:rsidDel="00000000" w:rsidP="00000000" w:rsidRDefault="00000000" w:rsidRPr="00000000" w14:paraId="0000005B">
      <w:pPr>
        <w:rPr>
          <w:rFonts w:ascii="Calibri" w:cs="Calibri" w:eastAsia="Calibri" w:hAnsi="Calibri"/>
        </w:rPr>
      </w:pPr>
      <w:r w:rsidDel="00000000" w:rsidR="00000000" w:rsidRPr="00000000">
        <w:rPr>
          <w:rtl w:val="0"/>
        </w:rPr>
      </w:r>
    </w:p>
    <w:p w:rsidR="00000000" w:rsidDel="00000000" w:rsidP="00000000" w:rsidRDefault="00000000" w:rsidRPr="00000000" w14:paraId="0000005C">
      <w:pPr>
        <w:rPr>
          <w:rFonts w:ascii="Calibri" w:cs="Calibri" w:eastAsia="Calibri" w:hAnsi="Calibri"/>
        </w:rPr>
      </w:pPr>
      <w:r w:rsidDel="00000000" w:rsidR="00000000" w:rsidRPr="00000000">
        <w:rPr>
          <w:rFonts w:ascii="Calibri" w:cs="Calibri" w:eastAsia="Calibri" w:hAnsi="Calibri"/>
          <w:rtl w:val="0"/>
        </w:rPr>
        <w:t xml:space="preserve">Le marché de la robinetterie sanitaire de collectivité est estimé, d’après cette méthode de calcul, à 66 millions USD. Une théorie commerciale explique qu’en France, il faut compter, pour le marché de la robinetterie sanitaire de collectivité, autour de 2 € par habitant. En suivant cette théorie, le PIB par habitant étant plus de deux fois supérieur en France qu’en Turquie, une valeur de 66 millions USD semble cohérente ; 66 millions USD de valeur de marché pour la Turquie étant un peu moins de la moitié de la valeur du marché français.</w:t>
      </w:r>
    </w:p>
    <w:p w:rsidR="00000000" w:rsidDel="00000000" w:rsidP="00000000" w:rsidRDefault="00000000" w:rsidRPr="00000000" w14:paraId="0000005D">
      <w:pPr>
        <w:rPr>
          <w:rFonts w:ascii="Calibri" w:cs="Calibri" w:eastAsia="Calibri" w:hAnsi="Calibri"/>
        </w:rPr>
      </w:pPr>
      <w:r w:rsidDel="00000000" w:rsidR="00000000" w:rsidRPr="00000000">
        <w:rPr>
          <w:rtl w:val="0"/>
        </w:rPr>
      </w:r>
    </w:p>
    <w:p w:rsidR="00000000" w:rsidDel="00000000" w:rsidP="00000000" w:rsidRDefault="00000000" w:rsidRPr="00000000" w14:paraId="0000005E">
      <w:pPr>
        <w:rPr>
          <w:rFonts w:ascii="Calibri" w:cs="Calibri" w:eastAsia="Calibri" w:hAnsi="Calibri"/>
          <w:u w:val="single"/>
        </w:rPr>
      </w:pPr>
      <w:r w:rsidDel="00000000" w:rsidR="00000000" w:rsidRPr="00000000">
        <w:rPr>
          <w:rFonts w:ascii="Calibri" w:cs="Calibri" w:eastAsia="Calibri" w:hAnsi="Calibri"/>
          <w:b w:val="1"/>
          <w:bCs w:val="1"/>
          <w:rtl w:val="0"/>
        </w:rPr>
        <w:t xml:space="preserve">Eléments de recherche :</w:t>
      </w:r>
      <w:r w:rsidDel="00000000" w:rsidR="00000000" w:rsidRPr="00000000">
        <w:rPr>
          <w:rFonts w:ascii="Calibri" w:cs="Calibri" w:eastAsia="Calibri" w:hAnsi="Calibri"/>
          <w:u w:val="single"/>
          <w:rtl w:val="0"/>
        </w:rPr>
        <w:t xml:space="preserve"> </w:t>
      </w:r>
    </w:p>
    <w:p w:rsidR="00000000" w:rsidDel="00000000" w:rsidP="00000000" w:rsidRDefault="00000000" w:rsidRPr="00000000" w14:paraId="0000005F">
      <w:pPr>
        <w:rPr>
          <w:rFonts w:ascii="Calibri" w:cs="Calibri" w:eastAsia="Calibri" w:hAnsi="Calibri"/>
        </w:rPr>
      </w:pPr>
      <w:r w:rsidDel="00000000" w:rsidR="00000000" w:rsidRPr="00000000">
        <w:rPr>
          <w:rtl w:val="0"/>
        </w:rPr>
      </w:r>
    </w:p>
    <w:p w:rsidR="00000000" w:rsidDel="00000000" w:rsidP="00000000" w:rsidRDefault="00000000" w:rsidRPr="00000000" w14:paraId="00000060">
      <w:pPr>
        <w:rPr>
          <w:rFonts w:ascii="Calibri" w:cs="Calibri" w:eastAsia="Calibri" w:hAnsi="Calibri"/>
          <w:u w:val="single"/>
        </w:rPr>
      </w:pPr>
      <w:r w:rsidDel="00000000" w:rsidR="00000000" w:rsidRPr="00000000">
        <w:rPr>
          <w:rFonts w:ascii="Calibri" w:cs="Calibri" w:eastAsia="Calibri" w:hAnsi="Calibri"/>
          <w:u w:val="single"/>
          <w:rtl w:val="0"/>
        </w:rPr>
        <w:t xml:space="preserve">Taille et chiffres sur le marché des équipements sanitaires : </w:t>
      </w:r>
    </w:p>
    <w:p w:rsidR="00000000" w:rsidDel="00000000" w:rsidP="00000000" w:rsidRDefault="00000000" w:rsidRPr="00000000" w14:paraId="00000061">
      <w:pPr>
        <w:ind w:firstLine="720"/>
        <w:rPr>
          <w:rFonts w:ascii="Calibri" w:cs="Calibri" w:eastAsia="Calibri" w:hAnsi="Calibri"/>
        </w:rPr>
      </w:pPr>
      <w:r w:rsidDel="00000000" w:rsidR="00000000" w:rsidRPr="00000000">
        <w:rPr>
          <w:rFonts w:ascii="Calibri" w:cs="Calibri" w:eastAsia="Calibri" w:hAnsi="Calibri"/>
          <w:rtl w:val="0"/>
        </w:rPr>
        <w:t xml:space="preserve">“ Les revenus du marché turc des équipements sanitaires devraient croître à un taux annuel composé de 4 % entre 2024 et 2030. Les investissements croissants dans le secteur hôtelier, illustrés par des projets tels que Moxy Izmir Turan, Residence Inn et Courtyard, ainsi que l'augmentation du nombre de touristes en Turquie (56,7 millions de touristes étrangers, soit une hausse de 27,2 % en 2022), stimulent considérablement le marché des équipements sanitaires. </w:t>
      </w:r>
    </w:p>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rtl w:val="0"/>
        </w:rPr>
        <w:t xml:space="preserve">À la fin de 2023, le secteur de l'hôtellerie comptait 20 991 établissements d'hébergement touristique avec plus de 941 000 chambres et près de 2 millions de lits. Les équipements sanitaires étant une nécessité fondamentale dans les zones résidentielles, commerciales et publiques, ces développements devraient stimuler davantage la demande sur le marché des équipements sanitaires. De plus, l'urbanisation croissante, avec un taux de croissance annuel de 1,11 %, a conduit 77,5 % de la population totale, soit plus de 57 millions de personnes, à vivre dans des zones urbaines, ce qui augmente encore la croissance de la demande d'équipements sanitaires pendant la période de prévision.”</w:t>
      </w:r>
    </w:p>
    <w:p w:rsidR="00000000" w:rsidDel="00000000" w:rsidP="00000000" w:rsidRDefault="00000000" w:rsidRPr="00000000" w14:paraId="00000064">
      <w:pPr>
        <w:rPr>
          <w:rFonts w:ascii="Calibri" w:cs="Calibri" w:eastAsia="Calibri" w:hAnsi="Calibri"/>
        </w:rPr>
      </w:pPr>
      <w:r w:rsidDel="00000000" w:rsidR="00000000" w:rsidRPr="00000000">
        <w:rPr>
          <w:rtl w:val="0"/>
        </w:rPr>
      </w:r>
    </w:p>
    <w:p w:rsidR="00000000" w:rsidDel="00000000" w:rsidP="00000000" w:rsidRDefault="00000000" w:rsidRPr="00000000" w14:paraId="00000065">
      <w:pPr>
        <w:rPr>
          <w:rFonts w:ascii="Calibri" w:cs="Calibri" w:eastAsia="Calibri" w:hAnsi="Calibri"/>
          <w:u w:val="single"/>
        </w:rPr>
      </w:pPr>
      <w:r w:rsidDel="00000000" w:rsidR="00000000" w:rsidRPr="00000000">
        <w:rPr>
          <w:rtl w:val="0"/>
        </w:rPr>
      </w:r>
    </w:p>
    <w:p w:rsidR="00000000" w:rsidDel="00000000" w:rsidP="00000000" w:rsidRDefault="00000000" w:rsidRPr="00000000" w14:paraId="00000066">
      <w:pPr>
        <w:rPr>
          <w:rFonts w:ascii="Calibri" w:cs="Calibri" w:eastAsia="Calibri" w:hAnsi="Calibri"/>
          <w:u w:val="single"/>
        </w:rPr>
      </w:pPr>
      <w:r w:rsidDel="00000000" w:rsidR="00000000" w:rsidRPr="00000000">
        <w:rPr>
          <w:rtl w:val="0"/>
        </w:rPr>
      </w:r>
    </w:p>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u w:val="single"/>
          <w:rtl w:val="0"/>
        </w:rPr>
        <w:t xml:space="preserve">Composition potentielle du marché :</w:t>
      </w:r>
      <w:r w:rsidDel="00000000" w:rsidR="00000000" w:rsidRPr="00000000">
        <w:rPr>
          <w:rFonts w:ascii="Calibri" w:cs="Calibri" w:eastAsia="Calibri" w:hAnsi="Calibri"/>
          <w:rtl w:val="0"/>
        </w:rPr>
        <w:t xml:space="preserve"> </w:t>
      </w:r>
    </w:p>
    <w:p w:rsidR="00000000" w:rsidDel="00000000" w:rsidP="00000000" w:rsidRDefault="00000000" w:rsidRPr="00000000" w14:paraId="00000068">
      <w:pPr>
        <w:ind w:firstLine="720"/>
        <w:rPr>
          <w:rFonts w:ascii="Calibri" w:cs="Calibri" w:eastAsia="Calibri" w:hAnsi="Calibri"/>
        </w:rPr>
      </w:pPr>
      <w:r w:rsidDel="00000000" w:rsidR="00000000" w:rsidRPr="00000000">
        <w:rPr>
          <w:rFonts w:ascii="Calibri" w:cs="Calibri" w:eastAsia="Calibri" w:hAnsi="Calibri"/>
          <w:rtl w:val="0"/>
        </w:rPr>
        <w:t xml:space="preserve">« Les lavabos et les toilettes occupent la plus grande part du marché turc des équipements sanitaires et affichent le taux de croissance le plus élevé, en raison des besoins essentiels des ménages, des rénovations fréquentes et de l'urbanisation croissante. De plus, les initiatives gouvernementales telles que les projets de logement stimulent davantage la demande d'équipements sanitaires, en particulier les lavabos et les toilettes, contribuant ainsi à leur domination du marché et à leur croissance prévue.</w:t>
      </w:r>
    </w:p>
    <w:p w:rsidR="00000000" w:rsidDel="00000000" w:rsidP="00000000" w:rsidRDefault="00000000" w:rsidRPr="00000000" w14:paraId="00000069">
      <w:pPr>
        <w:rPr>
          <w:rFonts w:ascii="Calibri" w:cs="Calibri" w:eastAsia="Calibri" w:hAnsi="Calibri"/>
        </w:rPr>
      </w:pPr>
      <w:r w:rsidDel="00000000" w:rsidR="00000000" w:rsidRPr="00000000">
        <w:rPr>
          <w:rtl w:val="0"/>
        </w:rPr>
      </w:r>
    </w:p>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rtl w:val="0"/>
        </w:rPr>
        <w:t xml:space="preserve">La céramique occupe la plus grande part du marché turc des équipements sanitaires par type de matériau en raison de sa durabilité, de son esthétique et de son rapport coût-efficacité. De plus, la céramique est facile à nettoyer et à entretenir, ce qui en fait un choix populaire pour les installations sanitaires résidentielles et commerciales. La croissance de la Turquie est soutenue par un projet immobilier gouvernemental d'un coût de près de 50 milliards de dollars. Cette initiative, qui prévoit la construction de 500 000 logements et 250 000 terrains résidentiels, stimulera considérablement le marché turc des équipements sanitaires en raison de la demande accrue en équipements sanitaires.</w:t>
      </w:r>
    </w:p>
    <w:p w:rsidR="00000000" w:rsidDel="00000000" w:rsidP="00000000" w:rsidRDefault="00000000" w:rsidRPr="00000000" w14:paraId="0000006B">
      <w:pPr>
        <w:rPr>
          <w:rFonts w:ascii="Calibri" w:cs="Calibri" w:eastAsia="Calibri" w:hAnsi="Calibri"/>
        </w:rPr>
      </w:pPr>
      <w:r w:rsidDel="00000000" w:rsidR="00000000" w:rsidRPr="00000000">
        <w:rPr>
          <w:rtl w:val="0"/>
        </w:rPr>
      </w:r>
    </w:p>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rtl w:val="0"/>
        </w:rPr>
        <w:t xml:space="preserve">Les robinets détiennent la plus grande part de marché en termes de volume sur le marché turc des accessoires métalliques par type de matériau, en raison de leur rôle essentiel dans les systèmes de plomberie résidentiels et commerciaux. L'urbanisation rapide, avec un taux de croissance annuel de 1,11 %, a conduit à un taux d'urbanisation de 77,5 % en 2023, ce qui a encore stimulé la demande. L'augmentation des activités de construction, notamment dans le secteur de l'hôtellerie, contribue de manière significative à cette tendance. Par exemple, Istanbul arrive en tête avec 221 établissements hôteliers, suivie par Antalya avec 155 hôtels et MuÄŸla avec 73 hôtels. Cette croissance des infrastructures et du secteur hôtelier alimente la demande de robinets de haute qualité pour les années à venir. </w:t>
      </w:r>
    </w:p>
    <w:p w:rsidR="00000000" w:rsidDel="00000000" w:rsidP="00000000" w:rsidRDefault="00000000" w:rsidRPr="00000000" w14:paraId="0000006D">
      <w:pPr>
        <w:rPr>
          <w:rFonts w:ascii="Calibri" w:cs="Calibri" w:eastAsia="Calibri" w:hAnsi="Calibri"/>
        </w:rPr>
      </w:pPr>
      <w:r w:rsidDel="00000000" w:rsidR="00000000" w:rsidRPr="00000000">
        <w:rPr>
          <w:rtl w:val="0"/>
        </w:rPr>
      </w:r>
    </w:p>
    <w:p w:rsidR="00000000" w:rsidDel="00000000" w:rsidP="00000000" w:rsidRDefault="00000000" w:rsidRPr="00000000" w14:paraId="0000006E">
      <w:pPr>
        <w:rPr>
          <w:rFonts w:ascii="Calibri" w:cs="Calibri" w:eastAsia="Calibri" w:hAnsi="Calibri"/>
          <w:u w:val="single"/>
        </w:rPr>
      </w:pPr>
      <w:r w:rsidDel="00000000" w:rsidR="00000000" w:rsidRPr="00000000">
        <w:rPr>
          <w:rFonts w:ascii="Calibri" w:cs="Calibri" w:eastAsia="Calibri" w:hAnsi="Calibri"/>
          <w:u w:val="single"/>
          <w:rtl w:val="0"/>
        </w:rPr>
        <w:t xml:space="preserve">Marques chinoises et marques turques : </w:t>
      </w:r>
    </w:p>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rtl w:val="0"/>
        </w:rPr>
        <w:t xml:space="preserve">« Les marques chinoises se concentrent sur la production de masse et les prix compétitifs, les marques turques offrent un mélange de qualité fiable et de design innovant, tandis que les marques européennes se distinguent par leurs produits luxueux, de haute qualité et avancés. » </w:t>
      </w:r>
    </w:p>
    <w:p w:rsidR="00000000" w:rsidDel="00000000" w:rsidP="00000000" w:rsidRDefault="00000000" w:rsidRPr="00000000" w14:paraId="00000070">
      <w:pPr>
        <w:rPr>
          <w:rFonts w:ascii="Calibri" w:cs="Calibri" w:eastAsia="Calibri" w:hAnsi="Calibri"/>
        </w:rPr>
      </w:pP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rtl w:val="0"/>
        </w:rPr>
        <w:t xml:space="preserve">« Les produits turcs sont généralement proposés à un prix attractif pour les clients qui recherchent une bonne qualité à un budget plus accessible. Cet équilibre entre qualité et prix a rendu les marques turques particulièrement populaires sur les marchés du Moyen-Orient, d'Afrique du Nord et d'Europe de l'Est. De plus, les politiques d'exportation du gouvernement turc et le soutien financier apporté aux industries manufacturières ont créé un environnement propice à la croissance et au développement de ces marques. Les marques turques ont tiré parti des technologies de fabrication modernes et des matériaux de haute qualité pour proposer des produits qui répondent aux normes environnementales et garantissent une utilisation efficace de l'énergie. »</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ind w:left="0" w:firstLine="0"/>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w:t>
      </w:r>
    </w:p>
    <w:p w:rsidR="00000000" w:rsidDel="00000000" w:rsidP="00000000" w:rsidRDefault="00000000" w:rsidRPr="00000000" w14:paraId="00000074">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Une taille de marché estimée autour de 66 millions USD (moins d’1 € par habitant)</w:t>
      </w:r>
    </w:p>
    <w:p w:rsidR="00000000" w:rsidDel="00000000" w:rsidP="00000000" w:rsidRDefault="00000000" w:rsidRPr="00000000" w14:paraId="00000075">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TCAC estimé à 4 % prévu entre 2024 et 2030 pour le marché turc des équipements sanitaires</w:t>
      </w:r>
    </w:p>
    <w:p w:rsidR="00000000" w:rsidDel="00000000" w:rsidP="00000000" w:rsidRDefault="00000000" w:rsidRPr="00000000" w14:paraId="00000076">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Investissements dans l’hôtellerie (tourisme en hausse) ; urbanisation massive encourageant le développement de nouvelles zones urbaines et la modernisation d’anciennes zones urbaines</w:t>
      </w:r>
    </w:p>
    <w:p w:rsidR="00000000" w:rsidDel="00000000" w:rsidP="00000000" w:rsidRDefault="00000000" w:rsidRPr="00000000" w14:paraId="00000077">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Lavabos et toilettes = grandes parts du marché des équipements sanitaires et taux de croissance élevé</w:t>
      </w:r>
    </w:p>
    <w:p w:rsidR="00000000" w:rsidDel="00000000" w:rsidP="00000000" w:rsidRDefault="00000000" w:rsidRPr="00000000" w14:paraId="00000078">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La céramique occupe la plus grande part du marché en termes de matériaux utilisés (durabilité, esthétique et coût)</w:t>
      </w:r>
    </w:p>
    <w:p w:rsidR="00000000" w:rsidDel="00000000" w:rsidP="00000000" w:rsidRDefault="00000000" w:rsidRPr="00000000" w14:paraId="00000079">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Plusieurs grands projets de construction résidentielle sont prévus (initiatives et investissements gouvernementaux)</w:t>
      </w:r>
    </w:p>
    <w:p w:rsidR="00000000" w:rsidDel="00000000" w:rsidP="00000000" w:rsidRDefault="00000000" w:rsidRPr="00000000" w14:paraId="0000007A">
      <w:pPr>
        <w:numPr>
          <w:ilvl w:val="0"/>
          <w:numId w:val="1"/>
        </w:numPr>
        <w:ind w:left="720" w:hanging="360"/>
        <w:rPr>
          <w:rFonts w:ascii="Calibri" w:cs="Calibri" w:eastAsia="Calibri" w:hAnsi="Calibri"/>
        </w:rPr>
      </w:pPr>
      <w:r w:rsidDel="00000000" w:rsidR="00000000" w:rsidRPr="00000000">
        <w:rPr>
          <w:rFonts w:ascii="Calibri" w:cs="Calibri" w:eastAsia="Calibri" w:hAnsi="Calibri"/>
          <w:i w:val="1"/>
          <w:iCs w:val="1"/>
          <w:rtl w:val="0"/>
        </w:rPr>
        <w:t xml:space="preserve">Forte présence de produits chinois : coûts bas, défaut de qualité ; tendance, due à la hausse des investissements en recherche de marques chinoises, vers des produits de meilleure qualité, plus “high-tech”</w:t>
      </w:r>
    </w:p>
    <w:p w:rsidR="00000000" w:rsidDel="00000000" w:rsidP="00000000" w:rsidRDefault="00000000" w:rsidRPr="00000000" w14:paraId="0000007B">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i w:val="1"/>
          <w:iCs w:val="1"/>
          <w:rtl w:val="0"/>
        </w:rPr>
        <w:t xml:space="preserve">Produits turcs très présents, reconnus et démocratisés nationalement et internationalement ; bonne qualité à des prix accessibles</w:t>
      </w:r>
      <w:r w:rsidDel="00000000" w:rsidR="00000000" w:rsidRPr="00000000">
        <w:rPr>
          <w:rFonts w:ascii="Calibri" w:cs="Calibri" w:eastAsia="Calibri" w:hAnsi="Calibri"/>
          <w:rtl w:val="0"/>
        </w:rPr>
        <w:t xml:space="preserve"> </w:t>
      </w:r>
    </w:p>
    <w:p w:rsidR="00000000" w:rsidDel="00000000" w:rsidP="00000000" w:rsidRDefault="00000000" w:rsidRPr="00000000" w14:paraId="0000007C">
      <w:pPr>
        <w:rPr>
          <w:rFonts w:ascii="Calibri" w:cs="Calibri" w:eastAsia="Calibri" w:hAnsi="Calibri"/>
        </w:rPr>
      </w:pPr>
      <w:r w:rsidDel="00000000" w:rsidR="00000000" w:rsidRPr="00000000">
        <w:rPr>
          <w:rtl w:val="0"/>
        </w:rPr>
      </w:r>
    </w:p>
    <w:p w:rsidR="00000000" w:rsidDel="00000000" w:rsidP="00000000" w:rsidRDefault="00000000" w:rsidRPr="00000000" w14:paraId="0000007D">
      <w:pPr>
        <w:pStyle w:val="Heading4"/>
        <w:rPr>
          <w:rFonts w:ascii="Calibri" w:cs="Calibri" w:eastAsia="Calibri" w:hAnsi="Calibri"/>
          <w:b w:val="1"/>
          <w:bCs w:val="1"/>
          <w:color w:val="000000"/>
        </w:rPr>
      </w:pPr>
      <w:bookmarkStart w:colFirst="0" w:colLast="0" w:name="_g5md4ifwjslq" w:id="3"/>
      <w:bookmarkEnd w:id="3"/>
      <w:r w:rsidDel="00000000" w:rsidR="00000000" w:rsidRPr="00000000">
        <w:rPr>
          <w:rFonts w:ascii="Calibri" w:cs="Calibri" w:eastAsia="Calibri" w:hAnsi="Calibri"/>
          <w:b w:val="1"/>
          <w:bCs w:val="1"/>
          <w:color w:val="000000"/>
          <w:rtl w:val="0"/>
        </w:rPr>
        <w:t xml:space="preserve">B4. Le marché de l’inox en Turquie</w:t>
      </w:r>
    </w:p>
    <w:p w:rsidR="00000000" w:rsidDel="00000000" w:rsidP="00000000" w:rsidRDefault="00000000" w:rsidRPr="00000000" w14:paraId="0000007E">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7F">
      <w:pPr>
        <w:rPr>
          <w:rFonts w:ascii="Calibri" w:cs="Calibri" w:eastAsia="Calibri" w:hAnsi="Calibri"/>
        </w:rPr>
      </w:pPr>
      <w:r w:rsidDel="00000000" w:rsidR="00000000" w:rsidRPr="00000000">
        <w:rPr>
          <w:rFonts w:ascii="Calibri" w:cs="Calibri" w:eastAsia="Calibri" w:hAnsi="Calibri"/>
          <w:rtl w:val="0"/>
        </w:rPr>
        <w:t xml:space="preserve">Le segment robinetterie sanitaire en inox (304/316) en Turquie est un sous-segment premium/niche au sein d’un marché dominé par la robinetterie laiton chromé ; sa taille chiffrée n’est pas publiée de façon standardisée (ni par statistiques publiques, ni par les codes douaniers). Pour l’inox, les drivers sont hygiène/perception “sans plomb”, résistance corrosion, esthétique et montée en gamme mais freinés par sensibilité prix, volatilité TRY et coûts matière.</w:t>
      </w:r>
    </w:p>
    <w:p w:rsidR="00000000" w:rsidDel="00000000" w:rsidP="00000000" w:rsidRDefault="00000000" w:rsidRPr="00000000" w14:paraId="0000008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81">
      <w:pPr>
        <w:rPr>
          <w:rFonts w:ascii="Calibri" w:cs="Calibri" w:eastAsia="Calibri" w:hAnsi="Calibri"/>
          <w:b w:val="1"/>
          <w:bCs w:val="1"/>
        </w:rPr>
      </w:pPr>
      <w:r w:rsidDel="00000000" w:rsidR="00000000" w:rsidRPr="00000000">
        <w:rPr>
          <w:rFonts w:ascii="Calibri" w:cs="Calibri" w:eastAsia="Calibri" w:hAnsi="Calibri"/>
          <w:u w:val="single"/>
          <w:rtl w:val="0"/>
        </w:rPr>
        <w:t xml:space="preserve">Extraits de recherches :</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82">
      <w:pPr>
        <w:rPr>
          <w:rFonts w:ascii="Calibri" w:cs="Calibri" w:eastAsia="Calibri" w:hAnsi="Calibri"/>
        </w:rPr>
      </w:pPr>
      <w:r w:rsidDel="00000000" w:rsidR="00000000" w:rsidRPr="00000000">
        <w:rPr>
          <w:rtl w:val="0"/>
        </w:rPr>
      </w:r>
    </w:p>
    <w:p w:rsidR="00000000" w:rsidDel="00000000" w:rsidP="00000000" w:rsidRDefault="00000000" w:rsidRPr="00000000" w14:paraId="00000083">
      <w:pPr>
        <w:ind w:firstLine="720"/>
        <w:rPr>
          <w:rFonts w:ascii="Calibri" w:cs="Calibri" w:eastAsia="Calibri" w:hAnsi="Calibri"/>
        </w:rPr>
      </w:pPr>
      <w:r w:rsidDel="00000000" w:rsidR="00000000" w:rsidRPr="00000000">
        <w:rPr>
          <w:rFonts w:ascii="Calibri" w:cs="Calibri" w:eastAsia="Calibri" w:hAnsi="Calibri"/>
          <w:rtl w:val="0"/>
        </w:rPr>
        <w:t xml:space="preserve">“La production d'acier en Turquie est passée à 3300 milliers de tonnes en novembre contre 3200 milliers de tonnes en octobre 2025. La production d'acier en Turquie a atteint en moyenne </w:t>
      </w:r>
      <w:r w:rsidDel="00000000" w:rsidR="00000000" w:rsidRPr="00000000">
        <w:rPr>
          <w:rFonts w:ascii="Calibri" w:cs="Calibri" w:eastAsia="Calibri" w:hAnsi="Calibri"/>
          <w:rtl w:val="0"/>
        </w:rPr>
        <w:t xml:space="preserve">1695,30 milliers de</w:t>
      </w:r>
      <w:r w:rsidDel="00000000" w:rsidR="00000000" w:rsidRPr="00000000">
        <w:rPr>
          <w:rFonts w:ascii="Calibri" w:cs="Calibri" w:eastAsia="Calibri" w:hAnsi="Calibri"/>
          <w:rtl w:val="0"/>
        </w:rPr>
        <w:t xml:space="preserve"> tonnes entre 1980 et 2025, atteignant un niveau record de 3500 milliers de tonnes en août 2021 et un niveau historiquement bas de 152 milliers de tonnes en juillet 1980.”</w:t>
      </w:r>
    </w:p>
    <w:p w:rsidR="00000000" w:rsidDel="00000000" w:rsidP="00000000" w:rsidRDefault="00000000" w:rsidRPr="00000000" w14:paraId="00000084">
      <w:pPr>
        <w:rPr>
          <w:rFonts w:ascii="Calibri" w:cs="Calibri" w:eastAsia="Calibri" w:hAnsi="Calibri"/>
        </w:rPr>
      </w:pPr>
      <w:r w:rsidDel="00000000" w:rsidR="00000000" w:rsidRPr="00000000">
        <w:rPr>
          <w:rtl w:val="0"/>
        </w:rPr>
      </w:r>
    </w:p>
    <w:p w:rsidR="00000000" w:rsidDel="00000000" w:rsidP="00000000" w:rsidRDefault="00000000" w:rsidRPr="00000000" w14:paraId="00000085">
      <w:pPr>
        <w:rPr>
          <w:rFonts w:ascii="Calibri" w:cs="Calibri" w:eastAsia="Calibri" w:hAnsi="Calibri"/>
        </w:rPr>
      </w:pPr>
      <w:r w:rsidDel="00000000" w:rsidR="00000000" w:rsidRPr="00000000">
        <w:rPr>
          <w:rFonts w:ascii="Calibri" w:cs="Calibri" w:eastAsia="Calibri" w:hAnsi="Calibri"/>
          <w:rtl w:val="0"/>
        </w:rPr>
        <w:t xml:space="preserve">D’après infographie (annexes) Association mondiale de l’acier (World Steel Association) : </w:t>
      </w:r>
    </w:p>
    <w:p w:rsidR="00000000" w:rsidDel="00000000" w:rsidP="00000000" w:rsidRDefault="00000000" w:rsidRPr="00000000" w14:paraId="00000086">
      <w:pPr>
        <w:ind w:firstLine="720"/>
        <w:rPr>
          <w:rFonts w:ascii="Calibri" w:cs="Calibri" w:eastAsia="Calibri" w:hAnsi="Calibri"/>
        </w:rPr>
      </w:pPr>
      <w:r w:rsidDel="00000000" w:rsidR="00000000" w:rsidRPr="00000000">
        <w:rPr>
          <w:rFonts w:ascii="Calibri" w:cs="Calibri" w:eastAsia="Calibri" w:hAnsi="Calibri"/>
          <w:rtl w:val="0"/>
        </w:rPr>
        <w:t xml:space="preserve">"En 2024, la Turquie était </w:t>
      </w:r>
      <w:r w:rsidDel="00000000" w:rsidR="00000000" w:rsidRPr="00000000">
        <w:rPr>
          <w:rFonts w:ascii="Calibri" w:cs="Calibri" w:eastAsia="Calibri" w:hAnsi="Calibri"/>
          <w:rtl w:val="0"/>
        </w:rPr>
        <w:t xml:space="preserve">le 8ème plus</w:t>
      </w:r>
      <w:r w:rsidDel="00000000" w:rsidR="00000000" w:rsidRPr="00000000">
        <w:rPr>
          <w:rFonts w:ascii="Calibri" w:cs="Calibri" w:eastAsia="Calibri" w:hAnsi="Calibri"/>
          <w:rtl w:val="0"/>
        </w:rPr>
        <w:t xml:space="preserve"> grand producteur d'acier au monde avec 36,9 millions de tonnes, et au cours des 8 premiers mois de 2025, elle a de nouveau atteint la 7ème place et est devenue le plus grand producteur d'acier en Europe. Sa capacité de production flexible et résiliente, la qualité des produits, les conditions de livraison anticipée, distinguent notre secteur des autres secteurs de l'acier des pays. De plus, notre secteur s'est distingué par sa capacité à maintenir ses activités de production sans interruption, tant en période de fluctuations économiques qu'en période de crises mondiales. {...} Le secteur de l'acier turc, malgré tous les défis, s'efforce de maintenir sa compétitivité et, en tenant compte des marchés alternatifs, de diversifier ses marchés, en développant de nouvelles stratégies, en se dirigeant vers une production à forte valeur ajoutée, et en se concentrant sur les investissements de transition verte pour renforcer sa position sur le marché mondial. Le secteur de l'acier turc a réalisé des investissements complets conformes à la transition verte pour augmenter sa capacité de production, afin de répondre à l'augmentation de la demande sur le marché intérieur et de renforcer son potentiel d'exportation. </w:t>
      </w:r>
    </w:p>
    <w:p w:rsidR="00000000" w:rsidDel="00000000" w:rsidP="00000000" w:rsidRDefault="00000000" w:rsidRPr="00000000" w14:paraId="00000087">
      <w:pPr>
        <w:rPr>
          <w:rFonts w:ascii="Calibri" w:cs="Calibri" w:eastAsia="Calibri" w:hAnsi="Calibri"/>
        </w:rPr>
      </w:pPr>
      <w:r w:rsidDel="00000000" w:rsidR="00000000" w:rsidRPr="00000000">
        <w:rPr>
          <w:rFonts w:ascii="Calibri" w:cs="Calibri" w:eastAsia="Calibri" w:hAnsi="Calibri"/>
          <w:rtl w:val="0"/>
        </w:rPr>
        <w:t xml:space="preserve">L'objectif principal de ce processus est de développer encore davantage une infrastructure de production de haute qualité, compétitive et durable. D'autre part, des projets de développement de capacité axés sur des produits à forte valeur ajoutée attirent également l'attention. En particulier, les investissements dans la production d'aciers spéciaux utilisés dans les secteurs de l'automobile, de la défense, de l'énergie et de la construction navale prennent de l'ampleur. </w:t>
      </w:r>
    </w:p>
    <w:p w:rsidR="00000000" w:rsidDel="00000000" w:rsidP="00000000" w:rsidRDefault="00000000" w:rsidRPr="00000000" w14:paraId="00000088">
      <w:pPr>
        <w:rPr>
          <w:rFonts w:ascii="Calibri" w:cs="Calibri" w:eastAsia="Calibri" w:hAnsi="Calibri"/>
        </w:rPr>
      </w:pPr>
      <w:r w:rsidDel="00000000" w:rsidR="00000000" w:rsidRPr="00000000">
        <w:rPr>
          <w:rtl w:val="0"/>
        </w:rPr>
      </w:r>
    </w:p>
    <w:p w:rsidR="00000000" w:rsidDel="00000000" w:rsidP="00000000" w:rsidRDefault="00000000" w:rsidRPr="00000000" w14:paraId="00000089">
      <w:pPr>
        <w:rPr>
          <w:rFonts w:ascii="Calibri" w:cs="Calibri" w:eastAsia="Calibri" w:hAnsi="Calibri"/>
        </w:rPr>
      </w:pPr>
      <w:r w:rsidDel="00000000" w:rsidR="00000000" w:rsidRPr="00000000">
        <w:rPr>
          <w:rFonts w:ascii="Calibri" w:cs="Calibri" w:eastAsia="Calibri" w:hAnsi="Calibri"/>
          <w:rtl w:val="0"/>
        </w:rPr>
        <w:t xml:space="preserve">Ces investissements augmentent non seulement la quantité de production de la Turquie, mais également la diversité des produits et sa compétitivité internationale. Bien que le secteur de l'acier turc ait actuellement la capacité de répondre à la consommation intérieure, le taux d'utilisation de la capacité est d'environ 63 %, ce qui est considéré comme un niveau relativement bas. La part des intrants importés dans la consommation totale en Turquie est d'environ 48 %, soit 2,5 fois les niveaux de 20 % qui préoccupent fortement l'UE."</w:t>
      </w:r>
    </w:p>
    <w:p w:rsidR="00000000" w:rsidDel="00000000" w:rsidP="00000000" w:rsidRDefault="00000000" w:rsidRPr="00000000" w14:paraId="0000008A">
      <w:pPr>
        <w:rPr>
          <w:rFonts w:ascii="Calibri" w:cs="Calibri" w:eastAsia="Calibri" w:hAnsi="Calibri"/>
          <w:u w:val="single"/>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u w:val="single"/>
          <w:rtl w:val="0"/>
        </w:rPr>
        <w:t xml:space="preserve">Pays ayant la plus forte production d’acier (janvier-août, millions de tonnes) : </w:t>
      </w:r>
    </w:p>
    <w:p w:rsidR="00000000" w:rsidDel="00000000" w:rsidP="00000000" w:rsidRDefault="00000000" w:rsidRPr="00000000" w14:paraId="0000008B">
      <w:pPr>
        <w:rPr>
          <w:rFonts w:ascii="Calibri" w:cs="Calibri" w:eastAsia="Calibri" w:hAnsi="Calibri"/>
        </w:rPr>
      </w:pPr>
      <w:r w:rsidDel="00000000" w:rsidR="00000000" w:rsidRPr="00000000">
        <w:rPr>
          <w:rtl w:val="0"/>
        </w:rPr>
      </w:r>
    </w:p>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rtl w:val="0"/>
        </w:rPr>
        <w:t xml:space="preserve">Production (janvier-août) - 2024 (millions de tonnes)</w:t>
      </w:r>
    </w:p>
    <w:p w:rsidR="00000000" w:rsidDel="00000000" w:rsidP="00000000" w:rsidRDefault="00000000" w:rsidRPr="00000000" w14:paraId="0000008D">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Chine : 691,4</w:t>
      </w:r>
    </w:p>
    <w:p w:rsidR="00000000" w:rsidDel="00000000" w:rsidP="00000000" w:rsidRDefault="00000000" w:rsidRPr="00000000" w14:paraId="0000008E">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Inde : 98,5</w:t>
      </w:r>
    </w:p>
    <w:p w:rsidR="00000000" w:rsidDel="00000000" w:rsidP="00000000" w:rsidRDefault="00000000" w:rsidRPr="00000000" w14:paraId="0000008F">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Japon : 56,7</w:t>
      </w:r>
    </w:p>
    <w:p w:rsidR="00000000" w:rsidDel="00000000" w:rsidP="00000000" w:rsidRDefault="00000000" w:rsidRPr="00000000" w14:paraId="00000090">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États-Unis : 53,8</w:t>
      </w:r>
    </w:p>
    <w:p w:rsidR="00000000" w:rsidDel="00000000" w:rsidP="00000000" w:rsidRDefault="00000000" w:rsidRPr="00000000" w14:paraId="00000091">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Russie : 48,5</w:t>
      </w:r>
    </w:p>
    <w:p w:rsidR="00000000" w:rsidDel="00000000" w:rsidP="00000000" w:rsidRDefault="00000000" w:rsidRPr="00000000" w14:paraId="00000092">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Corée du Sud : 42,5</w:t>
      </w:r>
    </w:p>
    <w:p w:rsidR="00000000" w:rsidDel="00000000" w:rsidP="00000000" w:rsidRDefault="00000000" w:rsidRPr="00000000" w14:paraId="00000093">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Allemagne : 25,4</w:t>
      </w:r>
    </w:p>
    <w:p w:rsidR="00000000" w:rsidDel="00000000" w:rsidP="00000000" w:rsidRDefault="00000000" w:rsidRPr="00000000" w14:paraId="00000094">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Turquie : 24,8</w:t>
      </w:r>
    </w:p>
    <w:p w:rsidR="00000000" w:rsidDel="00000000" w:rsidP="00000000" w:rsidRDefault="00000000" w:rsidRPr="00000000" w14:paraId="00000095">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Brésil : 22,4</w:t>
      </w:r>
    </w:p>
    <w:p w:rsidR="00000000" w:rsidDel="00000000" w:rsidP="00000000" w:rsidRDefault="00000000" w:rsidRPr="00000000" w14:paraId="00000096">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Iran : 19,8</w:t>
      </w:r>
    </w:p>
    <w:p w:rsidR="00000000" w:rsidDel="00000000" w:rsidP="00000000" w:rsidRDefault="00000000" w:rsidRPr="00000000" w14:paraId="00000097">
      <w:pPr>
        <w:rPr>
          <w:rFonts w:ascii="Calibri" w:cs="Calibri" w:eastAsia="Calibri" w:hAnsi="Calibri"/>
        </w:rPr>
      </w:pPr>
      <w:r w:rsidDel="00000000" w:rsidR="00000000" w:rsidRPr="00000000">
        <w:rPr>
          <w:rtl w:val="0"/>
        </w:rPr>
      </w:r>
    </w:p>
    <w:p w:rsidR="00000000" w:rsidDel="00000000" w:rsidP="00000000" w:rsidRDefault="00000000" w:rsidRPr="00000000" w14:paraId="00000098">
      <w:pPr>
        <w:rPr>
          <w:rFonts w:ascii="Calibri" w:cs="Calibri" w:eastAsia="Calibri" w:hAnsi="Calibri"/>
        </w:rPr>
      </w:pPr>
      <w:r w:rsidDel="00000000" w:rsidR="00000000" w:rsidRPr="00000000">
        <w:rPr>
          <w:rFonts w:ascii="Calibri" w:cs="Calibri" w:eastAsia="Calibri" w:hAnsi="Calibri"/>
          <w:rtl w:val="0"/>
        </w:rPr>
        <w:t xml:space="preserve">Production (janvier-août) - 2025 (millions de tonnes)</w:t>
      </w:r>
    </w:p>
    <w:p w:rsidR="00000000" w:rsidDel="00000000" w:rsidP="00000000" w:rsidRDefault="00000000" w:rsidRPr="00000000" w14:paraId="00000099">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Chine : 671,8</w:t>
      </w:r>
    </w:p>
    <w:p w:rsidR="00000000" w:rsidDel="00000000" w:rsidP="00000000" w:rsidRDefault="00000000" w:rsidRPr="00000000" w14:paraId="0000009A">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Inde : 108,9</w:t>
      </w:r>
    </w:p>
    <w:p w:rsidR="00000000" w:rsidDel="00000000" w:rsidP="00000000" w:rsidRDefault="00000000" w:rsidRPr="00000000" w14:paraId="0000009B">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États-Unis : 54,6</w:t>
      </w:r>
    </w:p>
    <w:p w:rsidR="00000000" w:rsidDel="00000000" w:rsidP="00000000" w:rsidRDefault="00000000" w:rsidRPr="00000000" w14:paraId="0000009C">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Japon : 54,1</w:t>
      </w:r>
    </w:p>
    <w:p w:rsidR="00000000" w:rsidDel="00000000" w:rsidP="00000000" w:rsidRDefault="00000000" w:rsidRPr="00000000" w14:paraId="0000009D">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Russie : 46,1</w:t>
      </w:r>
    </w:p>
    <w:p w:rsidR="00000000" w:rsidDel="00000000" w:rsidP="00000000" w:rsidRDefault="00000000" w:rsidRPr="00000000" w14:paraId="0000009E">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Corée du Sud : 41,1</w:t>
      </w:r>
    </w:p>
    <w:p w:rsidR="00000000" w:rsidDel="00000000" w:rsidP="00000000" w:rsidRDefault="00000000" w:rsidRPr="00000000" w14:paraId="0000009F">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Turquie : 24,9</w:t>
      </w:r>
    </w:p>
    <w:p w:rsidR="00000000" w:rsidDel="00000000" w:rsidP="00000000" w:rsidRDefault="00000000" w:rsidRPr="00000000" w14:paraId="000000A0">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Allemagne : 22,4</w:t>
      </w:r>
    </w:p>
    <w:p w:rsidR="00000000" w:rsidDel="00000000" w:rsidP="00000000" w:rsidRDefault="00000000" w:rsidRPr="00000000" w14:paraId="000000A1">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Brésil : 22,2</w:t>
      </w:r>
    </w:p>
    <w:p w:rsidR="00000000" w:rsidDel="00000000" w:rsidP="00000000" w:rsidRDefault="00000000" w:rsidRPr="00000000" w14:paraId="000000A2">
      <w:pPr>
        <w:numPr>
          <w:ilvl w:val="0"/>
          <w:numId w:val="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Iran : 19,8</w:t>
      </w:r>
    </w:p>
    <w:p w:rsidR="00000000" w:rsidDel="00000000" w:rsidP="00000000" w:rsidRDefault="00000000" w:rsidRPr="00000000" w14:paraId="000000A3">
      <w:pPr>
        <w:rPr>
          <w:rFonts w:ascii="Calibri" w:cs="Calibri" w:eastAsia="Calibri" w:hAnsi="Calibri"/>
        </w:rPr>
      </w:pPr>
      <w:r w:rsidDel="00000000" w:rsidR="00000000" w:rsidRPr="00000000">
        <w:rPr>
          <w:rtl w:val="0"/>
        </w:rPr>
      </w:r>
    </w:p>
    <w:p w:rsidR="00000000" w:rsidDel="00000000" w:rsidP="00000000" w:rsidRDefault="00000000" w:rsidRPr="00000000" w14:paraId="000000A4">
      <w:pPr>
        <w:rPr>
          <w:rFonts w:ascii="Calibri" w:cs="Calibri" w:eastAsia="Calibri" w:hAnsi="Calibri"/>
        </w:rPr>
      </w:pPr>
      <w:r w:rsidDel="00000000" w:rsidR="00000000" w:rsidRPr="00000000">
        <w:rPr>
          <w:rFonts w:ascii="Calibri" w:cs="Calibri" w:eastAsia="Calibri" w:hAnsi="Calibri"/>
          <w:rtl w:val="0"/>
        </w:rPr>
        <w:t xml:space="preserve">Classement (positions)</w:t>
      </w:r>
    </w:p>
    <w:p w:rsidR="00000000" w:rsidDel="00000000" w:rsidP="00000000" w:rsidRDefault="00000000" w:rsidRPr="00000000" w14:paraId="000000A5">
      <w:pPr>
        <w:rPr>
          <w:rFonts w:ascii="Calibri" w:cs="Calibri" w:eastAsia="Calibri" w:hAnsi="Calibri"/>
        </w:rPr>
      </w:pPr>
      <w:r w:rsidDel="00000000" w:rsidR="00000000" w:rsidRPr="00000000">
        <w:rPr>
          <w:rFonts w:ascii="Calibri" w:cs="Calibri" w:eastAsia="Calibri" w:hAnsi="Calibri"/>
          <w:rtl w:val="0"/>
        </w:rPr>
        <w:t xml:space="preserve">2024 :</w:t>
      </w:r>
    </w:p>
    <w:p w:rsidR="00000000" w:rsidDel="00000000" w:rsidP="00000000" w:rsidRDefault="00000000" w:rsidRPr="00000000" w14:paraId="000000A6">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Chine — 2. Inde — 3. Japon — 4. États-Unis — 5. Russie — 6. Corée du Sud — 7. Allemagne — 8. Turquie — 9. Brésil — 10. Iran</w:t>
      </w:r>
    </w:p>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rtl w:val="0"/>
        </w:rPr>
        <w:t xml:space="preserve">2025 :</w:t>
      </w:r>
    </w:p>
    <w:p w:rsidR="00000000" w:rsidDel="00000000" w:rsidP="00000000" w:rsidRDefault="00000000" w:rsidRPr="00000000" w14:paraId="000000A8">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Chine — 2. Inde — 3. États-Unis — 4. Japon — 5. Russie — 6. Corée du Sud — 7. Turquie — 8. Allemagne — 9. Brésil — 10. Iran</w:t>
      </w:r>
    </w:p>
    <w:p w:rsidR="00000000" w:rsidDel="00000000" w:rsidP="00000000" w:rsidRDefault="00000000" w:rsidRPr="00000000" w14:paraId="000000A9">
      <w:pPr>
        <w:rPr>
          <w:rFonts w:ascii="Calibri" w:cs="Calibri" w:eastAsia="Calibri" w:hAnsi="Calibri"/>
        </w:rPr>
      </w:pPr>
      <w:r w:rsidDel="00000000" w:rsidR="00000000" w:rsidRPr="00000000">
        <w:rPr>
          <w:rtl w:val="0"/>
        </w:rPr>
      </w:r>
    </w:p>
    <w:p w:rsidR="00000000" w:rsidDel="00000000" w:rsidP="00000000" w:rsidRDefault="00000000" w:rsidRPr="00000000" w14:paraId="000000AA">
      <w:pPr>
        <w:rPr>
          <w:rFonts w:ascii="Calibri" w:cs="Calibri" w:eastAsia="Calibri" w:hAnsi="Calibri"/>
          <w:i w:val="1"/>
          <w:iCs w:val="1"/>
          <w:u w:val="single"/>
        </w:rPr>
      </w:pPr>
      <w:r w:rsidDel="00000000" w:rsidR="00000000" w:rsidRPr="00000000">
        <w:rPr>
          <w:rFonts w:ascii="Calibri" w:cs="Calibri" w:eastAsia="Calibri" w:hAnsi="Calibri"/>
          <w:i w:val="1"/>
          <w:iCs w:val="1"/>
          <w:u w:val="single"/>
          <w:rtl w:val="0"/>
        </w:rPr>
        <w:t xml:space="preserve">Turkey Stainless Steel Market, Key Findings (2025-2032), d’après Data bridge market research : </w:t>
      </w:r>
    </w:p>
    <w:p w:rsidR="00000000" w:rsidDel="00000000" w:rsidP="00000000" w:rsidRDefault="00000000" w:rsidRPr="00000000" w14:paraId="000000AB">
      <w:pPr>
        <w:rPr>
          <w:rFonts w:ascii="Calibri" w:cs="Calibri" w:eastAsia="Calibri" w:hAnsi="Calibri"/>
        </w:rPr>
      </w:pPr>
      <w:r w:rsidDel="00000000" w:rsidR="00000000" w:rsidRPr="00000000">
        <w:rPr>
          <w:rtl w:val="0"/>
        </w:rPr>
      </w:r>
    </w:p>
    <w:p w:rsidR="00000000" w:rsidDel="00000000" w:rsidP="00000000" w:rsidRDefault="00000000" w:rsidRPr="00000000" w14:paraId="000000AC">
      <w:pPr>
        <w:rPr>
          <w:rFonts w:ascii="Calibri" w:cs="Calibri" w:eastAsia="Calibri" w:hAnsi="Calibri"/>
          <w:u w:val="single"/>
        </w:rPr>
      </w:pPr>
      <w:r w:rsidDel="00000000" w:rsidR="00000000" w:rsidRPr="00000000">
        <w:rPr>
          <w:rFonts w:ascii="Calibri" w:cs="Calibri" w:eastAsia="Calibri" w:hAnsi="Calibri"/>
          <w:u w:val="single"/>
          <w:rtl w:val="0"/>
        </w:rPr>
        <w:t xml:space="preserve">Croissance et projections du marché :</w:t>
      </w:r>
    </w:p>
    <w:p w:rsidR="00000000" w:rsidDel="00000000" w:rsidP="00000000" w:rsidRDefault="00000000" w:rsidRPr="00000000" w14:paraId="000000AD">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Taille du marché (2024) : 3,06 milliards de dollars américains</w:t>
      </w:r>
    </w:p>
    <w:p w:rsidR="00000000" w:rsidDel="00000000" w:rsidP="00000000" w:rsidRDefault="00000000" w:rsidRPr="00000000" w14:paraId="000000AE">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Taille prévue du marché (2032) : 4,17 milliards de dollars américains</w:t>
      </w:r>
    </w:p>
    <w:p w:rsidR="00000000" w:rsidDel="00000000" w:rsidP="00000000" w:rsidRDefault="00000000" w:rsidRPr="00000000" w14:paraId="000000AF">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TCAC (2025-2032) : 4,11 %</w:t>
      </w:r>
    </w:p>
    <w:p w:rsidR="00000000" w:rsidDel="00000000" w:rsidP="00000000" w:rsidRDefault="00000000" w:rsidRPr="00000000" w14:paraId="000000B0">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B1">
      <w:pPr>
        <w:ind w:left="0" w:firstLine="0"/>
        <w:rPr>
          <w:rFonts w:ascii="Calibri" w:cs="Calibri" w:eastAsia="Calibri" w:hAnsi="Calibri"/>
        </w:rPr>
      </w:pPr>
      <w:r w:rsidDel="00000000" w:rsidR="00000000" w:rsidRPr="00000000">
        <w:rPr>
          <w:rFonts w:ascii="Calibri" w:cs="Calibri" w:eastAsia="Calibri" w:hAnsi="Calibri"/>
          <w:u w:val="single"/>
          <w:rtl w:val="0"/>
        </w:rPr>
        <w:t xml:space="preserve">Principales conclusions concernant le marché turc de l'acier inoxydable :</w:t>
      </w:r>
      <w:r w:rsidDel="00000000" w:rsidR="00000000" w:rsidRPr="00000000">
        <w:rPr>
          <w:rFonts w:ascii="Calibri" w:cs="Calibri" w:eastAsia="Calibri" w:hAnsi="Calibri"/>
          <w:rtl w:val="0"/>
        </w:rPr>
        <w:t xml:space="preserve"> </w:t>
      </w:r>
    </w:p>
    <w:p w:rsidR="00000000" w:rsidDel="00000000" w:rsidP="00000000" w:rsidRDefault="00000000" w:rsidRPr="00000000" w14:paraId="000000B2">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Le marché turc de l'acier inoxydable était évalué à 3,06 milliards de dollars en 2024.</w:t>
      </w:r>
    </w:p>
    <w:p w:rsidR="00000000" w:rsidDel="00000000" w:rsidP="00000000" w:rsidRDefault="00000000" w:rsidRPr="00000000" w14:paraId="000000B3">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Le marché turc de l'acier inoxydable devrait connaître un TCAC de 4,11 % au cours de la période de prévision 2024-2032.</w:t>
      </w:r>
    </w:p>
    <w:p w:rsidR="00000000" w:rsidDel="00000000" w:rsidP="00000000" w:rsidRDefault="00000000" w:rsidRPr="00000000" w14:paraId="000000B4">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En 2024, le segment le plus important, celui des finitions de surface dans le domaine des revêtements et des finitions de surface, représentait la plus grande part du marché avec un chiffre d'affaires de 2,22 milliards de dollars américains.</w:t>
      </w:r>
    </w:p>
    <w:p w:rsidR="00000000" w:rsidDel="00000000" w:rsidP="00000000" w:rsidRDefault="00000000" w:rsidRPr="00000000" w14:paraId="000000B5">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Le segment qui a connu la croissance la plus rapide, celui de la construction et des infrastructures dans le segment vertical, a enregistré le TCAC le plus élevé, soit 5,23 %, au cours de la période de prévision 2024-2032.</w:t>
      </w:r>
    </w:p>
    <w:p w:rsidR="00000000" w:rsidDel="00000000" w:rsidP="00000000" w:rsidRDefault="00000000" w:rsidRPr="00000000" w14:paraId="000000B6">
      <w:pPr>
        <w:rPr>
          <w:rFonts w:ascii="Calibri" w:cs="Calibri" w:eastAsia="Calibri" w:hAnsi="Calibri"/>
        </w:rPr>
      </w:pPr>
      <w:r w:rsidDel="00000000" w:rsidR="00000000" w:rsidRPr="00000000">
        <w:rPr>
          <w:rtl w:val="0"/>
        </w:rPr>
      </w:r>
    </w:p>
    <w:p w:rsidR="00000000" w:rsidDel="00000000" w:rsidP="00000000" w:rsidRDefault="00000000" w:rsidRPr="00000000" w14:paraId="000000B7">
      <w:pPr>
        <w:rPr>
          <w:rFonts w:ascii="Calibri" w:cs="Calibri" w:eastAsia="Calibri" w:hAnsi="Calibri"/>
          <w:b w:val="1"/>
          <w:bCs w:val="1"/>
        </w:rPr>
      </w:pPr>
      <w:r w:rsidDel="00000000" w:rsidR="00000000" w:rsidRPr="00000000">
        <w:rPr>
          <w:rFonts w:ascii="Calibri" w:cs="Calibri" w:eastAsia="Calibri" w:hAnsi="Calibri"/>
          <w:u w:val="single"/>
          <w:rtl w:val="0"/>
        </w:rPr>
        <w:t xml:space="preserve">Types de produits” (Presto / Delabie) à croiser avec l’inox en Turquie (3,06 Md$) :</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B8">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B9">
      <w:pPr>
        <w:rPr>
          <w:rFonts w:ascii="Calibri" w:cs="Calibri" w:eastAsia="Calibri" w:hAnsi="Calibri"/>
        </w:rPr>
      </w:pPr>
      <w:r w:rsidDel="00000000" w:rsidR="00000000" w:rsidRPr="00000000">
        <w:rPr>
          <w:rFonts w:ascii="Calibri" w:cs="Calibri" w:eastAsia="Calibri" w:hAnsi="Calibri"/>
          <w:rtl w:val="0"/>
        </w:rPr>
        <w:t xml:space="preserve">Presto (exemples représentatifs)</w:t>
      </w:r>
    </w:p>
    <w:p w:rsidR="00000000" w:rsidDel="00000000" w:rsidP="00000000" w:rsidRDefault="00000000" w:rsidRPr="00000000" w14:paraId="000000BA">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Robinet temporisé lavabo </w:t>
      </w:r>
    </w:p>
    <w:p w:rsidR="00000000" w:rsidDel="00000000" w:rsidP="00000000" w:rsidRDefault="00000000" w:rsidRPr="00000000" w14:paraId="000000BB">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Urinoirs : robinetterie d’urinoir </w:t>
      </w:r>
    </w:p>
    <w:p w:rsidR="00000000" w:rsidDel="00000000" w:rsidP="00000000" w:rsidRDefault="00000000" w:rsidRPr="00000000" w14:paraId="000000BC">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Chasse directe WC : robinet de chasse </w:t>
      </w:r>
    </w:p>
    <w:p w:rsidR="00000000" w:rsidDel="00000000" w:rsidP="00000000" w:rsidRDefault="00000000" w:rsidRPr="00000000" w14:paraId="000000BD">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Douches collectivité : panneaux/mitigeurs temporisés </w:t>
      </w:r>
    </w:p>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rtl w:val="0"/>
        </w:rPr>
        <w:t xml:space="preserve">Delabie (exemples représentatifs)</w:t>
      </w:r>
    </w:p>
    <w:p w:rsidR="00000000" w:rsidDel="00000000" w:rsidP="00000000" w:rsidRDefault="00000000" w:rsidRPr="00000000" w14:paraId="000000BF">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Robinetterie douche temporisée avec plaques/rosaces inox </w:t>
      </w:r>
    </w:p>
    <w:p w:rsidR="00000000" w:rsidDel="00000000" w:rsidP="00000000" w:rsidRDefault="00000000" w:rsidRPr="00000000" w14:paraId="000000C0">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Chasse directe sans réservoir avec plaques inox </w:t>
      </w:r>
    </w:p>
    <w:p w:rsidR="00000000" w:rsidDel="00000000" w:rsidP="00000000" w:rsidRDefault="00000000" w:rsidRPr="00000000" w14:paraId="000000C1">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Sanitaires en inox (massif) : lavabos, WC, urinoirs, receveurs, antivandalisme.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rFonts w:ascii="Calibri" w:cs="Calibri" w:eastAsia="Calibri" w:hAnsi="Calibri"/>
        </w:rPr>
      </w:pPr>
      <w:r w:rsidDel="00000000" w:rsidR="00000000" w:rsidRPr="00000000">
        <w:rPr>
          <w:rFonts w:ascii="Calibri" w:cs="Calibri" w:eastAsia="Calibri" w:hAnsi="Calibri"/>
          <w:rtl w:val="0"/>
        </w:rPr>
        <w:t xml:space="preserve">Résultat global (ordre de grandeur) de la part des produits type “Presto/Delabie” dans l’inox en Turquie (3,06 Md$) : </w:t>
      </w:r>
    </w:p>
    <w:p w:rsidR="00000000" w:rsidDel="00000000" w:rsidP="00000000" w:rsidRDefault="00000000" w:rsidRPr="00000000" w14:paraId="000000C4">
      <w:pPr>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Central : 0,8% du marché inox Turquie → 24 M$</w:t>
      </w:r>
    </w:p>
    <w:p w:rsidR="00000000" w:rsidDel="00000000" w:rsidP="00000000" w:rsidRDefault="00000000" w:rsidRPr="00000000" w14:paraId="000000C5">
      <w:pPr>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Fourchette prudente : 0,4% à 1,4% → 12 M$ à 43 M$</w:t>
      </w:r>
    </w:p>
    <w:p w:rsidR="00000000" w:rsidDel="00000000" w:rsidP="00000000" w:rsidRDefault="00000000" w:rsidRPr="00000000" w14:paraId="000000C6">
      <w:pPr>
        <w:rPr>
          <w:rFonts w:ascii="Calibri" w:cs="Calibri" w:eastAsia="Calibri" w:hAnsi="Calibri"/>
        </w:rPr>
      </w:pPr>
      <w:r w:rsidDel="00000000" w:rsidR="00000000" w:rsidRPr="00000000">
        <w:rPr>
          <w:rtl w:val="0"/>
        </w:rPr>
      </w:r>
    </w:p>
    <w:p w:rsidR="00000000" w:rsidDel="00000000" w:rsidP="00000000" w:rsidRDefault="00000000" w:rsidRPr="00000000" w14:paraId="000000C7">
      <w:pPr>
        <w:rPr>
          <w:rFonts w:ascii="Calibri" w:cs="Calibri" w:eastAsia="Calibri" w:hAnsi="Calibri"/>
          <w:u w:val="single"/>
        </w:rPr>
      </w:pPr>
      <w:r w:rsidDel="00000000" w:rsidR="00000000" w:rsidRPr="00000000">
        <w:rPr>
          <w:rFonts w:ascii="Calibri" w:cs="Calibri" w:eastAsia="Calibri" w:hAnsi="Calibri"/>
          <w:u w:val="single"/>
          <w:rtl w:val="0"/>
        </w:rPr>
        <w:t xml:space="preserve">D’après “PASDER: Stainless steel consumption in 2025” : </w:t>
      </w:r>
    </w:p>
    <w:p w:rsidR="00000000" w:rsidDel="00000000" w:rsidP="00000000" w:rsidRDefault="00000000" w:rsidRPr="00000000" w14:paraId="000000C8">
      <w:pPr>
        <w:ind w:firstLine="720"/>
        <w:rPr>
          <w:rFonts w:ascii="Calibri" w:cs="Calibri" w:eastAsia="Calibri" w:hAnsi="Calibri"/>
        </w:rPr>
      </w:pPr>
      <w:r w:rsidDel="00000000" w:rsidR="00000000" w:rsidRPr="00000000">
        <w:rPr>
          <w:rFonts w:ascii="Calibri" w:cs="Calibri" w:eastAsia="Calibri" w:hAnsi="Calibri"/>
          <w:rtl w:val="0"/>
        </w:rPr>
        <w:t xml:space="preserve">“La consommation turque d’inox plat atteint 703 000 tonnes en 2024. La Turquie </w:t>
      </w:r>
      <w:r w:rsidDel="00000000" w:rsidR="00000000" w:rsidRPr="00000000">
        <w:rPr>
          <w:rFonts w:ascii="Calibri" w:cs="Calibri" w:eastAsia="Calibri" w:hAnsi="Calibri"/>
          <w:rtl w:val="0"/>
        </w:rPr>
        <w:t xml:space="preserve">reste 3ème en</w:t>
      </w:r>
      <w:r w:rsidDel="00000000" w:rsidR="00000000" w:rsidRPr="00000000">
        <w:rPr>
          <w:rFonts w:ascii="Calibri" w:cs="Calibri" w:eastAsia="Calibri" w:hAnsi="Calibri"/>
          <w:rtl w:val="0"/>
        </w:rPr>
        <w:t xml:space="preserve"> Europe en consommation d’inox plat, après l’Allemagne et l’Italie. La surcapacité chinoise (la Chine représentant autour de 65% de la production mondiale), combinée à une demande faible, pèse sur les prix et la rentabilité ; tendance attendue plutôt faible en Turquie sur l’année. Le document souligne l’importance croissante des exigences de durabilité (ex. CBAM - MACF pour l’UE) et la nécessité d’investir dans production verte et transformation digitale, ainsi que de diversifier les marchés d’export (Afrique du Nord, Moyen-Orient, Asie centrale, Afrique). Le document décrit un marché turc de l’inox (plat) en ralentissement en 2025 (demande faible, pression sur les prix), mais avec un enjeu stratégique fort : réduire la dépendance aux importations via un grand investissement nationale et s’adapter aux tendances mondiales (protectionnisme, fortes variations du coût des matières premières et de l’énergie, contraintes carbone).</w:t>
      </w:r>
    </w:p>
    <w:p w:rsidR="00000000" w:rsidDel="00000000" w:rsidP="00000000" w:rsidRDefault="00000000" w:rsidRPr="00000000" w14:paraId="000000C9">
      <w:pPr>
        <w:rPr>
          <w:rFonts w:ascii="Calibri" w:cs="Calibri" w:eastAsia="Calibri" w:hAnsi="Calibri"/>
        </w:rPr>
      </w:pPr>
      <w:r w:rsidDel="00000000" w:rsidR="00000000" w:rsidRPr="00000000">
        <w:rPr>
          <w:rtl w:val="0"/>
        </w:rPr>
      </w:r>
    </w:p>
    <w:p w:rsidR="00000000" w:rsidDel="00000000" w:rsidP="00000000" w:rsidRDefault="00000000" w:rsidRPr="00000000" w14:paraId="000000CA">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 </w:t>
      </w:r>
    </w:p>
    <w:p w:rsidR="00000000" w:rsidDel="00000000" w:rsidP="00000000" w:rsidRDefault="00000000" w:rsidRPr="00000000" w14:paraId="000000CB">
      <w:pPr>
        <w:numPr>
          <w:ilvl w:val="0"/>
          <w:numId w:val="2"/>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Un sous-</w:t>
      </w:r>
      <w:r w:rsidDel="00000000" w:rsidR="00000000" w:rsidRPr="00000000">
        <w:rPr>
          <w:rFonts w:ascii="Calibri" w:cs="Calibri" w:eastAsia="Calibri" w:hAnsi="Calibri"/>
          <w:i w:val="1"/>
          <w:iCs w:val="1"/>
          <w:rtl w:val="0"/>
        </w:rPr>
        <w:t xml:space="preserve">segment “</w:t>
      </w:r>
      <w:r w:rsidDel="00000000" w:rsidR="00000000" w:rsidRPr="00000000">
        <w:rPr>
          <w:rFonts w:ascii="Calibri" w:cs="Calibri" w:eastAsia="Calibri" w:hAnsi="Calibri"/>
          <w:i w:val="1"/>
          <w:iCs w:val="1"/>
          <w:rtl w:val="0"/>
        </w:rPr>
        <w:t xml:space="preserve">premium/</w:t>
      </w:r>
      <w:r w:rsidDel="00000000" w:rsidR="00000000" w:rsidRPr="00000000">
        <w:rPr>
          <w:rFonts w:ascii="Calibri" w:cs="Calibri" w:eastAsia="Calibri" w:hAnsi="Calibri"/>
          <w:i w:val="1"/>
          <w:iCs w:val="1"/>
          <w:rtl w:val="0"/>
        </w:rPr>
        <w:t xml:space="preserve">niche”</w:t>
      </w:r>
      <w:r w:rsidDel="00000000" w:rsidR="00000000" w:rsidRPr="00000000">
        <w:rPr>
          <w:rFonts w:ascii="Calibri" w:cs="Calibri" w:eastAsia="Calibri" w:hAnsi="Calibri"/>
          <w:i w:val="1"/>
          <w:iCs w:val="1"/>
          <w:rtl w:val="0"/>
        </w:rPr>
        <w:t xml:space="preserve"> : la robinetterie sanitaire inox reste marginale face au laiton chromé ; la taille n’est pas facilement chiffrable (pas de statistiques publiques/codes douaniers dédiés).</w:t>
      </w:r>
    </w:p>
    <w:p w:rsidR="00000000" w:rsidDel="00000000" w:rsidP="00000000" w:rsidRDefault="00000000" w:rsidRPr="00000000" w14:paraId="000000CC">
      <w:pPr>
        <w:numPr>
          <w:ilvl w:val="0"/>
          <w:numId w:val="2"/>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Drivers vs freins : attraits = hygiène / “sans plomb”, résistance à la corrosion, esthétique et montée en gamme ; freins = sensibilité au prix, volatilité de la TRY, coûts matière.</w:t>
      </w:r>
    </w:p>
    <w:p w:rsidR="00000000" w:rsidDel="00000000" w:rsidP="00000000" w:rsidRDefault="00000000" w:rsidRPr="00000000" w14:paraId="000000CD">
      <w:pPr>
        <w:numPr>
          <w:ilvl w:val="0"/>
          <w:numId w:val="2"/>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Contexte acier favorable mais dépendant : Turquie 8e producteur mondial en 2024 (36,9 Mt) et 7e sur jan–août 2025 (24,9 Mt) ; ambition de produits à plus forte valeur ajoutée et d’investissements “transition verte”, mais taux d’utilisation ~63% et forte part d’intrants importés (~48%).</w:t>
      </w:r>
    </w:p>
    <w:p w:rsidR="00000000" w:rsidDel="00000000" w:rsidP="00000000" w:rsidRDefault="00000000" w:rsidRPr="00000000" w14:paraId="000000CE">
      <w:pPr>
        <w:numPr>
          <w:ilvl w:val="0"/>
          <w:numId w:val="2"/>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Marché inox (estimation) : selon Data Bridge, marché turc de l’inox 3,06 Md$ (2024), projeté 4,17 Md$ (2032), TCAC ~4,1% ; la construction/infrastructures est le segment vertical le plus dynamique.</w:t>
      </w:r>
    </w:p>
    <w:p w:rsidR="00000000" w:rsidDel="00000000" w:rsidP="00000000" w:rsidRDefault="00000000" w:rsidRPr="00000000" w14:paraId="000000CF">
      <w:pPr>
        <w:numPr>
          <w:ilvl w:val="0"/>
          <w:numId w:val="2"/>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Ordres de grandeur “sanitaire/collectivités” &amp; tendances 2025 : consommation d’inox plat ~703 kt (2024) (Turquie 3e en Europe en conso) ; marché 2025 sous pression (surcapacité chinoise, demande faible, prix) avec enjeu de réduire la dépendance aux importations et de s’adapter aux contraintes durabilité/CBAM ; estimation produits type Presto/Delabie : ~12-43 M$ (central ~24 M$) dans l’inox Turquie.</w:t>
      </w:r>
    </w:p>
    <w:p w:rsidR="00000000" w:rsidDel="00000000" w:rsidP="00000000" w:rsidRDefault="00000000" w:rsidRPr="00000000" w14:paraId="000000D0">
      <w:pPr>
        <w:rPr>
          <w:rFonts w:ascii="Calibri" w:cs="Calibri" w:eastAsia="Calibri" w:hAnsi="Calibri"/>
        </w:rPr>
      </w:pPr>
      <w:r w:rsidDel="00000000" w:rsidR="00000000" w:rsidRPr="00000000">
        <w:rPr>
          <w:rtl w:val="0"/>
        </w:rPr>
      </w:r>
    </w:p>
    <w:p w:rsidR="00000000" w:rsidDel="00000000" w:rsidP="00000000" w:rsidRDefault="00000000" w:rsidRPr="00000000" w14:paraId="000000D1">
      <w:pPr>
        <w:rPr>
          <w:rFonts w:ascii="Calibri" w:cs="Calibri" w:eastAsia="Calibri" w:hAnsi="Calibri"/>
        </w:rPr>
      </w:pPr>
      <w:r w:rsidDel="00000000" w:rsidR="00000000" w:rsidRPr="00000000">
        <w:rPr>
          <w:rtl w:val="0"/>
        </w:rPr>
      </w:r>
    </w:p>
    <w:p w:rsidR="00000000" w:rsidDel="00000000" w:rsidP="00000000" w:rsidRDefault="00000000" w:rsidRPr="00000000" w14:paraId="000000D2">
      <w:pPr>
        <w:pStyle w:val="Heading4"/>
        <w:rPr/>
      </w:pPr>
      <w:bookmarkStart w:colFirst="0" w:colLast="0" w:name="_qla0c32y98a0" w:id="4"/>
      <w:bookmarkEnd w:id="4"/>
      <w:r w:rsidDel="00000000" w:rsidR="00000000" w:rsidRPr="00000000">
        <w:rPr>
          <w:rFonts w:ascii="Calibri" w:cs="Calibri" w:eastAsia="Calibri" w:hAnsi="Calibri"/>
          <w:b w:val="1"/>
          <w:bCs w:val="1"/>
          <w:color w:val="000000"/>
          <w:rtl w:val="0"/>
        </w:rPr>
        <w:t xml:space="preserve">B5. Aperçu certifications</w:t>
      </w:r>
      <w:r w:rsidDel="00000000" w:rsidR="00000000" w:rsidRPr="00000000">
        <w:rPr>
          <w:rtl w:val="0"/>
        </w:rPr>
        <w:t xml:space="preserve"> </w:t>
      </w:r>
    </w:p>
    <w:p w:rsidR="00000000" w:rsidDel="00000000" w:rsidP="00000000" w:rsidRDefault="00000000" w:rsidRPr="00000000" w14:paraId="000000D3">
      <w:pPr>
        <w:rPr>
          <w:rFonts w:ascii="Calibri" w:cs="Calibri" w:eastAsia="Calibri" w:hAnsi="Calibri"/>
        </w:rPr>
      </w:pPr>
      <w:r w:rsidDel="00000000" w:rsidR="00000000" w:rsidRPr="00000000">
        <w:rPr>
          <w:rtl w:val="0"/>
        </w:rPr>
      </w:r>
    </w:p>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b w:val="1"/>
          <w:bCs w:val="1"/>
          <w:rtl w:val="0"/>
        </w:rPr>
        <w:t xml:space="preserve">Marquage CE </w:t>
      </w:r>
      <w:r w:rsidDel="00000000" w:rsidR="00000000" w:rsidRPr="00000000">
        <w:rPr>
          <w:rFonts w:ascii="Calibri" w:cs="Calibri" w:eastAsia="Calibri" w:hAnsi="Calibri"/>
          <w:rtl w:val="0"/>
        </w:rPr>
        <w:t xml:space="preserve">: La Turquie </w:t>
      </w:r>
      <w:r w:rsidDel="00000000" w:rsidR="00000000" w:rsidRPr="00000000">
        <w:rPr>
          <w:rFonts w:ascii="Calibri" w:cs="Calibri" w:eastAsia="Calibri" w:hAnsi="Calibri"/>
          <w:rtl w:val="0"/>
        </w:rPr>
        <w:t xml:space="preserve">aligne</w:t>
      </w:r>
      <w:r w:rsidDel="00000000" w:rsidR="00000000" w:rsidRPr="00000000">
        <w:rPr>
          <w:rFonts w:ascii="Calibri" w:cs="Calibri" w:eastAsia="Calibri" w:hAnsi="Calibri"/>
          <w:rtl w:val="0"/>
        </w:rPr>
        <w:t xml:space="preserve"> sa législation technique produits sur l’UE. </w:t>
      </w:r>
    </w:p>
    <w:p w:rsidR="00000000" w:rsidDel="00000000" w:rsidP="00000000" w:rsidRDefault="00000000" w:rsidRPr="00000000" w14:paraId="000000D5">
      <w:pPr>
        <w:rPr>
          <w:rFonts w:ascii="Calibri" w:cs="Calibri" w:eastAsia="Calibri" w:hAnsi="Calibri"/>
        </w:rPr>
      </w:pPr>
      <w:r w:rsidDel="00000000" w:rsidR="00000000" w:rsidRPr="00000000">
        <w:rPr>
          <w:rtl w:val="0"/>
        </w:rPr>
      </w:r>
    </w:p>
    <w:p w:rsidR="00000000" w:rsidDel="00000000" w:rsidP="00000000" w:rsidRDefault="00000000" w:rsidRPr="00000000" w14:paraId="000000D6">
      <w:pPr>
        <w:rPr>
          <w:rFonts w:ascii="Calibri" w:cs="Calibri" w:eastAsia="Calibri" w:hAnsi="Calibri"/>
        </w:rPr>
      </w:pPr>
      <w:r w:rsidDel="00000000" w:rsidR="00000000" w:rsidRPr="00000000">
        <w:rPr>
          <w:rFonts w:ascii="Calibri" w:cs="Calibri" w:eastAsia="Calibri" w:hAnsi="Calibri"/>
          <w:b w:val="1"/>
          <w:bCs w:val="1"/>
          <w:rtl w:val="0"/>
        </w:rPr>
        <w:t xml:space="preserve">RoHS Turquie</w:t>
      </w:r>
      <w:r w:rsidDel="00000000" w:rsidR="00000000" w:rsidRPr="00000000">
        <w:rPr>
          <w:rFonts w:ascii="Calibri" w:cs="Calibri" w:eastAsia="Calibri" w:hAnsi="Calibri"/>
          <w:rtl w:val="0"/>
        </w:rPr>
        <w:t xml:space="preserve"> : définit les restrictions de substances dangereuses dans les EEE (catégories listées en annexe) et des exclusions(défense, spatial, grandes installations fixes, etc.) ; </w:t>
      </w:r>
      <w:r w:rsidDel="00000000" w:rsidR="00000000" w:rsidRPr="00000000">
        <w:rPr>
          <w:rFonts w:ascii="Calibri" w:cs="Calibri" w:eastAsia="Calibri" w:hAnsi="Calibri"/>
          <w:rtl w:val="0"/>
        </w:rPr>
        <w:t xml:space="preserve">pertinent</w:t>
      </w:r>
      <w:r w:rsidDel="00000000" w:rsidR="00000000" w:rsidRPr="00000000">
        <w:rPr>
          <w:rFonts w:ascii="Calibri" w:cs="Calibri" w:eastAsia="Calibri" w:hAnsi="Calibri"/>
          <w:rtl w:val="0"/>
        </w:rPr>
        <w:t xml:space="preserve"> surtout pour la </w:t>
      </w:r>
      <w:r w:rsidDel="00000000" w:rsidR="00000000" w:rsidRPr="00000000">
        <w:rPr>
          <w:rFonts w:ascii="Calibri" w:cs="Calibri" w:eastAsia="Calibri" w:hAnsi="Calibri"/>
          <w:rtl w:val="0"/>
        </w:rPr>
        <w:t xml:space="preserve">robinetterie électronique</w:t>
      </w:r>
      <w:r w:rsidDel="00000000" w:rsidR="00000000" w:rsidRPr="00000000">
        <w:rPr>
          <w:rFonts w:ascii="Calibri" w:cs="Calibri" w:eastAsia="Calibri" w:hAnsi="Calibri"/>
          <w:rtl w:val="0"/>
        </w:rPr>
        <w:t xml:space="preserve"> (capteur, électrovanne, alimentation, connectivité). </w:t>
      </w:r>
    </w:p>
    <w:p w:rsidR="00000000" w:rsidDel="00000000" w:rsidP="00000000" w:rsidRDefault="00000000" w:rsidRPr="00000000" w14:paraId="000000D7">
      <w:pPr>
        <w:rPr>
          <w:rFonts w:ascii="Calibri" w:cs="Calibri" w:eastAsia="Calibri" w:hAnsi="Calibri"/>
        </w:rPr>
      </w:pPr>
      <w:r w:rsidDel="00000000" w:rsidR="00000000" w:rsidRPr="00000000">
        <w:rPr>
          <w:rtl w:val="0"/>
        </w:rPr>
      </w:r>
    </w:p>
    <w:p w:rsidR="00000000" w:rsidDel="00000000" w:rsidP="00000000" w:rsidRDefault="00000000" w:rsidRPr="00000000" w14:paraId="000000D8">
      <w:pPr>
        <w:rPr>
          <w:rFonts w:ascii="Calibri" w:cs="Calibri" w:eastAsia="Calibri" w:hAnsi="Calibri"/>
        </w:rPr>
      </w:pPr>
      <w:r w:rsidDel="00000000" w:rsidR="00000000" w:rsidRPr="00000000">
        <w:rPr>
          <w:rFonts w:ascii="Calibri" w:cs="Calibri" w:eastAsia="Calibri" w:hAnsi="Calibri"/>
          <w:b w:val="1"/>
          <w:bCs w:val="1"/>
          <w:rtl w:val="0"/>
        </w:rPr>
        <w:t xml:space="preserve">KKDIK</w:t>
      </w:r>
      <w:r w:rsidDel="00000000" w:rsidR="00000000" w:rsidRPr="00000000">
        <w:rPr>
          <w:rFonts w:ascii="Calibri" w:cs="Calibri" w:eastAsia="Calibri" w:hAnsi="Calibri"/>
          <w:b w:val="1"/>
          <w:bCs w:val="1"/>
          <w:rtl w:val="0"/>
        </w:rPr>
        <w:t xml:space="preserve"> (Turquie REACH)</w:t>
      </w:r>
      <w:r w:rsidDel="00000000" w:rsidR="00000000" w:rsidRPr="00000000">
        <w:rPr>
          <w:rFonts w:ascii="Calibri" w:cs="Calibri" w:eastAsia="Calibri" w:hAnsi="Calibri"/>
          <w:rtl w:val="0"/>
        </w:rPr>
        <w:t xml:space="preserve"> : règlement turc type REACH (enregistrement, évaluation, autorisation, restriction des substances). Concerne principalement </w:t>
      </w:r>
      <w:r w:rsidDel="00000000" w:rsidR="00000000" w:rsidRPr="00000000">
        <w:rPr>
          <w:rFonts w:ascii="Calibri" w:cs="Calibri" w:eastAsia="Calibri" w:hAnsi="Calibri"/>
          <w:rtl w:val="0"/>
        </w:rPr>
        <w:t xml:space="preserve">fabricants/importateurs en Turquie</w:t>
      </w:r>
      <w:r w:rsidDel="00000000" w:rsidR="00000000" w:rsidRPr="00000000">
        <w:rPr>
          <w:rFonts w:ascii="Calibri" w:cs="Calibri" w:eastAsia="Calibri" w:hAnsi="Calibri"/>
          <w:rtl w:val="0"/>
        </w:rPr>
        <w:t xml:space="preserve"> de substances/produits chimiques, et certains acteurs mettant sur le marché des </w:t>
      </w:r>
      <w:r w:rsidDel="00000000" w:rsidR="00000000" w:rsidRPr="00000000">
        <w:rPr>
          <w:rFonts w:ascii="Calibri" w:cs="Calibri" w:eastAsia="Calibri" w:hAnsi="Calibri"/>
          <w:rtl w:val="0"/>
        </w:rPr>
        <w:t xml:space="preserve">articles</w:t>
      </w:r>
      <w:r w:rsidDel="00000000" w:rsidR="00000000" w:rsidRPr="00000000">
        <w:rPr>
          <w:rFonts w:ascii="Calibri" w:cs="Calibri" w:eastAsia="Calibri" w:hAnsi="Calibri"/>
          <w:rtl w:val="0"/>
        </w:rPr>
        <w:t xml:space="preserve"> (produits finis) selon la présence de substances réglementées et les obligations de communication. </w:t>
      </w:r>
    </w:p>
    <w:p w:rsidR="00000000" w:rsidDel="00000000" w:rsidP="00000000" w:rsidRDefault="00000000" w:rsidRPr="00000000" w14:paraId="000000D9">
      <w:pPr>
        <w:rPr>
          <w:rFonts w:ascii="Calibri" w:cs="Calibri" w:eastAsia="Calibri" w:hAnsi="Calibri"/>
        </w:rPr>
      </w:pPr>
      <w:r w:rsidDel="00000000" w:rsidR="00000000" w:rsidRPr="00000000">
        <w:rPr>
          <w:rtl w:val="0"/>
        </w:rPr>
      </w:r>
    </w:p>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b w:val="1"/>
          <w:bCs w:val="1"/>
          <w:rtl w:val="0"/>
        </w:rPr>
        <w:t xml:space="preserve">TSE pour Turkish Standard Institution</w:t>
      </w:r>
      <w:r w:rsidDel="00000000" w:rsidR="00000000" w:rsidRPr="00000000">
        <w:rPr>
          <w:rFonts w:ascii="Calibri" w:cs="Calibri" w:eastAsia="Calibri" w:hAnsi="Calibri"/>
          <w:rtl w:val="0"/>
        </w:rPr>
        <w:t xml:space="preserve"> : “Türk Standardları Enstitüsü est un organisme turc de normalisation. Créé le 18 novembre 1960, son siège social est à Ankara. Il est reconnu par le gouvernement turc comme l'organisme national de normalisation et représente les intérêts turcs aux niveaux international et européen.” </w:t>
      </w:r>
      <w:r w:rsidDel="00000000" w:rsidR="00000000" w:rsidRPr="00000000">
        <w:rPr>
          <w:rFonts w:ascii="Calibri" w:cs="Calibri" w:eastAsia="Calibri" w:hAnsi="Calibri"/>
          <w:rtl w:val="0"/>
        </w:rPr>
        <w:t xml:space="preserve">En pratique, il est fréquemment exigé en appels d’offres / cahiers des charges et très utilisé par les fabricants. </w:t>
      </w:r>
    </w:p>
    <w:p w:rsidR="00000000" w:rsidDel="00000000" w:rsidP="00000000" w:rsidRDefault="00000000" w:rsidRPr="00000000" w14:paraId="000000DB">
      <w:pPr>
        <w:rPr>
          <w:rFonts w:ascii="Calibri" w:cs="Calibri" w:eastAsia="Calibri" w:hAnsi="Calibri"/>
        </w:rPr>
      </w:pPr>
      <w:r w:rsidDel="00000000" w:rsidR="00000000" w:rsidRPr="00000000">
        <w:rPr>
          <w:rtl w:val="0"/>
        </w:rPr>
      </w:r>
    </w:p>
    <w:p w:rsidR="00000000" w:rsidDel="00000000" w:rsidP="00000000" w:rsidRDefault="00000000" w:rsidRPr="00000000" w14:paraId="000000DC">
      <w:pPr>
        <w:rPr>
          <w:rFonts w:ascii="Calibri" w:cs="Calibri" w:eastAsia="Calibri" w:hAnsi="Calibri"/>
        </w:rPr>
      </w:pPr>
      <w:r w:rsidDel="00000000" w:rsidR="00000000" w:rsidRPr="00000000">
        <w:rPr>
          <w:rFonts w:ascii="Calibri" w:cs="Calibri" w:eastAsia="Calibri" w:hAnsi="Calibri"/>
          <w:b w:val="1"/>
          <w:bCs w:val="1"/>
          <w:rtl w:val="0"/>
        </w:rPr>
        <w:t xml:space="preserve">Première source</w:t>
      </w:r>
      <w:r w:rsidDel="00000000" w:rsidR="00000000" w:rsidRPr="00000000">
        <w:rPr>
          <w:rFonts w:ascii="Calibri" w:cs="Calibri" w:eastAsia="Calibri" w:hAnsi="Calibri"/>
          <w:rtl w:val="0"/>
        </w:rPr>
        <w:t xml:space="preserve"> : les principales normes actuellement en vigueur et déterminant les produits dans l'industrie en Turquie sont les suivantes : </w:t>
      </w:r>
    </w:p>
    <w:p w:rsidR="00000000" w:rsidDel="00000000" w:rsidP="00000000" w:rsidRDefault="00000000" w:rsidRPr="00000000" w14:paraId="000000DD">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200 Taps and double-handle sanitary fittings</w:t>
      </w:r>
    </w:p>
    <w:p w:rsidR="00000000" w:rsidDel="00000000" w:rsidP="00000000" w:rsidRDefault="00000000" w:rsidRPr="00000000" w14:paraId="000000DE">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817 Single-control (mixed) sanitary fittings</w:t>
      </w:r>
    </w:p>
    <w:p w:rsidR="00000000" w:rsidDel="00000000" w:rsidP="00000000" w:rsidRDefault="00000000" w:rsidRPr="00000000" w14:paraId="000000DF">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1111 Thermostatic sanitary fittings</w:t>
      </w:r>
    </w:p>
    <w:p w:rsidR="00000000" w:rsidDel="00000000" w:rsidP="00000000" w:rsidRDefault="00000000" w:rsidRPr="00000000" w14:paraId="000000E0">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15091 Electronically turned on and off taps and sanitary fittings</w:t>
      </w:r>
    </w:p>
    <w:p w:rsidR="00000000" w:rsidDel="00000000" w:rsidP="00000000" w:rsidRDefault="00000000" w:rsidRPr="00000000" w14:paraId="000000E1">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1112 Hand showers and shower heads</w:t>
      </w:r>
    </w:p>
    <w:p w:rsidR="00000000" w:rsidDel="00000000" w:rsidP="00000000" w:rsidRDefault="00000000" w:rsidRPr="00000000" w14:paraId="000000E2">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1113 Shower hoses</w:t>
      </w:r>
    </w:p>
    <w:p w:rsidR="00000000" w:rsidDel="00000000" w:rsidP="00000000" w:rsidRDefault="00000000" w:rsidRPr="00000000" w14:paraId="000000E3">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816 Automatic closing taps and fixtures (time adjustable)</w:t>
      </w:r>
    </w:p>
    <w:p w:rsidR="00000000" w:rsidDel="00000000" w:rsidP="00000000" w:rsidRDefault="00000000" w:rsidRPr="00000000" w14:paraId="000000E4">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274(1-2-3) Waste connection parts (siphons)</w:t>
      </w:r>
    </w:p>
    <w:p w:rsidR="00000000" w:rsidDel="00000000" w:rsidP="00000000" w:rsidRDefault="00000000" w:rsidRPr="00000000" w14:paraId="000000E5">
      <w:pPr>
        <w:rPr>
          <w:rFonts w:ascii="Calibri" w:cs="Calibri" w:eastAsia="Calibri" w:hAnsi="Calibri"/>
        </w:rPr>
      </w:pPr>
      <w:r w:rsidDel="00000000" w:rsidR="00000000" w:rsidRPr="00000000">
        <w:rPr>
          <w:rtl w:val="0"/>
        </w:rPr>
      </w:r>
    </w:p>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b w:val="1"/>
          <w:bCs w:val="1"/>
          <w:rtl w:val="0"/>
        </w:rPr>
        <w:t xml:space="preserve">Deuxième source</w:t>
      </w:r>
      <w:r w:rsidDel="00000000" w:rsidR="00000000" w:rsidRPr="00000000">
        <w:rPr>
          <w:rFonts w:ascii="Calibri" w:cs="Calibri" w:eastAsia="Calibri" w:hAnsi="Calibri"/>
          <w:rtl w:val="0"/>
        </w:rPr>
        <w:t xml:space="preserve"> : </w:t>
      </w:r>
      <w:r w:rsidDel="00000000" w:rsidR="00000000" w:rsidRPr="00000000">
        <w:rPr>
          <w:rFonts w:ascii="Calibri" w:cs="Calibri" w:eastAsia="Calibri" w:hAnsi="Calibri"/>
          <w:rtl w:val="0"/>
        </w:rPr>
        <w:t xml:space="preserve">Un document officiel turc (critères “Bathroom fixtures” de l’écolabel) liste les normes suivantes comme base d’essais/évaluation : </w:t>
      </w:r>
    </w:p>
    <w:p w:rsidR="00000000" w:rsidDel="00000000" w:rsidP="00000000" w:rsidRDefault="00000000" w:rsidRPr="00000000" w14:paraId="000000E7">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200 et TS EN 817 (robinets/mitigeurs mécaniques), </w:t>
      </w:r>
    </w:p>
    <w:p w:rsidR="00000000" w:rsidDel="00000000" w:rsidP="00000000" w:rsidRDefault="00000000" w:rsidRPr="00000000" w14:paraId="000000E8">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816 (vannes temporisées), </w:t>
      </w:r>
    </w:p>
    <w:p w:rsidR="00000000" w:rsidDel="00000000" w:rsidP="00000000" w:rsidRDefault="00000000" w:rsidRPr="00000000" w14:paraId="000000E9">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1111 (mitigeurs thermostatiques), </w:t>
      </w:r>
    </w:p>
    <w:p w:rsidR="00000000" w:rsidDel="00000000" w:rsidP="00000000" w:rsidRDefault="00000000" w:rsidRPr="00000000" w14:paraId="000000EA">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1112 (pommeaux/douchettes), </w:t>
      </w:r>
    </w:p>
    <w:p w:rsidR="00000000" w:rsidDel="00000000" w:rsidP="00000000" w:rsidRDefault="00000000" w:rsidRPr="00000000" w14:paraId="000000EB">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1113 (flexibles de douche), </w:t>
      </w:r>
    </w:p>
    <w:p w:rsidR="00000000" w:rsidDel="00000000" w:rsidP="00000000" w:rsidRDefault="00000000" w:rsidRPr="00000000" w14:paraId="000000EC">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15091 (robinetterie électronique, capteurs) , </w:t>
      </w:r>
    </w:p>
    <w:p w:rsidR="00000000" w:rsidDel="00000000" w:rsidP="00000000" w:rsidRDefault="00000000" w:rsidRPr="00000000" w14:paraId="000000ED">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TS EN 248 (revêtements Nickel-Chrome), </w:t>
      </w:r>
    </w:p>
    <w:p w:rsidR="00000000" w:rsidDel="00000000" w:rsidP="00000000" w:rsidRDefault="00000000" w:rsidRPr="00000000" w14:paraId="000000EE">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et des normes électriques TS EN IEC 60335-1 / TS EN 60335-2-35.  </w:t>
      </w:r>
    </w:p>
    <w:p w:rsidR="00000000" w:rsidDel="00000000" w:rsidP="00000000" w:rsidRDefault="00000000" w:rsidRPr="00000000" w14:paraId="000000EF">
      <w:pPr>
        <w:rPr>
          <w:rFonts w:ascii="Calibri" w:cs="Calibri" w:eastAsia="Calibri" w:hAnsi="Calibri"/>
        </w:rPr>
      </w:pPr>
      <w:r w:rsidDel="00000000" w:rsidR="00000000" w:rsidRPr="00000000">
        <w:rPr>
          <w:rtl w:val="0"/>
        </w:rPr>
      </w:r>
    </w:p>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b w:val="1"/>
          <w:bCs w:val="1"/>
          <w:rtl w:val="0"/>
        </w:rPr>
        <w:t xml:space="preserve">Normes ISO :</w:t>
      </w:r>
      <w:r w:rsidDel="00000000" w:rsidR="00000000" w:rsidRPr="00000000">
        <w:rPr>
          <w:rFonts w:ascii="Calibri" w:cs="Calibri" w:eastAsia="Calibri" w:hAnsi="Calibri"/>
          <w:rtl w:val="0"/>
        </w:rPr>
        <w:t xml:space="preserve"> </w:t>
      </w:r>
    </w:p>
    <w:p w:rsidR="00000000" w:rsidDel="00000000" w:rsidP="00000000" w:rsidRDefault="00000000" w:rsidRPr="00000000" w14:paraId="000000F1">
      <w:pPr>
        <w:rPr>
          <w:rFonts w:ascii="Calibri" w:cs="Calibri" w:eastAsia="Calibri" w:hAnsi="Calibri"/>
        </w:rPr>
      </w:pPr>
      <w:r w:rsidDel="00000000" w:rsidR="00000000" w:rsidRPr="00000000">
        <w:rPr>
          <w:rtl w:val="0"/>
        </w:rPr>
      </w:r>
    </w:p>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rtl w:val="0"/>
        </w:rPr>
        <w:t xml:space="preserve">ISO 9001 est la norme internationale de référence pour le système de management de la qualité (SMQ). Elle aide toutes les entreprises, quel que soit leur secteur ou taille, à structurer leurs processus, améliorer la performance opérationnelle et accroître la satisfaction client.  </w:t>
      </w:r>
    </w:p>
    <w:p w:rsidR="00000000" w:rsidDel="00000000" w:rsidP="00000000" w:rsidRDefault="00000000" w:rsidRPr="00000000" w14:paraId="000000F3">
      <w:pPr>
        <w:rPr>
          <w:rFonts w:ascii="Calibri" w:cs="Calibri" w:eastAsia="Calibri" w:hAnsi="Calibri"/>
        </w:rPr>
      </w:pPr>
      <w:r w:rsidDel="00000000" w:rsidR="00000000" w:rsidRPr="00000000">
        <w:rPr>
          <w:rtl w:val="0"/>
        </w:rPr>
      </w:r>
    </w:p>
    <w:p w:rsidR="00000000" w:rsidDel="00000000" w:rsidP="00000000" w:rsidRDefault="00000000" w:rsidRPr="00000000" w14:paraId="000000F4">
      <w:pPr>
        <w:rPr>
          <w:rFonts w:ascii="Calibri" w:cs="Calibri" w:eastAsia="Calibri" w:hAnsi="Calibri"/>
        </w:rPr>
      </w:pPr>
      <w:r w:rsidDel="00000000" w:rsidR="00000000" w:rsidRPr="00000000">
        <w:rPr>
          <w:rFonts w:ascii="Calibri" w:cs="Calibri" w:eastAsia="Calibri" w:hAnsi="Calibri"/>
          <w:rtl w:val="0"/>
        </w:rPr>
        <w:t xml:space="preserve">La certification ISO 9001 atteste qu'une organisation dispose d'un système de management qualité (SMQ) solide et efficace. Ce système vise à améliorer continuellement les processus internes pour garantir la qualité des produits et services livrés, tout en plaçant la satisfaction des clients au centre des préoccupations.</w:t>
      </w:r>
    </w:p>
    <w:p w:rsidR="00000000" w:rsidDel="00000000" w:rsidP="00000000" w:rsidRDefault="00000000" w:rsidRPr="00000000" w14:paraId="000000F5">
      <w:pPr>
        <w:rPr>
          <w:rFonts w:ascii="Calibri" w:cs="Calibri" w:eastAsia="Calibri" w:hAnsi="Calibri"/>
        </w:rPr>
      </w:pPr>
      <w:r w:rsidDel="00000000" w:rsidR="00000000" w:rsidRPr="00000000">
        <w:rPr>
          <w:rtl w:val="0"/>
        </w:rPr>
      </w:r>
    </w:p>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rtl w:val="0"/>
        </w:rPr>
        <w:t xml:space="preserve">ISO 14001 est une norme reconnue à l’échelon international pour les systèmes de management environnemental (SME). Elle fournit un cadre permettant aux organismes de concevoir et de mettre en œuvre un SME et d’améliorer en permanence leurs performances environnementales. En adoptant cette norme, les organismes peuvent s’assurer qu’ils prennent des mesures proactives pour réduire leur empreinte environnementale, se conformer aux exigences légales en vigueur et atteindre leurs objectifs environnementaux. Le cadre fourni par cette norme englobe divers aspects, de l’utilisation des ressources et la gestion des déchets jusqu’au suivi des performances environnementales et à l’implication des parties prenantes dans les engagements environnementaux.</w:t>
      </w:r>
    </w:p>
    <w:p w:rsidR="00000000" w:rsidDel="00000000" w:rsidP="00000000" w:rsidRDefault="00000000" w:rsidRPr="00000000" w14:paraId="000000F7">
      <w:pPr>
        <w:rPr>
          <w:rFonts w:ascii="Calibri" w:cs="Calibri" w:eastAsia="Calibri" w:hAnsi="Calibri"/>
        </w:rPr>
      </w:pPr>
      <w:r w:rsidDel="00000000" w:rsidR="00000000" w:rsidRPr="00000000">
        <w:rPr>
          <w:rtl w:val="0"/>
        </w:rPr>
      </w:r>
    </w:p>
    <w:p w:rsidR="00000000" w:rsidDel="00000000" w:rsidP="00000000" w:rsidRDefault="00000000" w:rsidRPr="00000000" w14:paraId="000000F8">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F9">
      <w:pPr>
        <w:ind w:left="0" w:firstLine="0"/>
        <w:rPr>
          <w:rFonts w:ascii="Calibri" w:cs="Calibri" w:eastAsia="Calibri" w:hAnsi="Calibri"/>
          <w:i w:val="1"/>
          <w:iCs w:val="1"/>
        </w:rPr>
      </w:pPr>
      <w:r w:rsidDel="00000000" w:rsidR="00000000" w:rsidRPr="00000000">
        <w:rPr>
          <w:rFonts w:ascii="Calibri" w:cs="Calibri" w:eastAsia="Calibri" w:hAnsi="Calibri"/>
          <w:i w:val="1"/>
          <w:iCs w:val="1"/>
          <w:rtl w:val="0"/>
        </w:rPr>
        <w:t xml:space="preserve">En synthèse : </w:t>
      </w:r>
    </w:p>
    <w:p w:rsidR="00000000" w:rsidDel="00000000" w:rsidP="00000000" w:rsidRDefault="00000000" w:rsidRPr="00000000" w14:paraId="000000FA">
      <w:pPr>
        <w:numPr>
          <w:ilvl w:val="0"/>
          <w:numId w:val="16"/>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Accès marché “aligné UE” : cadre technique proche de l’UE → marquage CE généralement structurant.</w:t>
      </w:r>
    </w:p>
    <w:p w:rsidR="00000000" w:rsidDel="00000000" w:rsidP="00000000" w:rsidRDefault="00000000" w:rsidRPr="00000000" w14:paraId="000000FB">
      <w:pPr>
        <w:numPr>
          <w:ilvl w:val="0"/>
          <w:numId w:val="16"/>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Conformité substances : exigences type RoHS (équipements électriques/électroniques, surtout robinetterie électronique) + KKDIK/REACH (substances chimiques, obligations d’enregistrement et de communication).</w:t>
      </w:r>
    </w:p>
    <w:p w:rsidR="00000000" w:rsidDel="00000000" w:rsidP="00000000" w:rsidRDefault="00000000" w:rsidRPr="00000000" w14:paraId="000000FC">
      <w:pPr>
        <w:numPr>
          <w:ilvl w:val="0"/>
          <w:numId w:val="16"/>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Normes locales incontournables : le TSE (organisme national) est fréquemment demandé en appels d’offres et sert de référence aux industriels.</w:t>
      </w:r>
    </w:p>
    <w:p w:rsidR="00000000" w:rsidDel="00000000" w:rsidP="00000000" w:rsidRDefault="00000000" w:rsidRPr="00000000" w14:paraId="000000FD">
      <w:pPr>
        <w:numPr>
          <w:ilvl w:val="0"/>
          <w:numId w:val="16"/>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Socle de normes produit robinetterie : principaux standards TS EN pour essais/performances (mécanique, temporisé, thermostatique, douche, électronique, finitions).</w:t>
      </w:r>
    </w:p>
    <w:p w:rsidR="00000000" w:rsidDel="00000000" w:rsidP="00000000" w:rsidRDefault="00000000" w:rsidRPr="00000000" w14:paraId="000000FE">
      <w:pPr>
        <w:numPr>
          <w:ilvl w:val="0"/>
          <w:numId w:val="16"/>
        </w:numPr>
        <w:ind w:left="720" w:hanging="360"/>
        <w:rPr>
          <w:rFonts w:ascii="Calibri" w:cs="Calibri" w:eastAsia="Calibri" w:hAnsi="Calibri"/>
          <w:i w:val="1"/>
          <w:iCs w:val="1"/>
        </w:rPr>
      </w:pPr>
      <w:r w:rsidDel="00000000" w:rsidR="00000000" w:rsidRPr="00000000">
        <w:rPr>
          <w:rFonts w:ascii="Calibri" w:cs="Calibri" w:eastAsia="Calibri" w:hAnsi="Calibri"/>
          <w:i w:val="1"/>
          <w:iCs w:val="1"/>
          <w:rtl w:val="0"/>
        </w:rPr>
        <w:t xml:space="preserve">Systèmes de management attendus : ISO 9001 (qualité) et ISO 14001 (environnement) </w:t>
      </w:r>
      <w:r w:rsidDel="00000000" w:rsidR="00000000" w:rsidRPr="00000000">
        <w:rPr>
          <w:rFonts w:ascii="Calibri" w:cs="Calibri" w:eastAsia="Calibri" w:hAnsi="Calibri"/>
          <w:i w:val="1"/>
          <w:iCs w:val="1"/>
          <w:rtl w:val="0"/>
        </w:rPr>
        <w:t xml:space="preserve">comme “preuves</w:t>
      </w:r>
      <w:r w:rsidDel="00000000" w:rsidR="00000000" w:rsidRPr="00000000">
        <w:rPr>
          <w:rFonts w:ascii="Calibri" w:cs="Calibri" w:eastAsia="Calibri" w:hAnsi="Calibri"/>
          <w:i w:val="1"/>
          <w:iCs w:val="1"/>
          <w:rtl w:val="0"/>
        </w:rPr>
        <w:t xml:space="preserve">” de</w:t>
      </w:r>
      <w:r w:rsidDel="00000000" w:rsidR="00000000" w:rsidRPr="00000000">
        <w:rPr>
          <w:rFonts w:ascii="Calibri" w:cs="Calibri" w:eastAsia="Calibri" w:hAnsi="Calibri"/>
          <w:i w:val="1"/>
          <w:iCs w:val="1"/>
          <w:rtl w:val="0"/>
        </w:rPr>
        <w:t xml:space="preserve"> robustesse industrielle et de conformité.</w:t>
      </w:r>
      <w:r w:rsidDel="00000000" w:rsidR="00000000" w:rsidRPr="00000000">
        <w:rPr>
          <w:rtl w:val="0"/>
        </w:rPr>
      </w:r>
    </w:p>
    <w:p w:rsidR="00000000" w:rsidDel="00000000" w:rsidP="00000000" w:rsidRDefault="00000000" w:rsidRPr="00000000" w14:paraId="000000FF">
      <w:pPr>
        <w:rPr>
          <w:rFonts w:ascii="Calibri" w:cs="Calibri" w:eastAsia="Calibri" w:hAnsi="Calibri"/>
        </w:rPr>
      </w:pPr>
      <w:r w:rsidDel="00000000" w:rsidR="00000000" w:rsidRPr="00000000">
        <w:rPr>
          <w:rtl w:val="0"/>
        </w:rPr>
      </w:r>
    </w:p>
    <w:p w:rsidR="00000000" w:rsidDel="00000000" w:rsidP="00000000" w:rsidRDefault="00000000" w:rsidRPr="00000000" w14:paraId="00000100">
      <w:pPr>
        <w:rPr>
          <w:rFonts w:ascii="Calibri" w:cs="Calibri" w:eastAsia="Calibri" w:hAnsi="Calibri"/>
        </w:rPr>
      </w:pPr>
      <w:r w:rsidDel="00000000" w:rsidR="00000000" w:rsidRPr="00000000">
        <w:rPr>
          <w:rtl w:val="0"/>
        </w:rPr>
      </w:r>
    </w:p>
    <w:p w:rsidR="00000000" w:rsidDel="00000000" w:rsidP="00000000" w:rsidRDefault="00000000" w:rsidRPr="00000000" w14:paraId="0000010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ANNEXES ET SOURCES</w:t>
      </w:r>
    </w:p>
    <w:p w:rsidR="00000000" w:rsidDel="00000000" w:rsidP="00000000" w:rsidRDefault="00000000" w:rsidRPr="00000000" w14:paraId="00000102">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03">
      <w:pPr>
        <w:numPr>
          <w:ilvl w:val="0"/>
          <w:numId w:val="20"/>
        </w:numPr>
        <w:ind w:left="720" w:hanging="360"/>
        <w:rPr>
          <w:rFonts w:ascii="Calibri" w:cs="Calibri" w:eastAsia="Calibri" w:hAnsi="Calibri"/>
          <w:u w:val="none"/>
        </w:rPr>
      </w:pPr>
      <w:hyperlink r:id="rId6">
        <w:r w:rsidDel="00000000" w:rsidR="00000000" w:rsidRPr="00000000">
          <w:rPr>
            <w:rFonts w:ascii="Calibri" w:cs="Calibri" w:eastAsia="Calibri" w:hAnsi="Calibri"/>
            <w:color w:val="1155cc"/>
            <w:u w:val="single"/>
            <w:rtl w:val="0"/>
          </w:rPr>
          <w:t xml:space="preserve">Tout commence par une route</w:t>
        </w:r>
      </w:hyperlink>
      <w:r w:rsidDel="00000000" w:rsidR="00000000" w:rsidRPr="00000000">
        <w:rPr>
          <w:rtl w:val="0"/>
        </w:rPr>
      </w:r>
    </w:p>
    <w:p w:rsidR="00000000" w:rsidDel="00000000" w:rsidP="00000000" w:rsidRDefault="00000000" w:rsidRPr="00000000" w14:paraId="00000104">
      <w:pPr>
        <w:numPr>
          <w:ilvl w:val="0"/>
          <w:numId w:val="20"/>
        </w:numPr>
        <w:ind w:left="720" w:hanging="360"/>
        <w:rPr>
          <w:rFonts w:ascii="Calibri" w:cs="Calibri" w:eastAsia="Calibri" w:hAnsi="Calibri"/>
          <w:u w:val="none"/>
        </w:rPr>
      </w:pPr>
      <w:hyperlink r:id="rId7">
        <w:r w:rsidDel="00000000" w:rsidR="00000000" w:rsidRPr="00000000">
          <w:rPr>
            <w:rFonts w:ascii="Calibri" w:cs="Calibri" w:eastAsia="Calibri" w:hAnsi="Calibri"/>
            <w:color w:val="1155cc"/>
            <w:u w:val="single"/>
            <w:rtl w:val="0"/>
          </w:rPr>
          <w:t xml:space="preserve">La Turquie redevient le plus grand producteur d'acier d'Europe, avec des importations et des exportations en hausse</w:t>
        </w:r>
      </w:hyperlink>
      <w:r w:rsidDel="00000000" w:rsidR="00000000" w:rsidRPr="00000000">
        <w:rPr>
          <w:rtl w:val="0"/>
        </w:rPr>
      </w:r>
    </w:p>
    <w:p w:rsidR="00000000" w:rsidDel="00000000" w:rsidP="00000000" w:rsidRDefault="00000000" w:rsidRPr="00000000" w14:paraId="00000105">
      <w:pPr>
        <w:numPr>
          <w:ilvl w:val="0"/>
          <w:numId w:val="20"/>
        </w:numPr>
        <w:ind w:left="720" w:hanging="360"/>
        <w:rPr>
          <w:rFonts w:ascii="Calibri" w:cs="Calibri" w:eastAsia="Calibri" w:hAnsi="Calibri"/>
          <w:u w:val="none"/>
        </w:rPr>
      </w:pPr>
      <w:hyperlink r:id="rId8">
        <w:r w:rsidDel="00000000" w:rsidR="00000000" w:rsidRPr="00000000">
          <w:rPr>
            <w:rFonts w:ascii="Calibri" w:cs="Calibri" w:eastAsia="Calibri" w:hAnsi="Calibri"/>
            <w:color w:val="1155cc"/>
            <w:u w:val="single"/>
            <w:rtl w:val="0"/>
          </w:rPr>
          <w:t xml:space="preserve">https://www.trade.gov.tr/data/5b8fd95c13b8761f041fef4a/Iron%20and%20Steel%20(French).pdf</w:t>
        </w:r>
      </w:hyperlink>
      <w:r w:rsidDel="00000000" w:rsidR="00000000" w:rsidRPr="00000000">
        <w:rPr>
          <w:rtl w:val="0"/>
        </w:rPr>
      </w:r>
    </w:p>
    <w:p w:rsidR="00000000" w:rsidDel="00000000" w:rsidP="00000000" w:rsidRDefault="00000000" w:rsidRPr="00000000" w14:paraId="00000106">
      <w:pPr>
        <w:numPr>
          <w:ilvl w:val="0"/>
          <w:numId w:val="20"/>
        </w:numPr>
        <w:ind w:left="720" w:hanging="360"/>
        <w:rPr>
          <w:rFonts w:ascii="Calibri" w:cs="Calibri" w:eastAsia="Calibri" w:hAnsi="Calibri"/>
          <w:u w:val="none"/>
        </w:rPr>
      </w:pPr>
      <w:hyperlink r:id="rId9">
        <w:r w:rsidDel="00000000" w:rsidR="00000000" w:rsidRPr="00000000">
          <w:rPr>
            <w:rFonts w:ascii="Calibri" w:cs="Calibri" w:eastAsia="Calibri" w:hAnsi="Calibri"/>
            <w:color w:val="1155cc"/>
            <w:u w:val="single"/>
            <w:rtl w:val="0"/>
          </w:rPr>
          <w:t xml:space="preserve">Production d'acier en Turquie | 1980-2025 Données | 2026-2028 Prévisions</w:t>
        </w:r>
      </w:hyperlink>
      <w:r w:rsidDel="00000000" w:rsidR="00000000" w:rsidRPr="00000000">
        <w:rPr>
          <w:rtl w:val="0"/>
        </w:rPr>
      </w:r>
    </w:p>
    <w:p w:rsidR="00000000" w:rsidDel="00000000" w:rsidP="00000000" w:rsidRDefault="00000000" w:rsidRPr="00000000" w14:paraId="00000107">
      <w:pPr>
        <w:numPr>
          <w:ilvl w:val="0"/>
          <w:numId w:val="20"/>
        </w:numPr>
        <w:ind w:left="720" w:hanging="360"/>
        <w:rPr>
          <w:rFonts w:ascii="Calibri" w:cs="Calibri" w:eastAsia="Calibri" w:hAnsi="Calibri"/>
          <w:u w:val="none"/>
        </w:rPr>
      </w:pPr>
      <w:hyperlink r:id="rId10">
        <w:r w:rsidDel="00000000" w:rsidR="00000000" w:rsidRPr="00000000">
          <w:rPr>
            <w:rFonts w:ascii="Calibri" w:cs="Calibri" w:eastAsia="Calibri" w:hAnsi="Calibri"/>
            <w:color w:val="1155cc"/>
            <w:u w:val="single"/>
            <w:rtl w:val="0"/>
          </w:rPr>
          <w:t xml:space="preserve">La Turquie est en tête de la production d'acier en Europe | TÇÜD</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8">
      <w:pPr>
        <w:numPr>
          <w:ilvl w:val="0"/>
          <w:numId w:val="20"/>
        </w:numPr>
        <w:ind w:left="720" w:hanging="360"/>
        <w:rPr>
          <w:rFonts w:ascii="Calibri" w:cs="Calibri" w:eastAsia="Calibri" w:hAnsi="Calibri"/>
          <w:u w:val="none"/>
        </w:rPr>
      </w:pPr>
      <w:hyperlink r:id="rId11">
        <w:r w:rsidDel="00000000" w:rsidR="00000000" w:rsidRPr="00000000">
          <w:rPr>
            <w:rFonts w:ascii="Calibri" w:cs="Calibri" w:eastAsia="Calibri" w:hAnsi="Calibri"/>
            <w:color w:val="1155cc"/>
            <w:u w:val="single"/>
            <w:rtl w:val="0"/>
          </w:rPr>
          <w:t xml:space="preserve">Turkey Stainless Steel Market Size, Trends and Forecast to 2032</w:t>
        </w:r>
      </w:hyperlink>
      <w:r w:rsidDel="00000000" w:rsidR="00000000" w:rsidRPr="00000000">
        <w:rPr>
          <w:rtl w:val="0"/>
        </w:rPr>
      </w:r>
    </w:p>
    <w:p w:rsidR="00000000" w:rsidDel="00000000" w:rsidP="00000000" w:rsidRDefault="00000000" w:rsidRPr="00000000" w14:paraId="00000109">
      <w:pPr>
        <w:numPr>
          <w:ilvl w:val="0"/>
          <w:numId w:val="20"/>
        </w:numPr>
        <w:ind w:left="720" w:hanging="360"/>
        <w:rPr>
          <w:rFonts w:ascii="Calibri" w:cs="Calibri" w:eastAsia="Calibri" w:hAnsi="Calibri"/>
          <w:u w:val="none"/>
        </w:rPr>
      </w:pPr>
      <w:hyperlink r:id="rId12">
        <w:r w:rsidDel="00000000" w:rsidR="00000000" w:rsidRPr="00000000">
          <w:rPr>
            <w:rFonts w:ascii="Calibri" w:cs="Calibri" w:eastAsia="Calibri" w:hAnsi="Calibri"/>
            <w:color w:val="1155cc"/>
            <w:u w:val="single"/>
            <w:rtl w:val="0"/>
          </w:rPr>
          <w:t xml:space="preserve">PASDER: Stainless steel consumption in 2025 will remain below last year's level</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A">
      <w:pPr>
        <w:numPr>
          <w:ilvl w:val="0"/>
          <w:numId w:val="20"/>
        </w:numPr>
        <w:ind w:left="720" w:hanging="360"/>
        <w:rPr>
          <w:rFonts w:ascii="Calibri" w:cs="Calibri" w:eastAsia="Calibri" w:hAnsi="Calibri"/>
          <w:u w:val="none"/>
        </w:rPr>
      </w:pPr>
      <w:hyperlink r:id="rId13">
        <w:r w:rsidDel="00000000" w:rsidR="00000000" w:rsidRPr="00000000">
          <w:rPr>
            <w:rFonts w:ascii="Calibri" w:cs="Calibri" w:eastAsia="Calibri" w:hAnsi="Calibri"/>
            <w:color w:val="1155cc"/>
            <w:u w:val="single"/>
            <w:rtl w:val="0"/>
          </w:rPr>
          <w:t xml:space="preserve">TSE - Türk Standardlari Enstitüsü</w:t>
        </w:r>
      </w:hyperlink>
      <w:r w:rsidDel="00000000" w:rsidR="00000000" w:rsidRPr="00000000">
        <w:rPr>
          <w:rtl w:val="0"/>
        </w:rPr>
      </w:r>
    </w:p>
    <w:p w:rsidR="00000000" w:rsidDel="00000000" w:rsidP="00000000" w:rsidRDefault="00000000" w:rsidRPr="00000000" w14:paraId="0000010B">
      <w:pPr>
        <w:numPr>
          <w:ilvl w:val="0"/>
          <w:numId w:val="20"/>
        </w:numPr>
        <w:ind w:left="720" w:hanging="360"/>
        <w:rPr>
          <w:rFonts w:ascii="Calibri" w:cs="Calibri" w:eastAsia="Calibri" w:hAnsi="Calibri"/>
          <w:u w:val="none"/>
        </w:rPr>
      </w:pPr>
      <w:hyperlink r:id="rId14">
        <w:r w:rsidDel="00000000" w:rsidR="00000000" w:rsidRPr="00000000">
          <w:rPr>
            <w:rFonts w:ascii="Calibri" w:cs="Calibri" w:eastAsia="Calibri" w:hAnsi="Calibri"/>
            <w:color w:val="1155cc"/>
            <w:u w:val="single"/>
            <w:rtl w:val="0"/>
          </w:rPr>
          <w:t xml:space="preserve">TSE</w:t>
        </w:r>
      </w:hyperlink>
      <w:r w:rsidDel="00000000" w:rsidR="00000000" w:rsidRPr="00000000">
        <w:rPr>
          <w:rtl w:val="0"/>
        </w:rPr>
      </w:r>
    </w:p>
    <w:p w:rsidR="00000000" w:rsidDel="00000000" w:rsidP="00000000" w:rsidRDefault="00000000" w:rsidRPr="00000000" w14:paraId="0000010C">
      <w:pPr>
        <w:numPr>
          <w:ilvl w:val="0"/>
          <w:numId w:val="20"/>
        </w:numPr>
        <w:ind w:left="720" w:hanging="360"/>
        <w:rPr>
          <w:rFonts w:ascii="Calibri" w:cs="Calibri" w:eastAsia="Calibri" w:hAnsi="Calibri"/>
          <w:u w:val="none"/>
        </w:rPr>
      </w:pPr>
      <w:hyperlink r:id="rId15">
        <w:r w:rsidDel="00000000" w:rsidR="00000000" w:rsidRPr="00000000">
          <w:rPr>
            <w:rFonts w:ascii="Calibri" w:cs="Calibri" w:eastAsia="Calibri" w:hAnsi="Calibri"/>
            <w:color w:val="1155cc"/>
            <w:u w:val="single"/>
            <w:rtl w:val="0"/>
          </w:rPr>
          <w:t xml:space="preserve">National and International Standards in Water Sanitary Fittings - Coşan Ticaret</w:t>
        </w:r>
      </w:hyperlink>
      <w:r w:rsidDel="00000000" w:rsidR="00000000" w:rsidRPr="00000000">
        <w:rPr>
          <w:rtl w:val="0"/>
        </w:rPr>
      </w:r>
    </w:p>
    <w:p w:rsidR="00000000" w:rsidDel="00000000" w:rsidP="00000000" w:rsidRDefault="00000000" w:rsidRPr="00000000" w14:paraId="0000010D">
      <w:pPr>
        <w:numPr>
          <w:ilvl w:val="0"/>
          <w:numId w:val="20"/>
        </w:numPr>
        <w:ind w:left="720" w:hanging="360"/>
        <w:rPr>
          <w:rFonts w:ascii="Calibri" w:cs="Calibri" w:eastAsia="Calibri" w:hAnsi="Calibri"/>
          <w:u w:val="none"/>
        </w:rPr>
      </w:pPr>
      <w:hyperlink r:id="rId16">
        <w:r w:rsidDel="00000000" w:rsidR="00000000" w:rsidRPr="00000000">
          <w:rPr>
            <w:rFonts w:ascii="Calibri" w:cs="Calibri" w:eastAsia="Calibri" w:hAnsi="Calibri"/>
            <w:color w:val="1155cc"/>
            <w:u w:val="single"/>
            <w:rtl w:val="0"/>
          </w:rPr>
          <w:t xml:space="preserve">General Rules and Procedures on Technical Regulations</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0E">
      <w:pPr>
        <w:numPr>
          <w:ilvl w:val="0"/>
          <w:numId w:val="20"/>
        </w:numPr>
        <w:ind w:left="720" w:hanging="360"/>
        <w:rPr>
          <w:rFonts w:ascii="Calibri" w:cs="Calibri" w:eastAsia="Calibri" w:hAnsi="Calibri"/>
          <w:u w:val="none"/>
        </w:rPr>
      </w:pPr>
      <w:hyperlink r:id="rId17">
        <w:r w:rsidDel="00000000" w:rsidR="00000000" w:rsidRPr="00000000">
          <w:rPr>
            <w:rFonts w:ascii="Calibri" w:cs="Calibri" w:eastAsia="Calibri" w:hAnsi="Calibri"/>
            <w:color w:val="1155cc"/>
            <w:u w:val="single"/>
            <w:rtl w:val="0"/>
          </w:rPr>
          <w:t xml:space="preserve">RoHS de la Turquie et comparaison avec la RoHS de l'UE - Enviropass</w:t>
        </w:r>
      </w:hyperlink>
      <w:r w:rsidDel="00000000" w:rsidR="00000000" w:rsidRPr="00000000">
        <w:rPr>
          <w:rtl w:val="0"/>
        </w:rPr>
      </w:r>
    </w:p>
    <w:p w:rsidR="00000000" w:rsidDel="00000000" w:rsidP="00000000" w:rsidRDefault="00000000" w:rsidRPr="00000000" w14:paraId="0000010F">
      <w:pPr>
        <w:numPr>
          <w:ilvl w:val="0"/>
          <w:numId w:val="20"/>
        </w:numPr>
        <w:ind w:left="720" w:hanging="360"/>
        <w:rPr>
          <w:rFonts w:ascii="Calibri" w:cs="Calibri" w:eastAsia="Calibri" w:hAnsi="Calibri"/>
          <w:u w:val="none"/>
        </w:rPr>
      </w:pPr>
      <w:hyperlink r:id="rId18">
        <w:r w:rsidDel="00000000" w:rsidR="00000000" w:rsidRPr="00000000">
          <w:rPr>
            <w:rFonts w:ascii="Calibri" w:cs="Calibri" w:eastAsia="Calibri" w:hAnsi="Calibri"/>
            <w:color w:val="1155cc"/>
            <w:u w:val="single"/>
            <w:rtl w:val="0"/>
          </w:rPr>
          <w:t xml:space="preserve">Qu'est-ce que la certification ISO 9001 ?</w:t>
        </w:r>
      </w:hyperlink>
      <w:r w:rsidDel="00000000" w:rsidR="00000000" w:rsidRPr="00000000">
        <w:rPr>
          <w:rtl w:val="0"/>
        </w:rPr>
      </w:r>
    </w:p>
    <w:p w:rsidR="00000000" w:rsidDel="00000000" w:rsidP="00000000" w:rsidRDefault="00000000" w:rsidRPr="00000000" w14:paraId="00000110">
      <w:pPr>
        <w:numPr>
          <w:ilvl w:val="0"/>
          <w:numId w:val="20"/>
        </w:numPr>
        <w:ind w:left="720" w:hanging="360"/>
        <w:rPr>
          <w:rFonts w:ascii="Calibri" w:cs="Calibri" w:eastAsia="Calibri" w:hAnsi="Calibri"/>
          <w:u w:val="none"/>
        </w:rPr>
      </w:pPr>
      <w:hyperlink r:id="rId19">
        <w:r w:rsidDel="00000000" w:rsidR="00000000" w:rsidRPr="00000000">
          <w:rPr>
            <w:rFonts w:ascii="Calibri" w:cs="Calibri" w:eastAsia="Calibri" w:hAnsi="Calibri"/>
            <w:color w:val="1155cc"/>
            <w:u w:val="single"/>
            <w:rtl w:val="0"/>
          </w:rPr>
          <w:t xml:space="preserve">ISO 14001:2015 - Systèmes de management environnemental</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1">
      <w:pPr>
        <w:numPr>
          <w:ilvl w:val="0"/>
          <w:numId w:val="20"/>
        </w:numPr>
        <w:ind w:left="720" w:hanging="360"/>
        <w:rPr>
          <w:rFonts w:ascii="Calibri" w:cs="Calibri" w:eastAsia="Calibri" w:hAnsi="Calibri"/>
        </w:rPr>
      </w:pPr>
      <w:hyperlink r:id="rId20">
        <w:r w:rsidDel="00000000" w:rsidR="00000000" w:rsidRPr="00000000">
          <w:rPr>
            <w:rFonts w:ascii="Calibri" w:cs="Calibri" w:eastAsia="Calibri" w:hAnsi="Calibri"/>
            <w:color w:val="1155cc"/>
            <w:u w:val="single"/>
            <w:rtl w:val="0"/>
          </w:rPr>
          <w:t xml:space="preserve">Analyse de la taille et de la part du marché de la construction en Turquie – Tendances de croissance et prévisions (2024-2029)</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2">
      <w:pPr>
        <w:numPr>
          <w:ilvl w:val="0"/>
          <w:numId w:val="20"/>
        </w:numPr>
        <w:ind w:left="720" w:hanging="360"/>
        <w:rPr>
          <w:rFonts w:ascii="Calibri" w:cs="Calibri" w:eastAsia="Calibri" w:hAnsi="Calibri"/>
          <w:u w:val="none"/>
        </w:rPr>
      </w:pPr>
      <w:hyperlink r:id="rId21">
        <w:r w:rsidDel="00000000" w:rsidR="00000000" w:rsidRPr="00000000">
          <w:rPr>
            <w:rFonts w:ascii="Calibri" w:cs="Calibri" w:eastAsia="Calibri" w:hAnsi="Calibri"/>
            <w:color w:val="1155cc"/>
            <w:u w:val="single"/>
            <w:rtl w:val="0"/>
          </w:rPr>
          <w:t xml:space="preserve">https://en.wikipedia.org/wiki/Construction_and_contracting_industry_in_Turkey</w:t>
        </w:r>
      </w:hyperlink>
      <w:r w:rsidDel="00000000" w:rsidR="00000000" w:rsidRPr="00000000">
        <w:rPr>
          <w:rtl w:val="0"/>
        </w:rPr>
      </w:r>
    </w:p>
    <w:p w:rsidR="00000000" w:rsidDel="00000000" w:rsidP="00000000" w:rsidRDefault="00000000" w:rsidRPr="00000000" w14:paraId="00000113">
      <w:pPr>
        <w:numPr>
          <w:ilvl w:val="0"/>
          <w:numId w:val="20"/>
        </w:numPr>
        <w:ind w:left="720" w:hanging="360"/>
        <w:rPr>
          <w:rFonts w:ascii="Calibri" w:cs="Calibri" w:eastAsia="Calibri" w:hAnsi="Calibri"/>
          <w:u w:val="none"/>
        </w:rPr>
      </w:pPr>
      <w:hyperlink r:id="rId22">
        <w:r w:rsidDel="00000000" w:rsidR="00000000" w:rsidRPr="00000000">
          <w:rPr>
            <w:rFonts w:ascii="Calibri" w:cs="Calibri" w:eastAsia="Calibri" w:hAnsi="Calibri"/>
            <w:color w:val="1155cc"/>
            <w:u w:val="single"/>
            <w:rtl w:val="0"/>
          </w:rPr>
          <w:t xml:space="preserve">Turkey Construction Industry Report 2025: Output to Grow by 3% this Year - Market Size &amp; Forecast by Value &amp; Volume Across 40+ Market Segments to 2029</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4">
      <w:pPr>
        <w:numPr>
          <w:ilvl w:val="0"/>
          <w:numId w:val="20"/>
        </w:numPr>
        <w:ind w:left="720" w:hanging="360"/>
        <w:rPr>
          <w:rFonts w:ascii="Calibri" w:cs="Calibri" w:eastAsia="Calibri" w:hAnsi="Calibri"/>
          <w:u w:val="none"/>
        </w:rPr>
      </w:pPr>
      <w:hyperlink r:id="rId23">
        <w:r w:rsidDel="00000000" w:rsidR="00000000" w:rsidRPr="00000000">
          <w:rPr>
            <w:rFonts w:ascii="Calibri" w:cs="Calibri" w:eastAsia="Calibri" w:hAnsi="Calibri"/>
            <w:color w:val="1155cc"/>
            <w:u w:val="single"/>
            <w:rtl w:val="0"/>
          </w:rPr>
          <w:t xml:space="preserve">Construction Insights | Turkey | DWF Group</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5">
      <w:pPr>
        <w:numPr>
          <w:ilvl w:val="0"/>
          <w:numId w:val="20"/>
        </w:numPr>
        <w:ind w:left="720" w:hanging="360"/>
        <w:rPr>
          <w:rFonts w:ascii="Calibri" w:cs="Calibri" w:eastAsia="Calibri" w:hAnsi="Calibri"/>
          <w:u w:val="none"/>
        </w:rPr>
      </w:pPr>
      <w:hyperlink r:id="rId24">
        <w:r w:rsidDel="00000000" w:rsidR="00000000" w:rsidRPr="00000000">
          <w:rPr>
            <w:rFonts w:ascii="Calibri" w:cs="Calibri" w:eastAsia="Calibri" w:hAnsi="Calibri"/>
            <w:color w:val="1155cc"/>
            <w:u w:val="single"/>
            <w:rtl w:val="0"/>
          </w:rPr>
          <w:t xml:space="preserve">A Look at the Construction Industry from the KPMG’s Perspective</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6">
      <w:pPr>
        <w:numPr>
          <w:ilvl w:val="0"/>
          <w:numId w:val="20"/>
        </w:numPr>
        <w:ind w:left="720" w:hanging="360"/>
        <w:rPr>
          <w:rFonts w:ascii="Calibri" w:cs="Calibri" w:eastAsia="Calibri" w:hAnsi="Calibri"/>
          <w:u w:val="none"/>
        </w:rPr>
      </w:pPr>
      <w:hyperlink r:id="rId25">
        <w:r w:rsidDel="00000000" w:rsidR="00000000" w:rsidRPr="00000000">
          <w:rPr>
            <w:rFonts w:ascii="Calibri" w:cs="Calibri" w:eastAsia="Calibri" w:hAnsi="Calibri"/>
            <w:color w:val="1155cc"/>
            <w:u w:val="single"/>
            <w:rtl w:val="0"/>
          </w:rPr>
          <w:t xml:space="preserve">Insee - Tableau de bord de l'économie française</w:t>
        </w:r>
      </w:hyperlink>
      <w:r w:rsidDel="00000000" w:rsidR="00000000" w:rsidRPr="00000000">
        <w:rPr>
          <w:rtl w:val="0"/>
        </w:rPr>
      </w:r>
    </w:p>
    <w:p w:rsidR="00000000" w:rsidDel="00000000" w:rsidP="00000000" w:rsidRDefault="00000000" w:rsidRPr="00000000" w14:paraId="00000117">
      <w:pPr>
        <w:numPr>
          <w:ilvl w:val="0"/>
          <w:numId w:val="20"/>
        </w:numPr>
        <w:ind w:left="720" w:hanging="360"/>
        <w:rPr>
          <w:rFonts w:ascii="Calibri" w:cs="Calibri" w:eastAsia="Calibri" w:hAnsi="Calibri"/>
          <w:u w:val="none"/>
        </w:rPr>
      </w:pPr>
      <w:hyperlink r:id="rId26">
        <w:r w:rsidDel="00000000" w:rsidR="00000000" w:rsidRPr="00000000">
          <w:rPr>
            <w:rFonts w:ascii="Calibri" w:cs="Calibri" w:eastAsia="Calibri" w:hAnsi="Calibri"/>
            <w:color w:val="1155cc"/>
            <w:u w:val="single"/>
            <w:rtl w:val="0"/>
          </w:rPr>
          <w:t xml:space="preserve">Turkey Population 2026</w:t>
        </w:r>
      </w:hyperlink>
      <w:r w:rsidDel="00000000" w:rsidR="00000000" w:rsidRPr="00000000">
        <w:rPr>
          <w:rtl w:val="0"/>
        </w:rPr>
      </w:r>
    </w:p>
    <w:p w:rsidR="00000000" w:rsidDel="00000000" w:rsidP="00000000" w:rsidRDefault="00000000" w:rsidRPr="00000000" w14:paraId="00000118">
      <w:pPr>
        <w:numPr>
          <w:ilvl w:val="0"/>
          <w:numId w:val="20"/>
        </w:numPr>
        <w:ind w:left="720" w:hanging="360"/>
        <w:rPr>
          <w:rFonts w:ascii="Calibri" w:cs="Calibri" w:eastAsia="Calibri" w:hAnsi="Calibri"/>
          <w:u w:val="none"/>
        </w:rPr>
      </w:pPr>
      <w:hyperlink r:id="rId27">
        <w:r w:rsidDel="00000000" w:rsidR="00000000" w:rsidRPr="00000000">
          <w:rPr>
            <w:rFonts w:ascii="Calibri" w:cs="Calibri" w:eastAsia="Calibri" w:hAnsi="Calibri"/>
            <w:color w:val="1155cc"/>
            <w:u w:val="single"/>
            <w:rtl w:val="0"/>
          </w:rPr>
          <w:t xml:space="preserve">Convertir Euros en Dollars américains</w:t>
        </w:r>
      </w:hyperlink>
      <w:r w:rsidDel="00000000" w:rsidR="00000000" w:rsidRPr="00000000">
        <w:rPr>
          <w:rtl w:val="0"/>
        </w:rPr>
      </w:r>
    </w:p>
    <w:p w:rsidR="00000000" w:rsidDel="00000000" w:rsidP="00000000" w:rsidRDefault="00000000" w:rsidRPr="00000000" w14:paraId="00000119">
      <w:pPr>
        <w:numPr>
          <w:ilvl w:val="0"/>
          <w:numId w:val="20"/>
        </w:numPr>
        <w:ind w:left="720" w:hanging="360"/>
        <w:rPr>
          <w:rFonts w:ascii="Calibri" w:cs="Calibri" w:eastAsia="Calibri" w:hAnsi="Calibri"/>
          <w:u w:val="none"/>
        </w:rPr>
      </w:pPr>
      <w:hyperlink r:id="rId28">
        <w:r w:rsidDel="00000000" w:rsidR="00000000" w:rsidRPr="00000000">
          <w:rPr>
            <w:rFonts w:ascii="Calibri" w:cs="Calibri" w:eastAsia="Calibri" w:hAnsi="Calibri"/>
            <w:color w:val="1155cc"/>
            <w:u w:val="single"/>
            <w:rtl w:val="0"/>
          </w:rPr>
          <w:t xml:space="preserve">Turkey Sanitary ware Market | Grow At 4% CAGR Till 2030</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1A">
      <w:pPr>
        <w:numPr>
          <w:ilvl w:val="0"/>
          <w:numId w:val="20"/>
        </w:numPr>
        <w:ind w:left="720" w:hanging="360"/>
        <w:rPr>
          <w:rFonts w:ascii="Calibri" w:cs="Calibri" w:eastAsia="Calibri" w:hAnsi="Calibri"/>
          <w:u w:val="none"/>
        </w:rPr>
      </w:pPr>
      <w:hyperlink r:id="rId29">
        <w:r w:rsidDel="00000000" w:rsidR="00000000" w:rsidRPr="00000000">
          <w:rPr>
            <w:rFonts w:ascii="Calibri" w:cs="Calibri" w:eastAsia="Calibri" w:hAnsi="Calibri"/>
            <w:color w:val="1155cc"/>
            <w:u w:val="single"/>
            <w:rtl w:val="0"/>
          </w:rPr>
          <w:t xml:space="preserve">Competitor Analysis in the Global Faucet Market: Review of Chinese, Turkish, and European Brands | SharMarket</w:t>
        </w:r>
      </w:hyperlink>
      <w:r w:rsidDel="00000000" w:rsidR="00000000" w:rsidRPr="00000000">
        <w:rPr>
          <w:rtl w:val="0"/>
        </w:rPr>
      </w:r>
    </w:p>
    <w:p w:rsidR="00000000" w:rsidDel="00000000" w:rsidP="00000000" w:rsidRDefault="00000000" w:rsidRPr="00000000" w14:paraId="0000011B">
      <w:pPr>
        <w:numPr>
          <w:ilvl w:val="0"/>
          <w:numId w:val="20"/>
        </w:numPr>
        <w:ind w:left="720" w:hanging="360"/>
        <w:rPr>
          <w:rFonts w:ascii="Calibri" w:cs="Calibri" w:eastAsia="Calibri" w:hAnsi="Calibri"/>
          <w:u w:val="none"/>
        </w:rPr>
      </w:pPr>
      <w:hyperlink r:id="rId30">
        <w:r w:rsidDel="00000000" w:rsidR="00000000" w:rsidRPr="00000000">
          <w:rPr>
            <w:rFonts w:ascii="Calibri" w:cs="Calibri" w:eastAsia="Calibri" w:hAnsi="Calibri"/>
            <w:color w:val="1155cc"/>
            <w:u w:val="single"/>
            <w:rtl w:val="0"/>
          </w:rPr>
          <w:t xml:space="preserve">PASDER: Stainless steel consumption in 2025</w:t>
        </w:r>
      </w:hyperlink>
      <w:r w:rsidDel="00000000" w:rsidR="00000000" w:rsidRPr="00000000">
        <w:rPr>
          <w:rtl w:val="0"/>
        </w:rPr>
      </w:r>
    </w:p>
    <w:p w:rsidR="00000000" w:rsidDel="00000000" w:rsidP="00000000" w:rsidRDefault="00000000" w:rsidRPr="00000000" w14:paraId="0000011C">
      <w:pPr>
        <w:rPr>
          <w:rFonts w:ascii="Calibri" w:cs="Calibri" w:eastAsia="Calibri" w:hAnsi="Calibri"/>
          <w:i w:val="1"/>
          <w:iCs w:val="1"/>
        </w:rPr>
      </w:pPr>
      <w:r w:rsidDel="00000000" w:rsidR="00000000" w:rsidRPr="00000000">
        <w:rPr>
          <w:rtl w:val="0"/>
        </w:rPr>
      </w:r>
    </w:p>
    <w:p w:rsidR="00000000" w:rsidDel="00000000" w:rsidP="00000000" w:rsidRDefault="00000000" w:rsidRPr="00000000" w14:paraId="0000011D">
      <w:pPr>
        <w:rPr>
          <w:rFonts w:ascii="Calibri" w:cs="Calibri" w:eastAsia="Calibri" w:hAnsi="Calibri"/>
          <w:u w:val="single"/>
        </w:rPr>
      </w:pPr>
      <w:r w:rsidDel="00000000" w:rsidR="00000000" w:rsidRPr="00000000">
        <w:rPr>
          <w:rFonts w:ascii="Calibri" w:cs="Calibri" w:eastAsia="Calibri" w:hAnsi="Calibri"/>
          <w:u w:val="single"/>
          <w:rtl w:val="0"/>
        </w:rPr>
        <w:t xml:space="preserve">Biggest Construction Companies in Türkiye, based on the total volume of projects : </w:t>
      </w:r>
    </w:p>
    <w:p w:rsidR="00000000" w:rsidDel="00000000" w:rsidP="00000000" w:rsidRDefault="00000000" w:rsidRPr="00000000" w14:paraId="0000011E">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1F">
      <w:pPr>
        <w:rPr>
          <w:rFonts w:ascii="Calibri" w:cs="Calibri" w:eastAsia="Calibri" w:hAnsi="Calibri"/>
        </w:rPr>
      </w:pPr>
      <w:r w:rsidDel="00000000" w:rsidR="00000000" w:rsidRPr="00000000">
        <w:rPr>
          <w:rFonts w:ascii="Calibri" w:cs="Calibri" w:eastAsia="Calibri" w:hAnsi="Calibri"/>
          <w:b w:val="1"/>
          <w:bCs w:val="1"/>
          <w:rtl w:val="0"/>
        </w:rPr>
        <w:t xml:space="preserve">1-</w:t>
      </w:r>
      <w:r w:rsidDel="00000000" w:rsidR="00000000" w:rsidRPr="00000000">
        <w:rPr>
          <w:rFonts w:ascii="Calibri" w:cs="Calibri" w:eastAsia="Calibri" w:hAnsi="Calibri"/>
          <w:rtl w:val="0"/>
        </w:rPr>
        <w:t xml:space="preserve"> RC Rönesans İnşaat </w:t>
      </w:r>
      <w:r w:rsidDel="00000000" w:rsidR="00000000" w:rsidRPr="00000000">
        <w:rPr>
          <w:rFonts w:ascii="Calibri" w:cs="Calibri" w:eastAsia="Calibri" w:hAnsi="Calibri"/>
          <w:b w:val="1"/>
          <w:bCs w:val="1"/>
          <w:rtl w:val="0"/>
        </w:rPr>
        <w:t xml:space="preserve">2-</w:t>
      </w:r>
      <w:r w:rsidDel="00000000" w:rsidR="00000000" w:rsidRPr="00000000">
        <w:rPr>
          <w:rFonts w:ascii="Calibri" w:cs="Calibri" w:eastAsia="Calibri" w:hAnsi="Calibri"/>
          <w:rtl w:val="0"/>
        </w:rPr>
        <w:t xml:space="preserve"> Limak İnşaat</w:t>
      </w:r>
      <w:r w:rsidDel="00000000" w:rsidR="00000000" w:rsidRPr="00000000">
        <w:rPr>
          <w:rFonts w:ascii="Calibri" w:cs="Calibri" w:eastAsia="Calibri" w:hAnsi="Calibri"/>
          <w:b w:val="1"/>
          <w:bCs w:val="1"/>
          <w:rtl w:val="0"/>
        </w:rPr>
        <w:t xml:space="preserve"> 3-</w:t>
      </w:r>
      <w:r w:rsidDel="00000000" w:rsidR="00000000" w:rsidRPr="00000000">
        <w:rPr>
          <w:rFonts w:ascii="Calibri" w:cs="Calibri" w:eastAsia="Calibri" w:hAnsi="Calibri"/>
          <w:rtl w:val="0"/>
        </w:rPr>
        <w:t xml:space="preserve"> Enka İnşaat </w:t>
      </w:r>
      <w:r w:rsidDel="00000000" w:rsidR="00000000" w:rsidRPr="00000000">
        <w:rPr>
          <w:rFonts w:ascii="Calibri" w:cs="Calibri" w:eastAsia="Calibri" w:hAnsi="Calibri"/>
          <w:b w:val="1"/>
          <w:bCs w:val="1"/>
          <w:rtl w:val="0"/>
        </w:rPr>
        <w:t xml:space="preserve">4-</w:t>
      </w:r>
      <w:r w:rsidDel="00000000" w:rsidR="00000000" w:rsidRPr="00000000">
        <w:rPr>
          <w:rFonts w:ascii="Calibri" w:cs="Calibri" w:eastAsia="Calibri" w:hAnsi="Calibri"/>
          <w:rtl w:val="0"/>
        </w:rPr>
        <w:t xml:space="preserve"> İçtaş İnşaat </w:t>
      </w:r>
      <w:r w:rsidDel="00000000" w:rsidR="00000000" w:rsidRPr="00000000">
        <w:rPr>
          <w:rFonts w:ascii="Calibri" w:cs="Calibri" w:eastAsia="Calibri" w:hAnsi="Calibri"/>
          <w:b w:val="1"/>
          <w:bCs w:val="1"/>
          <w:rtl w:val="0"/>
        </w:rPr>
        <w:t xml:space="preserve">5-</w:t>
      </w:r>
      <w:r w:rsidDel="00000000" w:rsidR="00000000" w:rsidRPr="00000000">
        <w:rPr>
          <w:rFonts w:ascii="Calibri" w:cs="Calibri" w:eastAsia="Calibri" w:hAnsi="Calibri"/>
          <w:rtl w:val="0"/>
        </w:rPr>
        <w:t xml:space="preserve"> Mapa İnşaat </w:t>
      </w:r>
      <w:r w:rsidDel="00000000" w:rsidR="00000000" w:rsidRPr="00000000">
        <w:rPr>
          <w:rFonts w:ascii="Calibri" w:cs="Calibri" w:eastAsia="Calibri" w:hAnsi="Calibri"/>
          <w:b w:val="1"/>
          <w:bCs w:val="1"/>
          <w:rtl w:val="0"/>
        </w:rPr>
        <w:t xml:space="preserve">6-</w:t>
      </w:r>
      <w:r w:rsidDel="00000000" w:rsidR="00000000" w:rsidRPr="00000000">
        <w:rPr>
          <w:rFonts w:ascii="Calibri" w:cs="Calibri" w:eastAsia="Calibri" w:hAnsi="Calibri"/>
          <w:rtl w:val="0"/>
        </w:rPr>
        <w:t xml:space="preserve"> Tekfen inşaat </w:t>
      </w:r>
      <w:r w:rsidDel="00000000" w:rsidR="00000000" w:rsidRPr="00000000">
        <w:rPr>
          <w:rFonts w:ascii="Calibri" w:cs="Calibri" w:eastAsia="Calibri" w:hAnsi="Calibri"/>
          <w:b w:val="1"/>
          <w:bCs w:val="1"/>
          <w:rtl w:val="0"/>
        </w:rPr>
        <w:t xml:space="preserve">7-</w:t>
      </w:r>
      <w:r w:rsidDel="00000000" w:rsidR="00000000" w:rsidRPr="00000000">
        <w:rPr>
          <w:rFonts w:ascii="Calibri" w:cs="Calibri" w:eastAsia="Calibri" w:hAnsi="Calibri"/>
          <w:rtl w:val="0"/>
        </w:rPr>
        <w:t xml:space="preserve"> Güriş İnşaat </w:t>
      </w:r>
      <w:r w:rsidDel="00000000" w:rsidR="00000000" w:rsidRPr="00000000">
        <w:rPr>
          <w:rFonts w:ascii="Calibri" w:cs="Calibri" w:eastAsia="Calibri" w:hAnsi="Calibri"/>
          <w:b w:val="1"/>
          <w:bCs w:val="1"/>
          <w:rtl w:val="0"/>
        </w:rPr>
        <w:t xml:space="preserve">8- </w:t>
      </w:r>
      <w:r w:rsidDel="00000000" w:rsidR="00000000" w:rsidRPr="00000000">
        <w:rPr>
          <w:rFonts w:ascii="Calibri" w:cs="Calibri" w:eastAsia="Calibri" w:hAnsi="Calibri"/>
          <w:rtl w:val="0"/>
        </w:rPr>
        <w:t xml:space="preserve">YDA İnşaat </w:t>
      </w:r>
      <w:r w:rsidDel="00000000" w:rsidR="00000000" w:rsidRPr="00000000">
        <w:rPr>
          <w:rFonts w:ascii="Calibri" w:cs="Calibri" w:eastAsia="Calibri" w:hAnsi="Calibri"/>
          <w:b w:val="1"/>
          <w:bCs w:val="1"/>
          <w:rtl w:val="0"/>
        </w:rPr>
        <w:t xml:space="preserve">9-</w:t>
      </w:r>
      <w:r w:rsidDel="00000000" w:rsidR="00000000" w:rsidRPr="00000000">
        <w:rPr>
          <w:rFonts w:ascii="Calibri" w:cs="Calibri" w:eastAsia="Calibri" w:hAnsi="Calibri"/>
          <w:rtl w:val="0"/>
        </w:rPr>
        <w:t xml:space="preserve"> TAV Tepe Akfen </w:t>
      </w:r>
      <w:r w:rsidDel="00000000" w:rsidR="00000000" w:rsidRPr="00000000">
        <w:rPr>
          <w:rFonts w:ascii="Calibri" w:cs="Calibri" w:eastAsia="Calibri" w:hAnsi="Calibri"/>
          <w:b w:val="1"/>
          <w:bCs w:val="1"/>
          <w:rtl w:val="0"/>
        </w:rPr>
        <w:t xml:space="preserve">10-</w:t>
      </w:r>
      <w:r w:rsidDel="00000000" w:rsidR="00000000" w:rsidRPr="00000000">
        <w:rPr>
          <w:rFonts w:ascii="Calibri" w:cs="Calibri" w:eastAsia="Calibri" w:hAnsi="Calibri"/>
          <w:rtl w:val="0"/>
        </w:rPr>
        <w:t xml:space="preserve"> Nurol İnşaat </w:t>
      </w:r>
    </w:p>
    <w:p w:rsidR="00000000" w:rsidDel="00000000" w:rsidP="00000000" w:rsidRDefault="00000000" w:rsidRPr="00000000" w14:paraId="00000120">
      <w:pPr>
        <w:rPr>
          <w:rFonts w:ascii="Calibri" w:cs="Calibri" w:eastAsia="Calibri" w:hAnsi="Calibri"/>
        </w:rPr>
      </w:pPr>
      <w:r w:rsidDel="00000000" w:rsidR="00000000" w:rsidRPr="00000000">
        <w:rPr>
          <w:rtl w:val="0"/>
        </w:rPr>
      </w:r>
    </w:p>
    <w:p w:rsidR="00000000" w:rsidDel="00000000" w:rsidP="00000000" w:rsidRDefault="00000000" w:rsidRPr="00000000" w14:paraId="00000121">
      <w:pPr>
        <w:rPr>
          <w:rFonts w:ascii="Calibri" w:cs="Calibri" w:eastAsia="Calibri" w:hAnsi="Calibri"/>
          <w:i w:val="1"/>
          <w:iCs w:val="1"/>
        </w:rPr>
      </w:pPr>
      <w:r w:rsidDel="00000000" w:rsidR="00000000" w:rsidRPr="00000000">
        <w:rPr>
          <w:rFonts w:ascii="Calibri" w:cs="Calibri" w:eastAsia="Calibri" w:hAnsi="Calibri"/>
          <w:b w:val="1"/>
          <w:bCs w:val="1"/>
          <w:rtl w:val="0"/>
        </w:rPr>
        <w:t xml:space="preserve">11- </w:t>
      </w:r>
      <w:r w:rsidDel="00000000" w:rsidR="00000000" w:rsidRPr="00000000">
        <w:rPr>
          <w:rFonts w:ascii="Calibri" w:cs="Calibri" w:eastAsia="Calibri" w:hAnsi="Calibri"/>
          <w:rtl w:val="0"/>
        </w:rPr>
        <w:t xml:space="preserve">Çelikler Taahhüt İnşaat </w:t>
      </w:r>
      <w:r w:rsidDel="00000000" w:rsidR="00000000" w:rsidRPr="00000000">
        <w:rPr>
          <w:rFonts w:ascii="Calibri" w:cs="Calibri" w:eastAsia="Calibri" w:hAnsi="Calibri"/>
          <w:b w:val="1"/>
          <w:bCs w:val="1"/>
          <w:rtl w:val="0"/>
        </w:rPr>
        <w:t xml:space="preserve">12-</w:t>
      </w:r>
      <w:r w:rsidDel="00000000" w:rsidR="00000000" w:rsidRPr="00000000">
        <w:rPr>
          <w:rFonts w:ascii="Calibri" w:cs="Calibri" w:eastAsia="Calibri" w:hAnsi="Calibri"/>
          <w:rtl w:val="0"/>
        </w:rPr>
        <w:t xml:space="preserve"> Eczacıbaşı Yapı</w:t>
      </w:r>
      <w:r w:rsidDel="00000000" w:rsidR="00000000" w:rsidRPr="00000000">
        <w:rPr>
          <w:rFonts w:ascii="Calibri" w:cs="Calibri" w:eastAsia="Calibri" w:hAnsi="Calibri"/>
          <w:b w:val="1"/>
          <w:bCs w:val="1"/>
          <w:rtl w:val="0"/>
        </w:rPr>
        <w:t xml:space="preserve"> 13-</w:t>
      </w:r>
      <w:r w:rsidDel="00000000" w:rsidR="00000000" w:rsidRPr="00000000">
        <w:rPr>
          <w:rFonts w:ascii="Calibri" w:cs="Calibri" w:eastAsia="Calibri" w:hAnsi="Calibri"/>
          <w:rtl w:val="0"/>
        </w:rPr>
        <w:t xml:space="preserve"> Tepe İnşaat </w:t>
      </w:r>
      <w:r w:rsidDel="00000000" w:rsidR="00000000" w:rsidRPr="00000000">
        <w:rPr>
          <w:rFonts w:ascii="Calibri" w:cs="Calibri" w:eastAsia="Calibri" w:hAnsi="Calibri"/>
          <w:b w:val="1"/>
          <w:bCs w:val="1"/>
          <w:rtl w:val="0"/>
        </w:rPr>
        <w:t xml:space="preserve">14-</w:t>
      </w:r>
      <w:r w:rsidDel="00000000" w:rsidR="00000000" w:rsidRPr="00000000">
        <w:rPr>
          <w:rFonts w:ascii="Calibri" w:cs="Calibri" w:eastAsia="Calibri" w:hAnsi="Calibri"/>
          <w:rtl w:val="0"/>
        </w:rPr>
        <w:t xml:space="preserve"> Çimsa Çimento </w:t>
      </w:r>
      <w:r w:rsidDel="00000000" w:rsidR="00000000" w:rsidRPr="00000000">
        <w:rPr>
          <w:rFonts w:ascii="Calibri" w:cs="Calibri" w:eastAsia="Calibri" w:hAnsi="Calibri"/>
          <w:b w:val="1"/>
          <w:bCs w:val="1"/>
          <w:rtl w:val="0"/>
        </w:rPr>
        <w:t xml:space="preserve">15-</w:t>
      </w:r>
      <w:r w:rsidDel="00000000" w:rsidR="00000000" w:rsidRPr="00000000">
        <w:rPr>
          <w:rFonts w:ascii="Calibri" w:cs="Calibri" w:eastAsia="Calibri" w:hAnsi="Calibri"/>
          <w:rtl w:val="0"/>
        </w:rPr>
        <w:t xml:space="preserve"> Akçansa Çimento </w:t>
      </w:r>
      <w:r w:rsidDel="00000000" w:rsidR="00000000" w:rsidRPr="00000000">
        <w:rPr>
          <w:rFonts w:ascii="Calibri" w:cs="Calibri" w:eastAsia="Calibri" w:hAnsi="Calibri"/>
          <w:b w:val="1"/>
          <w:bCs w:val="1"/>
          <w:rtl w:val="0"/>
        </w:rPr>
        <w:t xml:space="preserve">16- </w:t>
      </w:r>
      <w:r w:rsidDel="00000000" w:rsidR="00000000" w:rsidRPr="00000000">
        <w:rPr>
          <w:rFonts w:ascii="Calibri" w:cs="Calibri" w:eastAsia="Calibri" w:hAnsi="Calibri"/>
          <w:rtl w:val="0"/>
        </w:rPr>
        <w:t xml:space="preserve">Nuh Çimento </w:t>
      </w:r>
      <w:r w:rsidDel="00000000" w:rsidR="00000000" w:rsidRPr="00000000">
        <w:rPr>
          <w:rFonts w:ascii="Calibri" w:cs="Calibri" w:eastAsia="Calibri" w:hAnsi="Calibri"/>
          <w:b w:val="1"/>
          <w:bCs w:val="1"/>
          <w:rtl w:val="0"/>
        </w:rPr>
        <w:t xml:space="preserve">17- </w:t>
      </w:r>
      <w:r w:rsidDel="00000000" w:rsidR="00000000" w:rsidRPr="00000000">
        <w:rPr>
          <w:rFonts w:ascii="Calibri" w:cs="Calibri" w:eastAsia="Calibri" w:hAnsi="Calibri"/>
          <w:rtl w:val="0"/>
        </w:rPr>
        <w:t xml:space="preserve">Şa-Ra Enerji İnşaat </w:t>
      </w:r>
      <w:r w:rsidDel="00000000" w:rsidR="00000000" w:rsidRPr="00000000">
        <w:rPr>
          <w:rFonts w:ascii="Calibri" w:cs="Calibri" w:eastAsia="Calibri" w:hAnsi="Calibri"/>
          <w:b w:val="1"/>
          <w:bCs w:val="1"/>
          <w:rtl w:val="0"/>
        </w:rPr>
        <w:t xml:space="preserve">18-</w:t>
      </w:r>
      <w:r w:rsidDel="00000000" w:rsidR="00000000" w:rsidRPr="00000000">
        <w:rPr>
          <w:rFonts w:ascii="Calibri" w:cs="Calibri" w:eastAsia="Calibri" w:hAnsi="Calibri"/>
          <w:rtl w:val="0"/>
        </w:rPr>
        <w:t xml:space="preserve"> Bursa Çimento </w:t>
      </w:r>
      <w:r w:rsidDel="00000000" w:rsidR="00000000" w:rsidRPr="00000000">
        <w:rPr>
          <w:rFonts w:ascii="Calibri" w:cs="Calibri" w:eastAsia="Calibri" w:hAnsi="Calibri"/>
          <w:b w:val="1"/>
          <w:bCs w:val="1"/>
          <w:rtl w:val="0"/>
        </w:rPr>
        <w:t xml:space="preserve">19- </w:t>
      </w:r>
      <w:r w:rsidDel="00000000" w:rsidR="00000000" w:rsidRPr="00000000">
        <w:rPr>
          <w:rFonts w:ascii="Calibri" w:cs="Calibri" w:eastAsia="Calibri" w:hAnsi="Calibri"/>
          <w:rtl w:val="0"/>
        </w:rPr>
        <w:t xml:space="preserve">Çimko Çimento </w:t>
      </w:r>
      <w:r w:rsidDel="00000000" w:rsidR="00000000" w:rsidRPr="00000000">
        <w:rPr>
          <w:rFonts w:ascii="Calibri" w:cs="Calibri" w:eastAsia="Calibri" w:hAnsi="Calibri"/>
          <w:b w:val="1"/>
          <w:bCs w:val="1"/>
          <w:rtl w:val="0"/>
        </w:rPr>
        <w:t xml:space="preserve">20-</w:t>
      </w:r>
      <w:r w:rsidDel="00000000" w:rsidR="00000000" w:rsidRPr="00000000">
        <w:rPr>
          <w:rFonts w:ascii="Calibri" w:cs="Calibri" w:eastAsia="Calibri" w:hAnsi="Calibri"/>
          <w:rtl w:val="0"/>
        </w:rPr>
        <w:t xml:space="preserve"> Caba İnşaat </w:t>
      </w:r>
      <w:r w:rsidDel="00000000" w:rsidR="00000000" w:rsidRPr="00000000">
        <w:rPr>
          <w:rFonts w:ascii="Calibri" w:cs="Calibri" w:eastAsia="Calibri" w:hAnsi="Calibri"/>
          <w:b w:val="1"/>
          <w:bCs w:val="1"/>
          <w:rtl w:val="0"/>
        </w:rPr>
        <w:t xml:space="preserve">21-</w:t>
      </w:r>
      <w:r w:rsidDel="00000000" w:rsidR="00000000" w:rsidRPr="00000000">
        <w:rPr>
          <w:rFonts w:ascii="Calibri" w:cs="Calibri" w:eastAsia="Calibri" w:hAnsi="Calibri"/>
          <w:rtl w:val="0"/>
        </w:rPr>
        <w:t xml:space="preserve"> NEF</w:t>
      </w:r>
      <w:r w:rsidDel="00000000" w:rsidR="00000000" w:rsidRPr="00000000">
        <w:rPr>
          <w:rtl w:val="0"/>
        </w:rPr>
      </w:r>
    </w:p>
    <w:p w:rsidR="00000000" w:rsidDel="00000000" w:rsidP="00000000" w:rsidRDefault="00000000" w:rsidRPr="00000000" w14:paraId="00000122">
      <w:pPr>
        <w:rPr>
          <w:rFonts w:ascii="Calibri" w:cs="Calibri" w:eastAsia="Calibri" w:hAnsi="Calibri"/>
          <w:i w:val="1"/>
          <w:iCs w:val="1"/>
        </w:rPr>
      </w:pPr>
      <w:r w:rsidDel="00000000" w:rsidR="00000000" w:rsidRPr="00000000">
        <w:rPr>
          <w:rtl w:val="0"/>
        </w:rPr>
      </w:r>
    </w:p>
    <w:p w:rsidR="00000000" w:rsidDel="00000000" w:rsidP="00000000" w:rsidRDefault="00000000" w:rsidRPr="00000000" w14:paraId="00000123">
      <w:pPr>
        <w:rPr>
          <w:rFonts w:ascii="Calibri" w:cs="Calibri" w:eastAsia="Calibri" w:hAnsi="Calibri"/>
          <w:i w:val="1"/>
          <w:iCs w:val="1"/>
        </w:rPr>
      </w:pPr>
      <w:r w:rsidDel="00000000" w:rsidR="00000000" w:rsidRPr="00000000">
        <w:rPr>
          <w:rtl w:val="0"/>
        </w:rPr>
      </w:r>
    </w:p>
    <w:p w:rsidR="00000000" w:rsidDel="00000000" w:rsidP="00000000" w:rsidRDefault="00000000" w:rsidRPr="00000000" w14:paraId="00000124">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Production d’acier par pays et/ou régions, d’après Trading economics : </w:t>
      </w:r>
    </w:p>
    <w:p w:rsidR="00000000" w:rsidDel="00000000" w:rsidP="00000000" w:rsidRDefault="00000000" w:rsidRPr="00000000" w14:paraId="00000125">
      <w:pPr>
        <w:rPr/>
      </w:pPr>
      <w:r w:rsidDel="00000000" w:rsidR="00000000" w:rsidRPr="00000000">
        <w:rPr/>
        <w:drawing>
          <wp:inline distB="114300" distT="114300" distL="114300" distR="114300">
            <wp:extent cx="3005138" cy="2161449"/>
            <wp:effectExtent b="0" l="0" r="0" t="0"/>
            <wp:docPr id="1"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3005138" cy="2161449"/>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drawing>
          <wp:inline distB="114300" distT="114300" distL="114300" distR="114300">
            <wp:extent cx="5731200" cy="3378200"/>
            <wp:effectExtent b="0" l="0" r="0" t="0"/>
            <wp:docPr id="3"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57312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rPr/>
      </w:pPr>
      <w:r w:rsidDel="00000000" w:rsidR="00000000" w:rsidRPr="00000000">
        <w:rPr/>
        <w:drawing>
          <wp:inline distB="114300" distT="114300" distL="114300" distR="114300">
            <wp:extent cx="1776413" cy="2376393"/>
            <wp:effectExtent b="0" l="0" r="0" t="0"/>
            <wp:docPr id="2" name="image2.jpg"/>
            <a:graphic>
              <a:graphicData uri="http://schemas.openxmlformats.org/drawingml/2006/picture">
                <pic:pic>
                  <pic:nvPicPr>
                    <pic:cNvPr id="0" name="image2.jpg"/>
                    <pic:cNvPicPr preferRelativeResize="0"/>
                  </pic:nvPicPr>
                  <pic:blipFill>
                    <a:blip r:embed="rId33"/>
                    <a:srcRect b="0" l="0" r="0" t="0"/>
                    <a:stretch>
                      <a:fillRect/>
                    </a:stretch>
                  </pic:blipFill>
                  <pic:spPr>
                    <a:xfrm>
                      <a:off x="0" y="0"/>
                      <a:ext cx="1776413" cy="2376393"/>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rPr>
          <w:rFonts w:ascii="Calibri" w:cs="Calibri" w:eastAsia="Calibri" w:hAnsi="Calibri"/>
        </w:rPr>
      </w:pPr>
      <w:r w:rsidDel="00000000" w:rsidR="00000000" w:rsidRPr="00000000">
        <w:rPr>
          <w:rtl w:val="0"/>
        </w:rPr>
      </w:r>
    </w:p>
    <w:p w:rsidR="00000000" w:rsidDel="00000000" w:rsidP="00000000" w:rsidRDefault="00000000" w:rsidRPr="00000000" w14:paraId="0000012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Types de produits” (Presto / Delabie) à croiser avec l’inox en Turquie (3,06 Md$) : </w:t>
      </w:r>
    </w:p>
    <w:p w:rsidR="00000000" w:rsidDel="00000000" w:rsidP="00000000" w:rsidRDefault="00000000" w:rsidRPr="00000000" w14:paraId="0000012B">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2C">
      <w:pPr>
        <w:rPr>
          <w:rFonts w:ascii="Calibri" w:cs="Calibri" w:eastAsia="Calibri" w:hAnsi="Calibri"/>
        </w:rPr>
      </w:pPr>
      <w:r w:rsidDel="00000000" w:rsidR="00000000" w:rsidRPr="00000000">
        <w:rPr>
          <w:rFonts w:ascii="Calibri" w:cs="Calibri" w:eastAsia="Calibri" w:hAnsi="Calibri"/>
          <w:rtl w:val="0"/>
        </w:rPr>
        <w:t xml:space="preserve">Presto (exemples représentatifs)</w:t>
      </w:r>
    </w:p>
    <w:p w:rsidR="00000000" w:rsidDel="00000000" w:rsidP="00000000" w:rsidRDefault="00000000" w:rsidRPr="00000000" w14:paraId="0000012D">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Robinet temporisé lavabo </w:t>
      </w:r>
    </w:p>
    <w:p w:rsidR="00000000" w:rsidDel="00000000" w:rsidP="00000000" w:rsidRDefault="00000000" w:rsidRPr="00000000" w14:paraId="0000012E">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Urinoirs : robinetterie d’urinoir </w:t>
      </w:r>
    </w:p>
    <w:p w:rsidR="00000000" w:rsidDel="00000000" w:rsidP="00000000" w:rsidRDefault="00000000" w:rsidRPr="00000000" w14:paraId="0000012F">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Chasse directe WC : robinet de chasse </w:t>
      </w:r>
    </w:p>
    <w:p w:rsidR="00000000" w:rsidDel="00000000" w:rsidP="00000000" w:rsidRDefault="00000000" w:rsidRPr="00000000" w14:paraId="00000130">
      <w:pPr>
        <w:numPr>
          <w:ilvl w:val="0"/>
          <w:numId w:val="7"/>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Douches collectivité : panneaux/mitigeurs temporisés </w:t>
      </w:r>
    </w:p>
    <w:p w:rsidR="00000000" w:rsidDel="00000000" w:rsidP="00000000" w:rsidRDefault="00000000" w:rsidRPr="00000000" w14:paraId="00000131">
      <w:pPr>
        <w:rPr>
          <w:rFonts w:ascii="Calibri" w:cs="Calibri" w:eastAsia="Calibri" w:hAnsi="Calibri"/>
        </w:rPr>
      </w:pPr>
      <w:r w:rsidDel="00000000" w:rsidR="00000000" w:rsidRPr="00000000">
        <w:rPr>
          <w:rFonts w:ascii="Calibri" w:cs="Calibri" w:eastAsia="Calibri" w:hAnsi="Calibri"/>
          <w:rtl w:val="0"/>
        </w:rPr>
        <w:t xml:space="preserve">Delabie (exemples représentatifs)</w:t>
      </w:r>
    </w:p>
    <w:p w:rsidR="00000000" w:rsidDel="00000000" w:rsidP="00000000" w:rsidRDefault="00000000" w:rsidRPr="00000000" w14:paraId="00000132">
      <w:pPr>
        <w:numPr>
          <w:ilvl w:val="0"/>
          <w:numId w:val="2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Robinetterie douche temporisée avec plaques/rosaces inox </w:t>
      </w:r>
    </w:p>
    <w:p w:rsidR="00000000" w:rsidDel="00000000" w:rsidP="00000000" w:rsidRDefault="00000000" w:rsidRPr="00000000" w14:paraId="00000133">
      <w:pPr>
        <w:numPr>
          <w:ilvl w:val="0"/>
          <w:numId w:val="2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Chasse directe sans réservoir avec plaques inox </w:t>
      </w:r>
    </w:p>
    <w:p w:rsidR="00000000" w:rsidDel="00000000" w:rsidP="00000000" w:rsidRDefault="00000000" w:rsidRPr="00000000" w14:paraId="00000134">
      <w:pPr>
        <w:numPr>
          <w:ilvl w:val="0"/>
          <w:numId w:val="25"/>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Sanitaires en inox (massif) : lavabos, WC, urinoirs, receveurs, antivandalisme.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rFonts w:ascii="Calibri" w:cs="Calibri" w:eastAsia="Calibri" w:hAnsi="Calibri"/>
        </w:rPr>
      </w:pPr>
      <w:r w:rsidDel="00000000" w:rsidR="00000000" w:rsidRPr="00000000">
        <w:rPr>
          <w:rFonts w:ascii="Calibri" w:cs="Calibri" w:eastAsia="Calibri" w:hAnsi="Calibri"/>
          <w:rtl w:val="0"/>
        </w:rPr>
        <w:t xml:space="preserve">Résultat global (ordre de grandeur) de la part des produits type “Presto/Delabie” dans l’inox en Turquie (3,06 Md$) : </w:t>
      </w:r>
    </w:p>
    <w:p w:rsidR="00000000" w:rsidDel="00000000" w:rsidP="00000000" w:rsidRDefault="00000000" w:rsidRPr="00000000" w14:paraId="00000137">
      <w:pPr>
        <w:numPr>
          <w:ilvl w:val="0"/>
          <w:numId w:val="2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Central : 0,8% du marché inox Turquie → 24 M$</w:t>
      </w:r>
    </w:p>
    <w:p w:rsidR="00000000" w:rsidDel="00000000" w:rsidP="00000000" w:rsidRDefault="00000000" w:rsidRPr="00000000" w14:paraId="00000138">
      <w:pPr>
        <w:numPr>
          <w:ilvl w:val="0"/>
          <w:numId w:val="2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Fourchette prudente : 0,4% à 1,4% → 12 M$ à 43 M$</w:t>
      </w:r>
    </w:p>
    <w:p w:rsidR="00000000" w:rsidDel="00000000" w:rsidP="00000000" w:rsidRDefault="00000000" w:rsidRPr="00000000" w14:paraId="00000139">
      <w:pPr>
        <w:rPr>
          <w:rFonts w:ascii="Calibri" w:cs="Calibri" w:eastAsia="Calibri" w:hAnsi="Calibri"/>
        </w:rPr>
      </w:pPr>
      <w:r w:rsidDel="00000000" w:rsidR="00000000" w:rsidRPr="00000000">
        <w:rPr>
          <w:rtl w:val="0"/>
        </w:rPr>
      </w:r>
    </w:p>
    <w:p w:rsidR="00000000" w:rsidDel="00000000" w:rsidP="00000000" w:rsidRDefault="00000000" w:rsidRPr="00000000" w14:paraId="0000013A">
      <w:pPr>
        <w:rPr>
          <w:rFonts w:ascii="Calibri" w:cs="Calibri" w:eastAsia="Calibri" w:hAnsi="Calibri"/>
          <w:u w:val="single"/>
        </w:rPr>
      </w:pPr>
      <w:r w:rsidDel="00000000" w:rsidR="00000000" w:rsidRPr="00000000">
        <w:rPr>
          <w:rFonts w:ascii="Calibri" w:cs="Calibri" w:eastAsia="Calibri" w:hAnsi="Calibri"/>
          <w:u w:val="single"/>
          <w:rtl w:val="0"/>
        </w:rPr>
        <w:t xml:space="preserve">Décomposition estimative par sous-secteurs (2024) - Turquie inox (Total = 3,06 Md$) : </w:t>
      </w:r>
    </w:p>
    <w:p w:rsidR="00000000" w:rsidDel="00000000" w:rsidP="00000000" w:rsidRDefault="00000000" w:rsidRPr="00000000" w14:paraId="0000013B">
      <w:pPr>
        <w:rPr>
          <w:rFonts w:ascii="Calibri" w:cs="Calibri" w:eastAsia="Calibri" w:hAnsi="Calibri"/>
        </w:rPr>
      </w:pPr>
      <w:r w:rsidDel="00000000" w:rsidR="00000000" w:rsidRPr="00000000">
        <w:rPr>
          <w:rtl w:val="0"/>
        </w:rPr>
      </w:r>
    </w:p>
    <w:tbl>
      <w:tblPr>
        <w:tblStyle w:val="Table1"/>
        <w:tblpPr w:leftFromText="180" w:rightFromText="180" w:topFromText="180" w:bottomFromText="180" w:vertAnchor="text" w:horzAnchor="text" w:tblpX="15" w:tblpY="6.6357421875"/>
        <w:tblW w:w="4770.0" w:type="dxa"/>
        <w:jc w:val="left"/>
        <w:tblLayout w:type="fixed"/>
        <w:tblLook w:val="0600"/>
      </w:tblPr>
      <w:tblGrid>
        <w:gridCol w:w="2525"/>
        <w:gridCol w:w="980"/>
        <w:gridCol w:w="1265"/>
        <w:tblGridChange w:id="0">
          <w:tblGrid>
            <w:gridCol w:w="2525"/>
            <w:gridCol w:w="980"/>
            <w:gridCol w:w="1265"/>
          </w:tblGrid>
        </w:tblGridChange>
      </w:tblGrid>
      <w:tr>
        <w:trPr>
          <w:cantSplit w:val="0"/>
          <w:trHeight w:val="500" w:hRule="atLeast"/>
          <w:tblHeader w:val="0"/>
        </w:trPr>
        <w:tc>
          <w:tcPr/>
          <w:p w:rsidR="00000000" w:rsidDel="00000000" w:rsidP="00000000" w:rsidRDefault="00000000" w:rsidRPr="00000000" w14:paraId="0000013C">
            <w:pPr>
              <w:spacing w:line="240" w:lineRule="auto"/>
              <w:rPr>
                <w:rFonts w:ascii="Calibri" w:cs="Calibri" w:eastAsia="Calibri" w:hAnsi="Calibri"/>
              </w:rPr>
            </w:pPr>
            <w:r w:rsidDel="00000000" w:rsidR="00000000" w:rsidRPr="00000000">
              <w:rPr>
                <w:rFonts w:ascii="Calibri" w:cs="Calibri" w:eastAsia="Calibri" w:hAnsi="Calibri"/>
                <w:rtl w:val="0"/>
              </w:rPr>
              <w:t xml:space="preserve">Sous-secteur (end-use)</w:t>
            </w:r>
          </w:p>
        </w:tc>
        <w:tc>
          <w:tcPr/>
          <w:p w:rsidR="00000000" w:rsidDel="00000000" w:rsidP="00000000" w:rsidRDefault="00000000" w:rsidRPr="00000000" w14:paraId="0000013D">
            <w:pPr>
              <w:spacing w:line="240" w:lineRule="auto"/>
              <w:rPr>
                <w:rFonts w:ascii="Calibri" w:cs="Calibri" w:eastAsia="Calibri" w:hAnsi="Calibri"/>
              </w:rPr>
            </w:pPr>
            <w:r w:rsidDel="00000000" w:rsidR="00000000" w:rsidRPr="00000000">
              <w:rPr>
                <w:rFonts w:ascii="Calibri" w:cs="Calibri" w:eastAsia="Calibri" w:hAnsi="Calibri"/>
                <w:rtl w:val="0"/>
              </w:rPr>
              <w:t xml:space="preserve">Part %</w:t>
            </w:r>
          </w:p>
        </w:tc>
        <w:tc>
          <w:tcPr/>
          <w:p w:rsidR="00000000" w:rsidDel="00000000" w:rsidP="00000000" w:rsidRDefault="00000000" w:rsidRPr="00000000" w14:paraId="0000013E">
            <w:pPr>
              <w:spacing w:line="240" w:lineRule="auto"/>
              <w:rPr>
                <w:rFonts w:ascii="Calibri" w:cs="Calibri" w:eastAsia="Calibri" w:hAnsi="Calibri"/>
              </w:rPr>
            </w:pPr>
            <w:r w:rsidDel="00000000" w:rsidR="00000000" w:rsidRPr="00000000">
              <w:rPr>
                <w:rFonts w:ascii="Calibri" w:cs="Calibri" w:eastAsia="Calibri" w:hAnsi="Calibri"/>
                <w:rtl w:val="0"/>
              </w:rPr>
              <w:t xml:space="preserve">Valeur (≈)</w:t>
            </w:r>
          </w:p>
        </w:tc>
      </w:tr>
    </w:tbl>
    <w:p w:rsidR="00000000" w:rsidDel="00000000" w:rsidP="00000000" w:rsidRDefault="00000000" w:rsidRPr="00000000" w14:paraId="0000013F">
      <w:pPr>
        <w:rPr>
          <w:rFonts w:ascii="Calibri" w:cs="Calibri" w:eastAsia="Calibri" w:hAnsi="Calibri"/>
        </w:rPr>
      </w:pPr>
      <w:r w:rsidDel="00000000" w:rsidR="00000000" w:rsidRPr="00000000">
        <w:rPr>
          <w:rtl w:val="0"/>
        </w:rPr>
      </w:r>
    </w:p>
    <w:tbl>
      <w:tblPr>
        <w:tblStyle w:val="Table2"/>
        <w:tblW w:w="4995.0" w:type="dxa"/>
        <w:jc w:val="left"/>
        <w:tblLayout w:type="fixed"/>
        <w:tblLook w:val="0600"/>
      </w:tblPr>
      <w:tblGrid>
        <w:gridCol w:w="3290"/>
        <w:gridCol w:w="710"/>
        <w:gridCol w:w="995"/>
        <w:tblGridChange w:id="0">
          <w:tblGrid>
            <w:gridCol w:w="3290"/>
            <w:gridCol w:w="710"/>
            <w:gridCol w:w="995"/>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0">
            <w:pPr>
              <w:spacing w:line="240" w:lineRule="auto"/>
              <w:rPr>
                <w:rFonts w:ascii="Calibri" w:cs="Calibri" w:eastAsia="Calibri" w:hAnsi="Calibri"/>
              </w:rPr>
            </w:pPr>
            <w:r w:rsidDel="00000000" w:rsidR="00000000" w:rsidRPr="00000000">
              <w:rPr>
                <w:rFonts w:ascii="Calibri" w:cs="Calibri" w:eastAsia="Calibri" w:hAnsi="Calibri"/>
                <w:rtl w:val="0"/>
              </w:rPr>
              <w:t xml:space="preserve">Électroménager (white goods)</w:t>
            </w:r>
          </w:p>
        </w:tc>
        <w:tc>
          <w:tcPr>
            <w:tcMar>
              <w:top w:w="100.0" w:type="dxa"/>
              <w:left w:w="100.0" w:type="dxa"/>
              <w:bottom w:w="100.0" w:type="dxa"/>
              <w:right w:w="100.0" w:type="dxa"/>
            </w:tcMar>
            <w:vAlign w:val="top"/>
          </w:tcPr>
          <w:p w:rsidR="00000000" w:rsidDel="00000000" w:rsidP="00000000" w:rsidRDefault="00000000" w:rsidRPr="00000000" w14:paraId="00000141">
            <w:pPr>
              <w:spacing w:line="240" w:lineRule="auto"/>
              <w:rPr>
                <w:rFonts w:ascii="Calibri" w:cs="Calibri" w:eastAsia="Calibri" w:hAnsi="Calibri"/>
              </w:rPr>
            </w:pPr>
            <w:r w:rsidDel="00000000" w:rsidR="00000000" w:rsidRPr="00000000">
              <w:rPr>
                <w:rFonts w:ascii="Calibri" w:cs="Calibri" w:eastAsia="Calibri" w:hAnsi="Calibri"/>
                <w:rtl w:val="0"/>
              </w:rPr>
              <w:t xml:space="preserve">25%</w:t>
            </w:r>
          </w:p>
        </w:tc>
        <w:tc>
          <w:tcPr>
            <w:tcMar>
              <w:top w:w="100.0" w:type="dxa"/>
              <w:left w:w="100.0" w:type="dxa"/>
              <w:bottom w:w="100.0" w:type="dxa"/>
              <w:right w:w="100.0" w:type="dxa"/>
            </w:tcMar>
            <w:vAlign w:val="top"/>
          </w:tcPr>
          <w:p w:rsidR="00000000" w:rsidDel="00000000" w:rsidP="00000000" w:rsidRDefault="00000000" w:rsidRPr="00000000" w14:paraId="00000142">
            <w:pPr>
              <w:spacing w:line="240" w:lineRule="auto"/>
              <w:rPr>
                <w:rFonts w:ascii="Calibri" w:cs="Calibri" w:eastAsia="Calibri" w:hAnsi="Calibri"/>
              </w:rPr>
            </w:pPr>
            <w:r w:rsidDel="00000000" w:rsidR="00000000" w:rsidRPr="00000000">
              <w:rPr>
                <w:rFonts w:ascii="Calibri" w:cs="Calibri" w:eastAsia="Calibri" w:hAnsi="Calibri"/>
                <w:rtl w:val="0"/>
              </w:rPr>
              <w:t xml:space="preserve">765 M$</w:t>
            </w:r>
          </w:p>
        </w:tc>
      </w:tr>
    </w:tbl>
    <w:p w:rsidR="00000000" w:rsidDel="00000000" w:rsidP="00000000" w:rsidRDefault="00000000" w:rsidRPr="00000000" w14:paraId="00000143">
      <w:pPr>
        <w:rPr>
          <w:rFonts w:ascii="Calibri" w:cs="Calibri" w:eastAsia="Calibri" w:hAnsi="Calibri"/>
        </w:rPr>
      </w:pPr>
      <w:r w:rsidDel="00000000" w:rsidR="00000000" w:rsidRPr="00000000">
        <w:rPr>
          <w:rtl w:val="0"/>
        </w:rPr>
      </w:r>
    </w:p>
    <w:tbl>
      <w:tblPr>
        <w:tblStyle w:val="Table3"/>
        <w:tblW w:w="5385.0" w:type="dxa"/>
        <w:jc w:val="left"/>
        <w:tblLayout w:type="fixed"/>
        <w:tblLook w:val="0600"/>
      </w:tblPr>
      <w:tblGrid>
        <w:gridCol w:w="3740"/>
        <w:gridCol w:w="665"/>
        <w:gridCol w:w="980"/>
        <w:tblGridChange w:id="0">
          <w:tblGrid>
            <w:gridCol w:w="3740"/>
            <w:gridCol w:w="665"/>
            <w:gridCol w:w="98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4">
            <w:pPr>
              <w:spacing w:line="240" w:lineRule="auto"/>
              <w:rPr>
                <w:rFonts w:ascii="Calibri" w:cs="Calibri" w:eastAsia="Calibri" w:hAnsi="Calibri"/>
              </w:rPr>
            </w:pPr>
            <w:r w:rsidDel="00000000" w:rsidR="00000000" w:rsidRPr="00000000">
              <w:rPr>
                <w:rFonts w:ascii="Calibri" w:cs="Calibri" w:eastAsia="Calibri" w:hAnsi="Calibri"/>
                <w:rtl w:val="0"/>
              </w:rPr>
              <w:t xml:space="preserve">Machines &amp; équipements industriels</w:t>
            </w:r>
          </w:p>
        </w:tc>
        <w:tc>
          <w:tcPr>
            <w:tcMar>
              <w:top w:w="100.0" w:type="dxa"/>
              <w:left w:w="100.0" w:type="dxa"/>
              <w:bottom w:w="100.0" w:type="dxa"/>
              <w:right w:w="100.0" w:type="dxa"/>
            </w:tcMar>
            <w:vAlign w:val="top"/>
          </w:tcPr>
          <w:p w:rsidR="00000000" w:rsidDel="00000000" w:rsidP="00000000" w:rsidRDefault="00000000" w:rsidRPr="00000000" w14:paraId="00000145">
            <w:pPr>
              <w:spacing w:line="240" w:lineRule="auto"/>
              <w:rPr>
                <w:rFonts w:ascii="Calibri" w:cs="Calibri" w:eastAsia="Calibri" w:hAnsi="Calibri"/>
              </w:rPr>
            </w:pPr>
            <w:r w:rsidDel="00000000" w:rsidR="00000000" w:rsidRPr="00000000">
              <w:rPr>
                <w:rFonts w:ascii="Calibri" w:cs="Calibri" w:eastAsia="Calibri" w:hAnsi="Calibri"/>
                <w:rtl w:val="0"/>
              </w:rPr>
              <w:t xml:space="preserve">18%</w:t>
            </w:r>
          </w:p>
        </w:tc>
        <w:tc>
          <w:tcPr>
            <w:tcMar>
              <w:top w:w="100.0" w:type="dxa"/>
              <w:left w:w="100.0" w:type="dxa"/>
              <w:bottom w:w="100.0" w:type="dxa"/>
              <w:right w:w="100.0" w:type="dxa"/>
            </w:tcMar>
            <w:vAlign w:val="top"/>
          </w:tcPr>
          <w:p w:rsidR="00000000" w:rsidDel="00000000" w:rsidP="00000000" w:rsidRDefault="00000000" w:rsidRPr="00000000" w14:paraId="00000146">
            <w:pPr>
              <w:spacing w:line="240" w:lineRule="auto"/>
              <w:rPr>
                <w:rFonts w:ascii="Calibri" w:cs="Calibri" w:eastAsia="Calibri" w:hAnsi="Calibri"/>
              </w:rPr>
            </w:pPr>
            <w:r w:rsidDel="00000000" w:rsidR="00000000" w:rsidRPr="00000000">
              <w:rPr>
                <w:rFonts w:ascii="Calibri" w:cs="Calibri" w:eastAsia="Calibri" w:hAnsi="Calibri"/>
                <w:rtl w:val="0"/>
              </w:rPr>
              <w:t xml:space="preserve">551 M$</w:t>
            </w:r>
          </w:p>
        </w:tc>
      </w:tr>
    </w:tbl>
    <w:p w:rsidR="00000000" w:rsidDel="00000000" w:rsidP="00000000" w:rsidRDefault="00000000" w:rsidRPr="00000000" w14:paraId="00000147">
      <w:pPr>
        <w:rPr>
          <w:rFonts w:ascii="Calibri" w:cs="Calibri" w:eastAsia="Calibri" w:hAnsi="Calibri"/>
        </w:rPr>
      </w:pPr>
      <w:r w:rsidDel="00000000" w:rsidR="00000000" w:rsidRPr="00000000">
        <w:rPr>
          <w:rtl w:val="0"/>
        </w:rPr>
      </w:r>
    </w:p>
    <w:tbl>
      <w:tblPr>
        <w:tblStyle w:val="Table4"/>
        <w:tblW w:w="5970.0" w:type="dxa"/>
        <w:jc w:val="left"/>
        <w:tblLayout w:type="fixed"/>
        <w:tblLook w:val="0600"/>
      </w:tblPr>
      <w:tblGrid>
        <w:gridCol w:w="4325"/>
        <w:gridCol w:w="665"/>
        <w:gridCol w:w="980"/>
        <w:tblGridChange w:id="0">
          <w:tblGrid>
            <w:gridCol w:w="4325"/>
            <w:gridCol w:w="665"/>
            <w:gridCol w:w="98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8">
            <w:pPr>
              <w:spacing w:line="240" w:lineRule="auto"/>
              <w:rPr>
                <w:rFonts w:ascii="Calibri" w:cs="Calibri" w:eastAsia="Calibri" w:hAnsi="Calibri"/>
              </w:rPr>
            </w:pPr>
            <w:r w:rsidDel="00000000" w:rsidR="00000000" w:rsidRPr="00000000">
              <w:rPr>
                <w:rFonts w:ascii="Calibri" w:cs="Calibri" w:eastAsia="Calibri" w:hAnsi="Calibri"/>
                <w:rtl w:val="0"/>
              </w:rPr>
              <w:t xml:space="preserve">Bâtiment &amp; infrastructure (hors sanitaire)</w:t>
            </w:r>
          </w:p>
        </w:tc>
        <w:tc>
          <w:tcPr>
            <w:tcMar>
              <w:top w:w="100.0" w:type="dxa"/>
              <w:left w:w="100.0" w:type="dxa"/>
              <w:bottom w:w="100.0" w:type="dxa"/>
              <w:right w:w="100.0" w:type="dxa"/>
            </w:tcMar>
            <w:vAlign w:val="top"/>
          </w:tcPr>
          <w:p w:rsidR="00000000" w:rsidDel="00000000" w:rsidP="00000000" w:rsidRDefault="00000000" w:rsidRPr="00000000" w14:paraId="00000149">
            <w:pPr>
              <w:spacing w:line="240" w:lineRule="auto"/>
              <w:rPr>
                <w:rFonts w:ascii="Calibri" w:cs="Calibri" w:eastAsia="Calibri" w:hAnsi="Calibri"/>
              </w:rPr>
            </w:pPr>
            <w:r w:rsidDel="00000000" w:rsidR="00000000" w:rsidRPr="00000000">
              <w:rPr>
                <w:rFonts w:ascii="Calibri" w:cs="Calibri" w:eastAsia="Calibri" w:hAnsi="Calibri"/>
                <w:rtl w:val="0"/>
              </w:rPr>
              <w:t xml:space="preserve">16%</w:t>
            </w:r>
          </w:p>
        </w:tc>
        <w:tc>
          <w:tcPr>
            <w:tcMar>
              <w:top w:w="100.0" w:type="dxa"/>
              <w:left w:w="100.0" w:type="dxa"/>
              <w:bottom w:w="100.0" w:type="dxa"/>
              <w:right w:w="100.0" w:type="dxa"/>
            </w:tcMar>
            <w:vAlign w:val="top"/>
          </w:tcPr>
          <w:p w:rsidR="00000000" w:rsidDel="00000000" w:rsidP="00000000" w:rsidRDefault="00000000" w:rsidRPr="00000000" w14:paraId="0000014A">
            <w:pPr>
              <w:spacing w:line="240" w:lineRule="auto"/>
              <w:rPr>
                <w:rFonts w:ascii="Calibri" w:cs="Calibri" w:eastAsia="Calibri" w:hAnsi="Calibri"/>
              </w:rPr>
            </w:pPr>
            <w:r w:rsidDel="00000000" w:rsidR="00000000" w:rsidRPr="00000000">
              <w:rPr>
                <w:rFonts w:ascii="Calibri" w:cs="Calibri" w:eastAsia="Calibri" w:hAnsi="Calibri"/>
                <w:rtl w:val="0"/>
              </w:rPr>
              <w:t xml:space="preserve">490 M$</w:t>
            </w:r>
          </w:p>
        </w:tc>
      </w:tr>
    </w:tbl>
    <w:p w:rsidR="00000000" w:rsidDel="00000000" w:rsidP="00000000" w:rsidRDefault="00000000" w:rsidRPr="00000000" w14:paraId="0000014B">
      <w:pPr>
        <w:rPr>
          <w:rFonts w:ascii="Calibri" w:cs="Calibri" w:eastAsia="Calibri" w:hAnsi="Calibri"/>
        </w:rPr>
      </w:pPr>
      <w:r w:rsidDel="00000000" w:rsidR="00000000" w:rsidRPr="00000000">
        <w:rPr>
          <w:rtl w:val="0"/>
        </w:rPr>
      </w:r>
    </w:p>
    <w:tbl>
      <w:tblPr>
        <w:tblStyle w:val="Table5"/>
        <w:tblW w:w="4185.0" w:type="dxa"/>
        <w:jc w:val="left"/>
        <w:tblLayout w:type="fixed"/>
        <w:tblLook w:val="0600"/>
      </w:tblPr>
      <w:tblGrid>
        <w:gridCol w:w="2540"/>
        <w:gridCol w:w="665"/>
        <w:gridCol w:w="980"/>
        <w:tblGridChange w:id="0">
          <w:tblGrid>
            <w:gridCol w:w="2540"/>
            <w:gridCol w:w="665"/>
            <w:gridCol w:w="98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C">
            <w:pPr>
              <w:spacing w:line="240" w:lineRule="auto"/>
              <w:rPr>
                <w:rFonts w:ascii="Calibri" w:cs="Calibri" w:eastAsia="Calibri" w:hAnsi="Calibri"/>
              </w:rPr>
            </w:pPr>
            <w:r w:rsidDel="00000000" w:rsidR="00000000" w:rsidRPr="00000000">
              <w:rPr>
                <w:rFonts w:ascii="Calibri" w:cs="Calibri" w:eastAsia="Calibri" w:hAnsi="Calibri"/>
                <w:rtl w:val="0"/>
              </w:rPr>
              <w:t xml:space="preserve">Automobile &amp; transport</w:t>
            </w:r>
          </w:p>
        </w:tc>
        <w:tc>
          <w:tcPr>
            <w:tcMar>
              <w:top w:w="100.0" w:type="dxa"/>
              <w:left w:w="100.0" w:type="dxa"/>
              <w:bottom w:w="100.0" w:type="dxa"/>
              <w:right w:w="100.0" w:type="dxa"/>
            </w:tcMar>
            <w:vAlign w:val="top"/>
          </w:tcPr>
          <w:p w:rsidR="00000000" w:rsidDel="00000000" w:rsidP="00000000" w:rsidRDefault="00000000" w:rsidRPr="00000000" w14:paraId="0000014D">
            <w:pPr>
              <w:spacing w:line="240" w:lineRule="auto"/>
              <w:rPr>
                <w:rFonts w:ascii="Calibri" w:cs="Calibri" w:eastAsia="Calibri" w:hAnsi="Calibri"/>
              </w:rPr>
            </w:pPr>
            <w:r w:rsidDel="00000000" w:rsidR="00000000" w:rsidRPr="00000000">
              <w:rPr>
                <w:rFonts w:ascii="Calibri" w:cs="Calibri" w:eastAsia="Calibri" w:hAnsi="Calibri"/>
                <w:rtl w:val="0"/>
              </w:rPr>
              <w:t xml:space="preserve">12%</w:t>
            </w:r>
          </w:p>
        </w:tc>
        <w:tc>
          <w:tcPr>
            <w:tcMar>
              <w:top w:w="100.0" w:type="dxa"/>
              <w:left w:w="100.0" w:type="dxa"/>
              <w:bottom w:w="100.0" w:type="dxa"/>
              <w:right w:w="100.0" w:type="dxa"/>
            </w:tcMar>
            <w:vAlign w:val="top"/>
          </w:tcPr>
          <w:p w:rsidR="00000000" w:rsidDel="00000000" w:rsidP="00000000" w:rsidRDefault="00000000" w:rsidRPr="00000000" w14:paraId="0000014E">
            <w:pPr>
              <w:spacing w:line="240" w:lineRule="auto"/>
              <w:rPr>
                <w:rFonts w:ascii="Calibri" w:cs="Calibri" w:eastAsia="Calibri" w:hAnsi="Calibri"/>
              </w:rPr>
            </w:pPr>
            <w:r w:rsidDel="00000000" w:rsidR="00000000" w:rsidRPr="00000000">
              <w:rPr>
                <w:rFonts w:ascii="Calibri" w:cs="Calibri" w:eastAsia="Calibri" w:hAnsi="Calibri"/>
                <w:rtl w:val="0"/>
              </w:rPr>
              <w:t xml:space="preserve">367 M$</w:t>
            </w:r>
          </w:p>
        </w:tc>
      </w:tr>
    </w:tbl>
    <w:p w:rsidR="00000000" w:rsidDel="00000000" w:rsidP="00000000" w:rsidRDefault="00000000" w:rsidRPr="00000000" w14:paraId="0000014F">
      <w:pPr>
        <w:rPr>
          <w:rFonts w:ascii="Calibri" w:cs="Calibri" w:eastAsia="Calibri" w:hAnsi="Calibri"/>
        </w:rPr>
      </w:pPr>
      <w:r w:rsidDel="00000000" w:rsidR="00000000" w:rsidRPr="00000000">
        <w:rPr>
          <w:rtl w:val="0"/>
        </w:rPr>
      </w:r>
    </w:p>
    <w:tbl>
      <w:tblPr>
        <w:tblStyle w:val="Table6"/>
        <w:tblW w:w="4785.0" w:type="dxa"/>
        <w:jc w:val="left"/>
        <w:tblLayout w:type="fixed"/>
        <w:tblLook w:val="0600"/>
      </w:tblPr>
      <w:tblGrid>
        <w:gridCol w:w="3140"/>
        <w:gridCol w:w="665"/>
        <w:gridCol w:w="980"/>
        <w:tblGridChange w:id="0">
          <w:tblGrid>
            <w:gridCol w:w="3140"/>
            <w:gridCol w:w="665"/>
            <w:gridCol w:w="98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50">
            <w:pPr>
              <w:spacing w:line="240" w:lineRule="auto"/>
              <w:rPr>
                <w:rFonts w:ascii="Calibri" w:cs="Calibri" w:eastAsia="Calibri" w:hAnsi="Calibri"/>
              </w:rPr>
            </w:pPr>
            <w:r w:rsidDel="00000000" w:rsidR="00000000" w:rsidRPr="00000000">
              <w:rPr>
                <w:rFonts w:ascii="Calibri" w:cs="Calibri" w:eastAsia="Calibri" w:hAnsi="Calibri"/>
                <w:rtl w:val="0"/>
              </w:rPr>
              <w:t xml:space="preserve">Énergie / pétrochimie / chimie</w:t>
            </w:r>
          </w:p>
        </w:tc>
        <w:tc>
          <w:tcPr>
            <w:tcMar>
              <w:top w:w="100.0" w:type="dxa"/>
              <w:left w:w="100.0" w:type="dxa"/>
              <w:bottom w:w="100.0" w:type="dxa"/>
              <w:right w:w="100.0" w:type="dxa"/>
            </w:tcMar>
            <w:vAlign w:val="top"/>
          </w:tcPr>
          <w:p w:rsidR="00000000" w:rsidDel="00000000" w:rsidP="00000000" w:rsidRDefault="00000000" w:rsidRPr="00000000" w14:paraId="00000151">
            <w:pPr>
              <w:spacing w:line="240" w:lineRule="auto"/>
              <w:rPr>
                <w:rFonts w:ascii="Calibri" w:cs="Calibri" w:eastAsia="Calibri" w:hAnsi="Calibri"/>
              </w:rPr>
            </w:pPr>
            <w:r w:rsidDel="00000000" w:rsidR="00000000" w:rsidRPr="00000000">
              <w:rPr>
                <w:rFonts w:ascii="Calibri" w:cs="Calibri" w:eastAsia="Calibri" w:hAnsi="Calibri"/>
                <w:rtl w:val="0"/>
              </w:rPr>
              <w:t xml:space="preserve">10%</w:t>
            </w:r>
          </w:p>
        </w:tc>
        <w:tc>
          <w:tcPr>
            <w:tcMar>
              <w:top w:w="100.0" w:type="dxa"/>
              <w:left w:w="100.0" w:type="dxa"/>
              <w:bottom w:w="100.0" w:type="dxa"/>
              <w:right w:w="100.0" w:type="dxa"/>
            </w:tcMar>
            <w:vAlign w:val="top"/>
          </w:tcPr>
          <w:p w:rsidR="00000000" w:rsidDel="00000000" w:rsidP="00000000" w:rsidRDefault="00000000" w:rsidRPr="00000000" w14:paraId="00000152">
            <w:pPr>
              <w:spacing w:line="240" w:lineRule="auto"/>
              <w:rPr>
                <w:rFonts w:ascii="Calibri" w:cs="Calibri" w:eastAsia="Calibri" w:hAnsi="Calibri"/>
              </w:rPr>
            </w:pPr>
            <w:r w:rsidDel="00000000" w:rsidR="00000000" w:rsidRPr="00000000">
              <w:rPr>
                <w:rFonts w:ascii="Calibri" w:cs="Calibri" w:eastAsia="Calibri" w:hAnsi="Calibri"/>
                <w:rtl w:val="0"/>
              </w:rPr>
              <w:t xml:space="preserve">306 M$</w:t>
            </w:r>
          </w:p>
        </w:tc>
      </w:tr>
    </w:tbl>
    <w:p w:rsidR="00000000" w:rsidDel="00000000" w:rsidP="00000000" w:rsidRDefault="00000000" w:rsidRPr="00000000" w14:paraId="00000153">
      <w:pPr>
        <w:rPr>
          <w:rFonts w:ascii="Calibri" w:cs="Calibri" w:eastAsia="Calibri" w:hAnsi="Calibri"/>
        </w:rPr>
      </w:pPr>
      <w:r w:rsidDel="00000000" w:rsidR="00000000" w:rsidRPr="00000000">
        <w:rPr>
          <w:rtl w:val="0"/>
        </w:rPr>
      </w:r>
    </w:p>
    <w:tbl>
      <w:tblPr>
        <w:tblStyle w:val="Table7"/>
        <w:tblW w:w="4725.0" w:type="dxa"/>
        <w:jc w:val="left"/>
        <w:tblLayout w:type="fixed"/>
        <w:tblLook w:val="0600"/>
      </w:tblPr>
      <w:tblGrid>
        <w:gridCol w:w="3140"/>
        <w:gridCol w:w="590"/>
        <w:gridCol w:w="995"/>
        <w:tblGridChange w:id="0">
          <w:tblGrid>
            <w:gridCol w:w="3140"/>
            <w:gridCol w:w="590"/>
            <w:gridCol w:w="995"/>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54">
            <w:pPr>
              <w:spacing w:line="240" w:lineRule="auto"/>
              <w:rPr>
                <w:rFonts w:ascii="Calibri" w:cs="Calibri" w:eastAsia="Calibri" w:hAnsi="Calibri"/>
              </w:rPr>
            </w:pPr>
            <w:r w:rsidDel="00000000" w:rsidR="00000000" w:rsidRPr="00000000">
              <w:rPr>
                <w:rFonts w:ascii="Calibri" w:cs="Calibri" w:eastAsia="Calibri" w:hAnsi="Calibri"/>
                <w:rtl w:val="0"/>
              </w:rPr>
              <w:t xml:space="preserve">Sanitaire (plomberie + SDB)</w:t>
            </w:r>
          </w:p>
        </w:tc>
        <w:tc>
          <w:tcPr>
            <w:tcMar>
              <w:top w:w="100.0" w:type="dxa"/>
              <w:left w:w="100.0" w:type="dxa"/>
              <w:bottom w:w="100.0" w:type="dxa"/>
              <w:right w:w="100.0" w:type="dxa"/>
            </w:tcMar>
            <w:vAlign w:val="top"/>
          </w:tcPr>
          <w:p w:rsidR="00000000" w:rsidDel="00000000" w:rsidP="00000000" w:rsidRDefault="00000000" w:rsidRPr="00000000" w14:paraId="00000155">
            <w:pPr>
              <w:spacing w:line="240" w:lineRule="auto"/>
              <w:rPr>
                <w:rFonts w:ascii="Calibri" w:cs="Calibri" w:eastAsia="Calibri" w:hAnsi="Calibri"/>
              </w:rPr>
            </w:pPr>
            <w:r w:rsidDel="00000000" w:rsidR="00000000" w:rsidRPr="00000000">
              <w:rPr>
                <w:rFonts w:ascii="Calibri" w:cs="Calibri" w:eastAsia="Calibri" w:hAnsi="Calibri"/>
                <w:rtl w:val="0"/>
              </w:rPr>
              <w:t xml:space="preserve">6%</w:t>
            </w:r>
          </w:p>
        </w:tc>
        <w:tc>
          <w:tcPr>
            <w:tcMar>
              <w:top w:w="100.0" w:type="dxa"/>
              <w:left w:w="100.0" w:type="dxa"/>
              <w:bottom w:w="100.0" w:type="dxa"/>
              <w:right w:w="100.0" w:type="dxa"/>
            </w:tcMar>
            <w:vAlign w:val="top"/>
          </w:tcPr>
          <w:p w:rsidR="00000000" w:rsidDel="00000000" w:rsidP="00000000" w:rsidRDefault="00000000" w:rsidRPr="00000000" w14:paraId="00000156">
            <w:pPr>
              <w:spacing w:line="240" w:lineRule="auto"/>
              <w:rPr>
                <w:rFonts w:ascii="Calibri" w:cs="Calibri" w:eastAsia="Calibri" w:hAnsi="Calibri"/>
              </w:rPr>
            </w:pPr>
            <w:r w:rsidDel="00000000" w:rsidR="00000000" w:rsidRPr="00000000">
              <w:rPr>
                <w:rFonts w:ascii="Calibri" w:cs="Calibri" w:eastAsia="Calibri" w:hAnsi="Calibri"/>
                <w:rtl w:val="0"/>
              </w:rPr>
              <w:t xml:space="preserve">184 M$</w:t>
            </w:r>
          </w:p>
        </w:tc>
      </w:tr>
    </w:tbl>
    <w:p w:rsidR="00000000" w:rsidDel="00000000" w:rsidP="00000000" w:rsidRDefault="00000000" w:rsidRPr="00000000" w14:paraId="00000157">
      <w:pPr>
        <w:rPr>
          <w:rFonts w:ascii="Calibri" w:cs="Calibri" w:eastAsia="Calibri" w:hAnsi="Calibri"/>
        </w:rPr>
      </w:pPr>
      <w:r w:rsidDel="00000000" w:rsidR="00000000" w:rsidRPr="00000000">
        <w:rPr>
          <w:rtl w:val="0"/>
        </w:rPr>
      </w:r>
    </w:p>
    <w:tbl>
      <w:tblPr>
        <w:tblStyle w:val="Table8"/>
        <w:tblW w:w="8280.0" w:type="dxa"/>
        <w:jc w:val="left"/>
        <w:tblLayout w:type="fixed"/>
        <w:tblLook w:val="0600"/>
      </w:tblPr>
      <w:tblGrid>
        <w:gridCol w:w="6755"/>
        <w:gridCol w:w="545"/>
        <w:gridCol w:w="980"/>
        <w:tblGridChange w:id="0">
          <w:tblGrid>
            <w:gridCol w:w="6755"/>
            <w:gridCol w:w="545"/>
            <w:gridCol w:w="98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58">
            <w:pPr>
              <w:spacing w:line="240" w:lineRule="auto"/>
              <w:rPr>
                <w:rFonts w:ascii="Calibri" w:cs="Calibri" w:eastAsia="Calibri" w:hAnsi="Calibri"/>
              </w:rPr>
            </w:pPr>
            <w:r w:rsidDel="00000000" w:rsidR="00000000" w:rsidRPr="00000000">
              <w:rPr>
                <w:rFonts w:ascii="Calibri" w:cs="Calibri" w:eastAsia="Calibri" w:hAnsi="Calibri"/>
                <w:rtl w:val="0"/>
              </w:rPr>
              <w:t xml:space="preserve">Agroalimentaire &amp; pharma (process, “sanitary” au sens hygiénique)</w:t>
            </w:r>
          </w:p>
        </w:tc>
        <w:tc>
          <w:tcPr>
            <w:tcMar>
              <w:top w:w="100.0" w:type="dxa"/>
              <w:left w:w="100.0" w:type="dxa"/>
              <w:bottom w:w="100.0" w:type="dxa"/>
              <w:right w:w="100.0" w:type="dxa"/>
            </w:tcMar>
            <w:vAlign w:val="top"/>
          </w:tcPr>
          <w:p w:rsidR="00000000" w:rsidDel="00000000" w:rsidP="00000000" w:rsidRDefault="00000000" w:rsidRPr="00000000" w14:paraId="00000159">
            <w:pPr>
              <w:spacing w:line="240" w:lineRule="auto"/>
              <w:rPr>
                <w:rFonts w:ascii="Calibri" w:cs="Calibri" w:eastAsia="Calibri" w:hAnsi="Calibri"/>
              </w:rPr>
            </w:pPr>
            <w:r w:rsidDel="00000000" w:rsidR="00000000" w:rsidRPr="00000000">
              <w:rPr>
                <w:rFonts w:ascii="Calibri" w:cs="Calibri" w:eastAsia="Calibri" w:hAnsi="Calibri"/>
                <w:rtl w:val="0"/>
              </w:rPr>
              <w:t xml:space="preserve">6%</w:t>
            </w:r>
          </w:p>
        </w:tc>
        <w:tc>
          <w:tcPr>
            <w:tcMar>
              <w:top w:w="100.0" w:type="dxa"/>
              <w:left w:w="100.0" w:type="dxa"/>
              <w:bottom w:w="100.0" w:type="dxa"/>
              <w:right w:w="100.0" w:type="dxa"/>
            </w:tcMar>
            <w:vAlign w:val="top"/>
          </w:tcPr>
          <w:p w:rsidR="00000000" w:rsidDel="00000000" w:rsidP="00000000" w:rsidRDefault="00000000" w:rsidRPr="00000000" w14:paraId="0000015A">
            <w:pPr>
              <w:spacing w:line="240" w:lineRule="auto"/>
              <w:rPr>
                <w:rFonts w:ascii="Calibri" w:cs="Calibri" w:eastAsia="Calibri" w:hAnsi="Calibri"/>
              </w:rPr>
            </w:pPr>
            <w:r w:rsidDel="00000000" w:rsidR="00000000" w:rsidRPr="00000000">
              <w:rPr>
                <w:rFonts w:ascii="Calibri" w:cs="Calibri" w:eastAsia="Calibri" w:hAnsi="Calibri"/>
                <w:rtl w:val="0"/>
              </w:rPr>
              <w:t xml:space="preserve">184 M$</w:t>
            </w:r>
          </w:p>
        </w:tc>
      </w:tr>
    </w:tbl>
    <w:p w:rsidR="00000000" w:rsidDel="00000000" w:rsidP="00000000" w:rsidRDefault="00000000" w:rsidRPr="00000000" w14:paraId="0000015B">
      <w:pPr>
        <w:rPr>
          <w:rFonts w:ascii="Calibri" w:cs="Calibri" w:eastAsia="Calibri" w:hAnsi="Calibri"/>
        </w:rPr>
      </w:pPr>
      <w:r w:rsidDel="00000000" w:rsidR="00000000" w:rsidRPr="00000000">
        <w:rPr>
          <w:rtl w:val="0"/>
        </w:rPr>
      </w:r>
    </w:p>
    <w:tbl>
      <w:tblPr>
        <w:tblStyle w:val="Table9"/>
        <w:tblW w:w="4845.0" w:type="dxa"/>
        <w:jc w:val="left"/>
        <w:tblLayout w:type="fixed"/>
        <w:tblLook w:val="0600"/>
      </w:tblPr>
      <w:tblGrid>
        <w:gridCol w:w="3320"/>
        <w:gridCol w:w="545"/>
        <w:gridCol w:w="980"/>
        <w:tblGridChange w:id="0">
          <w:tblGrid>
            <w:gridCol w:w="3320"/>
            <w:gridCol w:w="545"/>
            <w:gridCol w:w="98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5C">
            <w:pPr>
              <w:spacing w:line="240" w:lineRule="auto"/>
              <w:rPr>
                <w:rFonts w:ascii="Calibri" w:cs="Calibri" w:eastAsia="Calibri" w:hAnsi="Calibri"/>
              </w:rPr>
            </w:pPr>
            <w:r w:rsidDel="00000000" w:rsidR="00000000" w:rsidRPr="00000000">
              <w:rPr>
                <w:rFonts w:ascii="Calibri" w:cs="Calibri" w:eastAsia="Calibri" w:hAnsi="Calibri"/>
                <w:rtl w:val="0"/>
              </w:rPr>
              <w:t xml:space="preserve">Autres (marine, défense, divers)</w:t>
            </w:r>
          </w:p>
        </w:tc>
        <w:tc>
          <w:tcPr>
            <w:tcMar>
              <w:top w:w="100.0" w:type="dxa"/>
              <w:left w:w="100.0" w:type="dxa"/>
              <w:bottom w:w="100.0" w:type="dxa"/>
              <w:right w:w="100.0" w:type="dxa"/>
            </w:tcMar>
            <w:vAlign w:val="top"/>
          </w:tcPr>
          <w:p w:rsidR="00000000" w:rsidDel="00000000" w:rsidP="00000000" w:rsidRDefault="00000000" w:rsidRPr="00000000" w14:paraId="0000015D">
            <w:pPr>
              <w:spacing w:line="240" w:lineRule="auto"/>
              <w:rPr>
                <w:rFonts w:ascii="Calibri" w:cs="Calibri" w:eastAsia="Calibri" w:hAnsi="Calibri"/>
              </w:rPr>
            </w:pPr>
            <w:r w:rsidDel="00000000" w:rsidR="00000000" w:rsidRPr="00000000">
              <w:rPr>
                <w:rFonts w:ascii="Calibri" w:cs="Calibri" w:eastAsia="Calibri" w:hAnsi="Calibri"/>
                <w:rtl w:val="0"/>
              </w:rPr>
              <w:t xml:space="preserve">7%</w:t>
            </w:r>
          </w:p>
        </w:tc>
        <w:tc>
          <w:tcPr>
            <w:tcMar>
              <w:top w:w="100.0" w:type="dxa"/>
              <w:left w:w="100.0" w:type="dxa"/>
              <w:bottom w:w="100.0" w:type="dxa"/>
              <w:right w:w="100.0" w:type="dxa"/>
            </w:tcMar>
            <w:vAlign w:val="top"/>
          </w:tcPr>
          <w:p w:rsidR="00000000" w:rsidDel="00000000" w:rsidP="00000000" w:rsidRDefault="00000000" w:rsidRPr="00000000" w14:paraId="0000015E">
            <w:pPr>
              <w:spacing w:line="240" w:lineRule="auto"/>
              <w:rPr>
                <w:rFonts w:ascii="Calibri" w:cs="Calibri" w:eastAsia="Calibri" w:hAnsi="Calibri"/>
              </w:rPr>
            </w:pPr>
            <w:r w:rsidDel="00000000" w:rsidR="00000000" w:rsidRPr="00000000">
              <w:rPr>
                <w:rFonts w:ascii="Calibri" w:cs="Calibri" w:eastAsia="Calibri" w:hAnsi="Calibri"/>
                <w:rtl w:val="0"/>
              </w:rPr>
              <w:t xml:space="preserve">214 M$</w:t>
            </w:r>
          </w:p>
        </w:tc>
      </w:tr>
    </w:tbl>
    <w:p w:rsidR="00000000" w:rsidDel="00000000" w:rsidP="00000000" w:rsidRDefault="00000000" w:rsidRPr="00000000" w14:paraId="0000015F">
      <w:pPr>
        <w:rPr>
          <w:rFonts w:ascii="Calibri" w:cs="Calibri" w:eastAsia="Calibri" w:hAnsi="Calibri"/>
        </w:rPr>
      </w:pPr>
      <w:r w:rsidDel="00000000" w:rsidR="00000000" w:rsidRPr="00000000">
        <w:rPr>
          <w:rtl w:val="0"/>
        </w:rPr>
      </w:r>
    </w:p>
    <w:tbl>
      <w:tblPr>
        <w:tblStyle w:val="Table10"/>
        <w:tblW w:w="2775.0" w:type="dxa"/>
        <w:jc w:val="left"/>
        <w:tblLayout w:type="fixed"/>
        <w:tblLook w:val="0600"/>
      </w:tblPr>
      <w:tblGrid>
        <w:gridCol w:w="755"/>
        <w:gridCol w:w="830"/>
        <w:gridCol w:w="1190"/>
        <w:tblGridChange w:id="0">
          <w:tblGrid>
            <w:gridCol w:w="755"/>
            <w:gridCol w:w="830"/>
            <w:gridCol w:w="119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0">
            <w:pPr>
              <w:spacing w:line="240" w:lineRule="auto"/>
              <w:rPr>
                <w:rFonts w:ascii="Calibri" w:cs="Calibri" w:eastAsia="Calibri" w:hAnsi="Calibri"/>
              </w:rPr>
            </w:pPr>
            <w:r w:rsidDel="00000000" w:rsidR="00000000" w:rsidRPr="00000000">
              <w:rPr>
                <w:rFonts w:ascii="Calibri" w:cs="Calibri" w:eastAsia="Calibri" w:hAnsi="Calibri"/>
                <w:rtl w:val="0"/>
              </w:rPr>
              <w:t xml:space="preserve">Total</w:t>
            </w:r>
          </w:p>
        </w:tc>
        <w:tc>
          <w:tcPr>
            <w:tcMar>
              <w:top w:w="100.0" w:type="dxa"/>
              <w:left w:w="100.0" w:type="dxa"/>
              <w:bottom w:w="100.0" w:type="dxa"/>
              <w:right w:w="100.0" w:type="dxa"/>
            </w:tcMar>
            <w:vAlign w:val="top"/>
          </w:tcPr>
          <w:p w:rsidR="00000000" w:rsidDel="00000000" w:rsidP="00000000" w:rsidRDefault="00000000" w:rsidRPr="00000000" w14:paraId="00000161">
            <w:pPr>
              <w:spacing w:line="240" w:lineRule="auto"/>
              <w:rPr>
                <w:rFonts w:ascii="Calibri" w:cs="Calibri" w:eastAsia="Calibri" w:hAnsi="Calibri"/>
              </w:rPr>
            </w:pPr>
            <w:r w:rsidDel="00000000" w:rsidR="00000000" w:rsidRPr="00000000">
              <w:rPr>
                <w:rFonts w:ascii="Calibri" w:cs="Calibri" w:eastAsia="Calibri" w:hAnsi="Calibri"/>
                <w:rtl w:val="0"/>
              </w:rPr>
              <w:t xml:space="preserve">100%</w:t>
            </w:r>
          </w:p>
        </w:tc>
        <w:tc>
          <w:tcPr>
            <w:tcMar>
              <w:top w:w="100.0" w:type="dxa"/>
              <w:left w:w="100.0" w:type="dxa"/>
              <w:bottom w:w="100.0" w:type="dxa"/>
              <w:right w:w="100.0" w:type="dxa"/>
            </w:tcMar>
            <w:vAlign w:val="top"/>
          </w:tcPr>
          <w:p w:rsidR="00000000" w:rsidDel="00000000" w:rsidP="00000000" w:rsidRDefault="00000000" w:rsidRPr="00000000" w14:paraId="00000162">
            <w:pPr>
              <w:spacing w:line="240" w:lineRule="auto"/>
              <w:rPr>
                <w:rFonts w:ascii="Calibri" w:cs="Calibri" w:eastAsia="Calibri" w:hAnsi="Calibri"/>
              </w:rPr>
            </w:pPr>
            <w:r w:rsidDel="00000000" w:rsidR="00000000" w:rsidRPr="00000000">
              <w:rPr>
                <w:rFonts w:ascii="Calibri" w:cs="Calibri" w:eastAsia="Calibri" w:hAnsi="Calibri"/>
                <w:rtl w:val="0"/>
              </w:rPr>
              <w:t xml:space="preserve">3,06 Md$</w:t>
            </w:r>
          </w:p>
        </w:tc>
      </w:tr>
    </w:tbl>
    <w:p w:rsidR="00000000" w:rsidDel="00000000" w:rsidP="00000000" w:rsidRDefault="00000000" w:rsidRPr="00000000" w14:paraId="00000163">
      <w:pPr>
        <w:rPr>
          <w:rFonts w:ascii="Calibri" w:cs="Calibri" w:eastAsia="Calibri" w:hAnsi="Calibri"/>
        </w:rPr>
      </w:pPr>
      <w:r w:rsidDel="00000000" w:rsidR="00000000" w:rsidRPr="00000000">
        <w:rPr>
          <w:rtl w:val="0"/>
        </w:rPr>
      </w:r>
    </w:p>
    <w:sectPr>
      <w:headerReference r:id="rId3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rPr/>
    </w:pPr>
    <w:r w:rsidDel="00000000" w:rsidR="00000000" w:rsidRPr="00000000">
      <w:rPr>
        <w:rFonts w:ascii="Calibri" w:cs="Calibri" w:eastAsia="Calibri" w:hAnsi="Calibri"/>
        <w:sz w:val="18"/>
        <w:szCs w:val="18"/>
        <w:rtl w:val="0"/>
      </w:rPr>
      <w:t xml:space="preserve">Etude - Turquie</w:t>
    </w:r>
    <w:r w:rsidDel="00000000" w:rsidR="00000000" w:rsidRPr="00000000">
      <w:rPr>
        <w:rtl w:val="0"/>
      </w:rPr>
      <w:t xml:space="preserve"> </w:t>
    </w:r>
  </w:p>
  <w:p w:rsidR="00000000" w:rsidDel="00000000" w:rsidP="00000000" w:rsidRDefault="00000000" w:rsidRPr="00000000" w14:paraId="00000165">
    <w:pPr>
      <w:jc w:val="right"/>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mordorintelligence.com/fr/industry-reports/turkey-construction-market" TargetMode="External"/><Relationship Id="rId22" Type="http://schemas.openxmlformats.org/officeDocument/2006/relationships/hyperlink" Target="https://uk.finance.yahoo.com/news/turkey-construction-industry-report-2025-090100635.html?guccounter=1&amp;guce_referrer=aHR0cHM6Ly93d3cuZ29vZ2xlLmNvbS8&amp;guce_referrer_sig=AQAAABVwpTglg20rJxvp1hBzpU5oeg92dgP49YHSCqakS1_PBjqVpaa77yAWRCI9ogK743E5wbPM71AlSdeF8QBxgjO5QVtsLsW4QN38cwBwtvIb396iZiIiMYBtCjyAQP9eIFOuZ5XPbKPqGOGu99qB3IFKtceH1TziCDn0-zD2MoGw" TargetMode="External"/><Relationship Id="rId21" Type="http://schemas.openxmlformats.org/officeDocument/2006/relationships/hyperlink" Target="https://en.wikipedia.org/wiki/Construction_and_contracting_industry_in_Turkey" TargetMode="External"/><Relationship Id="rId24" Type="http://schemas.openxmlformats.org/officeDocument/2006/relationships/hyperlink" Target="https://assets.kpmg.com/content/dam/kpmg/tr/pdf/2021/11/a-look-at-the-construction-industry-from-the-kpmg-perspective.pdf" TargetMode="External"/><Relationship Id="rId23" Type="http://schemas.openxmlformats.org/officeDocument/2006/relationships/hyperlink" Target="https://dwfgroup.com/fr-fr/news-and-insights/insights/2024/5/construction-insights-turke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r.tradingeconomics.com/turkey/steel-production" TargetMode="External"/><Relationship Id="rId26" Type="http://schemas.openxmlformats.org/officeDocument/2006/relationships/hyperlink" Target="https://worldpopulationreview.com/countries/turkey" TargetMode="External"/><Relationship Id="rId25" Type="http://schemas.openxmlformats.org/officeDocument/2006/relationships/hyperlink" Target="https://www.insee.fr/fr/outil-interactif/5367857/tableau/20_DEM/21_POP" TargetMode="External"/><Relationship Id="rId28" Type="http://schemas.openxmlformats.org/officeDocument/2006/relationships/hyperlink" Target="https://www.6wresearch.com/industry-report/turkey-sanitary-ware-market-2020-2026" TargetMode="External"/><Relationship Id="rId27" Type="http://schemas.openxmlformats.org/officeDocument/2006/relationships/hyperlink" Target="https://www.xe.com/fr-fr/currencyconverter/convert/?Amount=120000000&amp;From=EUR&amp;To=USD" TargetMode="External"/><Relationship Id="rId5" Type="http://schemas.openxmlformats.org/officeDocument/2006/relationships/styles" Target="styles.xml"/><Relationship Id="rId6" Type="http://schemas.openxmlformats.org/officeDocument/2006/relationships/hyperlink" Target="https://www.banquemondiale.org/fr/news/opinion/2013/11/12/It-all-starts-with-a-road" TargetMode="External"/><Relationship Id="rId29" Type="http://schemas.openxmlformats.org/officeDocument/2006/relationships/hyperlink" Target="https://sharmarket.co/blog/competitor-analysis-in-the-global-faucet-market-review-of-chinese-turkish-and-european-brands" TargetMode="External"/><Relationship Id="rId7" Type="http://schemas.openxmlformats.org/officeDocument/2006/relationships/hyperlink" Target="https://www.hitoeng.com/fr/turkey-once-again-becomes-the-largest-steel-producer-in-europe-with-both-imports-and-exports-increasing.html" TargetMode="External"/><Relationship Id="rId8" Type="http://schemas.openxmlformats.org/officeDocument/2006/relationships/hyperlink" Target="https://www.trade.gov.tr/data/5b8fd95c13b8761f041fef4a/Iron%20and%20Steel%20(French).pdf" TargetMode="External"/><Relationship Id="rId31" Type="http://schemas.openxmlformats.org/officeDocument/2006/relationships/image" Target="media/image3.png"/><Relationship Id="rId30" Type="http://schemas.openxmlformats.org/officeDocument/2006/relationships/hyperlink" Target="https://www.steelorbis.com/steel-news/interviews/pasder-stainless-steel-consumption-in-2025-will-remain-below-last-years-level-1406663.htm?utm_source=chatgpt.com" TargetMode="External"/><Relationship Id="rId11" Type="http://schemas.openxmlformats.org/officeDocument/2006/relationships/hyperlink" Target="https://www.databridgemarketresearch.com/nucleus/turkey-stainless-steel-market" TargetMode="External"/><Relationship Id="rId33" Type="http://schemas.openxmlformats.org/officeDocument/2006/relationships/image" Target="media/image2.jpg"/><Relationship Id="rId10" Type="http://schemas.openxmlformats.org/officeDocument/2006/relationships/hyperlink" Target="https://celik.org.tr/fr/medias/presse/la-turquie-est-en-tete-de-la-production-d-acier-en-europe" TargetMode="External"/><Relationship Id="rId32" Type="http://schemas.openxmlformats.org/officeDocument/2006/relationships/image" Target="media/image1.png"/><Relationship Id="rId13" Type="http://schemas.openxmlformats.org/officeDocument/2006/relationships/hyperlink" Target="https://www.iso.org/member/2168.html" TargetMode="External"/><Relationship Id="rId12" Type="http://schemas.openxmlformats.org/officeDocument/2006/relationships/hyperlink" Target="https://www.steelorbis.com/steel-news/interviews/pasder-stainless-steel-consumption-in-2025-will-remain-below-last-years-level-1406663.htm" TargetMode="External"/><Relationship Id="rId34" Type="http://schemas.openxmlformats.org/officeDocument/2006/relationships/header" Target="header1.xml"/><Relationship Id="rId15" Type="http://schemas.openxmlformats.org/officeDocument/2006/relationships/hyperlink" Target="https://cosan.com.tr/su-armaturunde-ulusal-ve-uluslar-aras%C4%B1-standartlar%C4%B1-en.html" TargetMode="External"/><Relationship Id="rId14" Type="http://schemas.openxmlformats.org/officeDocument/2006/relationships/hyperlink" Target="https://www.tse.org.tr/" TargetMode="External"/><Relationship Id="rId17" Type="http://schemas.openxmlformats.org/officeDocument/2006/relationships/hyperlink" Target="https://getenviropass.com/fr/rohs-turquie/" TargetMode="External"/><Relationship Id="rId16" Type="http://schemas.openxmlformats.org/officeDocument/2006/relationships/hyperlink" Target="https://www.trade.gov.tr/legislation/product-safety-and-technical-regulation/general-rules-and-procedures-on-technical-regulations" TargetMode="External"/><Relationship Id="rId19" Type="http://schemas.openxmlformats.org/officeDocument/2006/relationships/hyperlink" Target="https://www.iso.org/fr/standard/60857.html" TargetMode="External"/><Relationship Id="rId18" Type="http://schemas.openxmlformats.org/officeDocument/2006/relationships/hyperlink" Target="https://www.feelagile.com/guide/guide-iso-9001?utm_term=iso%3A9001&amp;utm_campaign=ISO+9001-LP&amp;utm_source=adwords&amp;utm_medium=ppc&amp;hsa_acc=1319360619&amp;hsa_cam=23112464620&amp;hsa_grp=195218288548&amp;hsa_ad=778446180413&amp;hsa_src=g&amp;hsa_tgt=kwd-2447476413817&amp;hsa_kw=iso%3A9001&amp;hsa_mt=p&amp;hsa_net=adwords&amp;hsa_ver=3&amp;gad_source=1&amp;gad_campaignid=23112464620&amp;gbraid=0AAAAADFdYT20VbRTecLyQTZ_ODdrr59dF&amp;gclid=CjwKCAiAj8LLBhAkEiwAJjbY74Sj3zN2gRThBBl5P8OEzSCDuAgNin_lP7WR6OgZqPW0lqt4_dILExoCW1UQAvD_Bw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