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00545454543"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76.00000545454543"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line="276.00000545454543"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 CONTEXTE SUR SEGMENTS</w:t>
      </w:r>
    </w:p>
    <w:p w:rsidR="00000000" w:rsidDel="00000000" w:rsidP="00000000" w:rsidRDefault="00000000" w:rsidRPr="00000000" w14:paraId="00000004">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76.00000545454543"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4"/>
        <w:spacing w:line="276.00000545454543" w:lineRule="auto"/>
        <w:rPr>
          <w:rFonts w:ascii="Calibri" w:cs="Calibri" w:eastAsia="Calibri" w:hAnsi="Calibri"/>
        </w:rPr>
      </w:pPr>
      <w:bookmarkStart w:colFirst="0" w:colLast="0" w:name="_q56la4es4ay4" w:id="0"/>
      <w:bookmarkEnd w:id="0"/>
      <w:r w:rsidDel="00000000" w:rsidR="00000000" w:rsidRPr="00000000">
        <w:rPr>
          <w:rFonts w:ascii="Calibri" w:cs="Calibri" w:eastAsia="Calibri" w:hAnsi="Calibri"/>
          <w:b w:val="1"/>
          <w:bCs w:val="1"/>
          <w:color w:val="000000"/>
          <w:rtl w:val="0"/>
        </w:rPr>
        <w:t xml:space="preserve">C1. La santé en Turquie</w:t>
      </w:r>
      <w:r w:rsidDel="00000000" w:rsidR="00000000" w:rsidRPr="00000000">
        <w:rPr>
          <w:rtl w:val="0"/>
        </w:rPr>
      </w:r>
    </w:p>
    <w:p w:rsidR="00000000" w:rsidDel="00000000" w:rsidP="00000000" w:rsidRDefault="00000000" w:rsidRPr="00000000" w14:paraId="00000008">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“Les hôpitaux publics en Turquie ont subi des changements extrêmes depuis les années 2010 avec l’introduction des </w:t>
      </w:r>
      <w:r w:rsidDel="00000000" w:rsidR="00000000" w:rsidRPr="00000000">
        <w:rPr>
          <w:rFonts w:ascii="Calibri" w:cs="Calibri" w:eastAsia="Calibri" w:hAnsi="Calibri"/>
          <w:i w:val="1"/>
          <w:iCs w:val="1"/>
          <w:rtl w:val="0"/>
        </w:rPr>
        <w:t xml:space="preserve">City Hospitals</w:t>
      </w:r>
      <w:r w:rsidDel="00000000" w:rsidR="00000000" w:rsidRPr="00000000">
        <w:rPr>
          <w:rFonts w:ascii="Calibri" w:cs="Calibri" w:eastAsia="Calibri" w:hAnsi="Calibri"/>
          <w:rtl w:val="0"/>
        </w:rPr>
        <w:t xml:space="preserve">, projets de </w:t>
      </w:r>
      <w:r w:rsidDel="00000000" w:rsidR="00000000" w:rsidRPr="00000000">
        <w:rPr>
          <w:rFonts w:ascii="Calibri" w:cs="Calibri" w:eastAsia="Calibri" w:hAnsi="Calibri"/>
          <w:rtl w:val="0"/>
        </w:rPr>
        <w:t xml:space="preserve">(re)développement</w:t>
      </w:r>
      <w:r w:rsidDel="00000000" w:rsidR="00000000" w:rsidRPr="00000000">
        <w:rPr>
          <w:rFonts w:ascii="Calibri" w:cs="Calibri" w:eastAsia="Calibri" w:hAnsi="Calibri"/>
          <w:rtl w:val="0"/>
        </w:rPr>
        <w:t xml:space="preserve"> urbain à grande échelle. La réorganisation des hôpitaux entraîne des changements au cœur et à la périphérie des zones urbaines. Cette transformation est marquée par l’implosion de nouvelles structures hospitalières, tandis que les hôpitaux publics multi-sites préexistants dans les zones urbaines centrales sont réduits, reconfigurés ou fermés. Cette évolution a donné lieu à des dynamiques spatiales conflictuelles à mesure que la géographie des hôpitaux se modifiait.”</w:t>
      </w:r>
    </w:p>
    <w:p w:rsidR="00000000" w:rsidDel="00000000" w:rsidP="00000000" w:rsidRDefault="00000000" w:rsidRPr="00000000" w14:paraId="0000000A">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76.00000545454543" w:lineRule="auto"/>
        <w:rPr>
          <w:rFonts w:ascii="Calibri" w:cs="Calibri" w:eastAsia="Calibri" w:hAnsi="Calibri"/>
        </w:rPr>
      </w:pPr>
      <w:r w:rsidDel="00000000" w:rsidR="00000000" w:rsidRPr="00000000">
        <w:rPr>
          <w:rFonts w:ascii="Calibri" w:cs="Calibri" w:eastAsia="Calibri" w:hAnsi="Calibri"/>
          <w:u w:val="single"/>
          <w:rtl w:val="0"/>
        </w:rPr>
        <w:t xml:space="preserve">Marché des hôpitaux en Turquie :</w:t>
      </w:r>
      <w:r w:rsidDel="00000000" w:rsidR="00000000" w:rsidRPr="00000000">
        <w:rPr>
          <w:rFonts w:ascii="Calibri" w:cs="Calibri" w:eastAsia="Calibri" w:hAnsi="Calibri"/>
          <w:rtl w:val="0"/>
        </w:rPr>
        <w:t xml:space="preserve"> </w:t>
      </w:r>
    </w:p>
    <w:p w:rsidR="00000000" w:rsidDel="00000000" w:rsidP="00000000" w:rsidRDefault="00000000" w:rsidRPr="00000000" w14:paraId="0000000C">
      <w:pPr>
        <w:numPr>
          <w:ilvl w:val="0"/>
          <w:numId w:val="24"/>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Le marché des hôpitaux en Turquie est estimé à 7,65 Md$ en 2024 et projeté à 9,13 Md$ en 2030, soit une croissance annuelle moyenne (CAGR 2025–2030) de 2,95%.</w:t>
      </w:r>
    </w:p>
    <w:p w:rsidR="00000000" w:rsidDel="00000000" w:rsidP="00000000" w:rsidRDefault="00000000" w:rsidRPr="00000000" w14:paraId="0000000D">
      <w:pPr>
        <w:numPr>
          <w:ilvl w:val="0"/>
          <w:numId w:val="24"/>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Le système hospitalier turc combine secteur public (dominant, piloté par le Ministère de la Santé) et secteur privé (en expansion, surtout dans les grandes villes comme Istanbul/Ankara/</w:t>
      </w:r>
      <w:r w:rsidDel="00000000" w:rsidR="00000000" w:rsidRPr="00000000">
        <w:rPr>
          <w:rFonts w:ascii="Calibri" w:cs="Calibri" w:eastAsia="Calibri" w:hAnsi="Calibri"/>
          <w:rtl w:val="0"/>
        </w:rPr>
        <w:t xml:space="preserve">Izmir</w:t>
      </w:r>
      <w:r w:rsidDel="00000000" w:rsidR="00000000" w:rsidRPr="00000000">
        <w:rPr>
          <w:rFonts w:ascii="Calibri" w:cs="Calibri" w:eastAsia="Calibri" w:hAnsi="Calibri"/>
          <w:rtl w:val="0"/>
        </w:rPr>
        <w:t xml:space="preserve">).</w:t>
      </w:r>
    </w:p>
    <w:p w:rsidR="00000000" w:rsidDel="00000000" w:rsidP="00000000" w:rsidRDefault="00000000" w:rsidRPr="00000000" w14:paraId="0000000E">
      <w:pPr>
        <w:numPr>
          <w:ilvl w:val="0"/>
          <w:numId w:val="24"/>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Investissement privé + partenariats public-privé (PPP) : le texte souligne le rôle des grands groupes privés et des PPP (dont les “city hospitals”), ainsi qu’un programme de transformation du système de santé visant la construction de nouveaux hôpitaux et l’augmentation des lits.  </w:t>
      </w:r>
    </w:p>
    <w:p w:rsidR="00000000" w:rsidDel="00000000" w:rsidP="00000000" w:rsidRDefault="00000000" w:rsidRPr="00000000" w14:paraId="0000000F">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 Le marché hospitalier turc était évalué à 7,65 milliards de dollars américains en 2024 et devrait connaître une croissance régulière au cours de la période de prévision, avec un TCAC de 2,95 % jusqu'en 2030. Le secteur hospitalier en Turquie a connu un développement et une modernisation importants ces dernières années. Le pays a réalisé d'importants investissements dans les infrastructures de santé, ce qui a permis la construction de nouveaux hôpitaux et l'agrandissement et la rénovation des hôpitaux existants. La Turquie compte à la fois des hôpitaux publics et privés, le secteur public dominant le secteur des soins de santé. Le ministère de la Santé est chargé de superviser le système de santé public et gère de nombreux hôpitaux à travers le pays. Les hôpitaux privés gagnent en popularité, en particulier dans les grandes villes comme Istanbul, Ankara et Izmir. »</w:t>
      </w:r>
    </w:p>
    <w:p w:rsidR="00000000" w:rsidDel="00000000" w:rsidP="00000000" w:rsidRDefault="00000000" w:rsidRPr="00000000" w14:paraId="00000011">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Conscient de la demande croissante en services médicaux, le gouvernement turc a lancé diverses initiatives visant à améliorer l'accès aux soins de santé. L'extension du système d'assurance maladie universelle (UHI), les investissements dans les hôpitaux publics et la promotion des partenariats public-privé (PPP) ont joué un rôle déterminant pour répondre aux besoins croissants de la population en matière de soins de santé. </w:t>
      </w:r>
    </w:p>
    <w:p w:rsidR="00000000" w:rsidDel="00000000" w:rsidP="00000000" w:rsidRDefault="00000000" w:rsidRPr="00000000" w14:paraId="00000013">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 La Turquie s'est imposée comme une plaque tournante mondiale du tourisme médical, contribuant de manière significative à l'expansion de son marché hospitalier. Le secteur de la santé du pays bénéficie d'un afflux de patients internationaux à la recherche de traitements médicaux de haute qualité et rentables. Plusieurs facteurs clés sont à l'origine de cette tendance, renforçant la croissance globale du marché hospitalier turc. » </w:t>
      </w:r>
    </w:p>
    <w:p w:rsidR="00000000" w:rsidDel="00000000" w:rsidP="00000000" w:rsidRDefault="00000000" w:rsidRPr="00000000" w14:paraId="00000014">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76.00000545454543" w:lineRule="auto"/>
        <w:rPr>
          <w:rFonts w:ascii="Calibri" w:cs="Calibri" w:eastAsia="Calibri" w:hAnsi="Calibri"/>
          <w:u w:val="single"/>
        </w:rPr>
      </w:pPr>
      <w:r w:rsidDel="00000000" w:rsidR="00000000" w:rsidRPr="00000000">
        <w:rPr>
          <w:rFonts w:ascii="Calibri" w:cs="Calibri" w:eastAsia="Calibri" w:hAnsi="Calibri"/>
          <w:u w:val="single"/>
          <w:rtl w:val="0"/>
        </w:rPr>
        <w:t xml:space="preserve">Acteurs clés du marché, d’après </w:t>
      </w:r>
      <w:r w:rsidDel="00000000" w:rsidR="00000000" w:rsidRPr="00000000">
        <w:rPr>
          <w:rFonts w:ascii="Calibri" w:cs="Calibri" w:eastAsia="Calibri" w:hAnsi="Calibri"/>
          <w:u w:val="single"/>
          <w:rtl w:val="0"/>
        </w:rPr>
        <w:t xml:space="preserve">TechSci</w:t>
      </w:r>
      <w:r w:rsidDel="00000000" w:rsidR="00000000" w:rsidRPr="00000000">
        <w:rPr>
          <w:rFonts w:ascii="Calibri" w:cs="Calibri" w:eastAsia="Calibri" w:hAnsi="Calibri"/>
          <w:u w:val="single"/>
          <w:rtl w:val="0"/>
        </w:rPr>
        <w:t xml:space="preserve"> research : </w:t>
      </w:r>
    </w:p>
    <w:p w:rsidR="00000000" w:rsidDel="00000000" w:rsidP="00000000" w:rsidRDefault="00000000" w:rsidRPr="00000000" w14:paraId="00000016">
      <w:pPr>
        <w:numPr>
          <w:ilvl w:val="0"/>
          <w:numId w:val="15"/>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Liv Hospital : Réseau d’hôpitaux privés</w:t>
      </w:r>
    </w:p>
    <w:p w:rsidR="00000000" w:rsidDel="00000000" w:rsidP="00000000" w:rsidRDefault="00000000" w:rsidRPr="00000000" w14:paraId="00000017">
      <w:pPr>
        <w:numPr>
          <w:ilvl w:val="0"/>
          <w:numId w:val="15"/>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Medical Park Hospital Group : marque principale de MLP Care, l’un des plus grands groupes privés de santé en Turquie </w:t>
      </w:r>
    </w:p>
    <w:p w:rsidR="00000000" w:rsidDel="00000000" w:rsidP="00000000" w:rsidRDefault="00000000" w:rsidRPr="00000000" w14:paraId="00000018">
      <w:pPr>
        <w:numPr>
          <w:ilvl w:val="0"/>
          <w:numId w:val="15"/>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Anadolu Hospitals Group : Groupe d’hôpitaux privés turcs</w:t>
      </w:r>
    </w:p>
    <w:p w:rsidR="00000000" w:rsidDel="00000000" w:rsidP="00000000" w:rsidRDefault="00000000" w:rsidRPr="00000000" w14:paraId="00000019">
      <w:pPr>
        <w:numPr>
          <w:ilvl w:val="0"/>
          <w:numId w:val="15"/>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Medipol Hospital (</w:t>
      </w:r>
      <w:r w:rsidDel="00000000" w:rsidR="00000000" w:rsidRPr="00000000">
        <w:rPr>
          <w:rFonts w:ascii="Calibri" w:cs="Calibri" w:eastAsia="Calibri" w:hAnsi="Calibri"/>
          <w:rtl w:val="0"/>
        </w:rPr>
        <w:t xml:space="preserve">Medipol</w:t>
      </w:r>
      <w:r w:rsidDel="00000000" w:rsidR="00000000" w:rsidRPr="00000000">
        <w:rPr>
          <w:rFonts w:ascii="Calibri" w:cs="Calibri" w:eastAsia="Calibri" w:hAnsi="Calibri"/>
          <w:rtl w:val="0"/>
        </w:rPr>
        <w:t xml:space="preserve"> Health Group) : Groupe de santé à Istanbul, connu notamment pour Medipol Mega University Hospital</w:t>
      </w:r>
    </w:p>
    <w:p w:rsidR="00000000" w:rsidDel="00000000" w:rsidP="00000000" w:rsidRDefault="00000000" w:rsidRPr="00000000" w14:paraId="0000001A">
      <w:pPr>
        <w:numPr>
          <w:ilvl w:val="0"/>
          <w:numId w:val="15"/>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Memorial Hospital (Memorial Hospitals Group) : Grand groupe hospitalier</w:t>
      </w:r>
    </w:p>
    <w:p w:rsidR="00000000" w:rsidDel="00000000" w:rsidP="00000000" w:rsidRDefault="00000000" w:rsidRPr="00000000" w14:paraId="0000001B">
      <w:pPr>
        <w:numPr>
          <w:ilvl w:val="0"/>
          <w:numId w:val="15"/>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Medicana Hospital (</w:t>
      </w:r>
      <w:r w:rsidDel="00000000" w:rsidR="00000000" w:rsidRPr="00000000">
        <w:rPr>
          <w:rFonts w:ascii="Calibri" w:cs="Calibri" w:eastAsia="Calibri" w:hAnsi="Calibri"/>
          <w:rtl w:val="0"/>
        </w:rPr>
        <w:t xml:space="preserve">Medicana</w:t>
      </w:r>
      <w:r w:rsidDel="00000000" w:rsidR="00000000" w:rsidRPr="00000000">
        <w:rPr>
          <w:rFonts w:ascii="Calibri" w:cs="Calibri" w:eastAsia="Calibri" w:hAnsi="Calibri"/>
          <w:rtl w:val="0"/>
        </w:rPr>
        <w:t xml:space="preserve"> Health Group) : Groupe privé multi-hôpitaux en Turquie</w:t>
      </w:r>
    </w:p>
    <w:p w:rsidR="00000000" w:rsidDel="00000000" w:rsidP="00000000" w:rsidRDefault="00000000" w:rsidRPr="00000000" w14:paraId="0000001C">
      <w:pPr>
        <w:numPr>
          <w:ilvl w:val="0"/>
          <w:numId w:val="15"/>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Dünyagöz Hospital Group : Groupe </w:t>
      </w:r>
      <w:r w:rsidDel="00000000" w:rsidR="00000000" w:rsidRPr="00000000">
        <w:rPr>
          <w:rFonts w:ascii="Calibri" w:cs="Calibri" w:eastAsia="Calibri" w:hAnsi="Calibri"/>
          <w:rtl w:val="0"/>
        </w:rPr>
        <w:t xml:space="preserve">spécialisé en ophtalmologie</w:t>
      </w:r>
      <w:r w:rsidDel="00000000" w:rsidR="00000000" w:rsidRPr="00000000">
        <w:rPr>
          <w:rFonts w:ascii="Calibri" w:cs="Calibri" w:eastAsia="Calibri" w:hAnsi="Calibri"/>
          <w:rtl w:val="0"/>
        </w:rPr>
        <w:t xml:space="preserve"> (cliniques) : réseau de centres en Turquie</w:t>
      </w:r>
    </w:p>
    <w:p w:rsidR="00000000" w:rsidDel="00000000" w:rsidP="00000000" w:rsidRDefault="00000000" w:rsidRPr="00000000" w14:paraId="0000001D">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76.00000545454543"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D’après “France export”, le marché turc des dispositifs médicaux : </w:t>
      </w:r>
    </w:p>
    <w:p w:rsidR="00000000" w:rsidDel="00000000" w:rsidP="00000000" w:rsidRDefault="00000000" w:rsidRPr="00000000" w14:paraId="0000001F">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“Le marché des dispositifs médicaux en Turquie est soutenu par une forte implication du gouvernement dans le développement et la modernisation de son parc hospitalier, une concurrence et une diversification des services proposés par les hôpitaux privés, un bon accès à la sécurité sociale et une hausse du nombre de personnes qui souscrivent à une mutuelle complémentaire (+800 000 personnes en 2024). </w:t>
      </w:r>
    </w:p>
    <w:p w:rsidR="00000000" w:rsidDel="00000000" w:rsidP="00000000" w:rsidRDefault="00000000" w:rsidRPr="00000000" w14:paraId="00000021">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C’est un marché stratégique pour l’export car 85 % des achats sont importés, avec une valeur de 5,4 Mds USD en 2024 ; c'est le 2ᵉ marché en MENA et le 3ᵉ en Europe centrale et orientale. Parallèlement, la Turquie se positionne comme une destination de tourisme médical international, en accueillant près de 1,5 M de patients étrangers en 2024, générant plus de 3 Mds USD de revenus. L’État, 1er fournisseur de soins en Turquie, est naturellement le 1er client du secteur avec 79,2% des achats. </w:t>
      </w:r>
    </w:p>
    <w:p w:rsidR="00000000" w:rsidDel="00000000" w:rsidP="00000000" w:rsidRDefault="00000000" w:rsidRPr="00000000" w14:paraId="00000023">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La concurrence entre les plus grands groupes privés dans la santé (Acibadem, Medicina, Florence Nightingale, Memorial Health Group et Medipol) dynamise les investissements, en particulier dans les technologies innovantes. Les États-Unis, la Chine et l’Allemagne dominent en tant que fournisseurs, tandis que la France se classe à la 7ᵉ place. Le secteur des dispositifs médicaux est constitué d’environ 2 300 importateurs, 1 792 fabricants et 700 importateurs/fabricants, la Turquie comptant au total 12 817 entreprises dans le secteur des équipements médicaux et chirurgicaux en 2024, un chiffre en hausse par rapport à l’année précédente.” </w:t>
      </w:r>
    </w:p>
    <w:p w:rsidR="00000000" w:rsidDel="00000000" w:rsidP="00000000" w:rsidRDefault="00000000" w:rsidRPr="00000000" w14:paraId="00000025">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L'attractivité du tourisme médical : selon le communiqué du ministère de la Santé daté du 9 février 2024, la Turquie a accueilli environ </w:t>
      </w:r>
      <w:r w:rsidDel="00000000" w:rsidR="00000000" w:rsidRPr="00000000">
        <w:rPr>
          <w:rFonts w:ascii="Calibri" w:cs="Calibri" w:eastAsia="Calibri" w:hAnsi="Calibri"/>
          <w:rtl w:val="0"/>
        </w:rPr>
        <w:t xml:space="preserve">1,5  M de touristes de santé</w:t>
      </w:r>
      <w:r w:rsidDel="00000000" w:rsidR="00000000" w:rsidRPr="00000000">
        <w:rPr>
          <w:rFonts w:ascii="Calibri" w:cs="Calibri" w:eastAsia="Calibri" w:hAnsi="Calibri"/>
          <w:rtl w:val="0"/>
        </w:rPr>
        <w:t xml:space="preserve"> en 2024. Les hôpitaux turcs dépendent de l’étranger pour des solutions et des équipements médicaux innovants, en raison d’un retard d’investissement R&amp;D dans la filière, notamment dans le domaine de l’e-santé mais également des dispositifs médicaux de diagnostic, des équipements d'imagerie, des dispositifs chirurgicaux, des systèmes de traitement du cancer, de l’équipement dentaire,  ou encore du matériel de chirurgie robotique. </w:t>
      </w:r>
    </w:p>
    <w:p w:rsidR="00000000" w:rsidDel="00000000" w:rsidP="00000000" w:rsidRDefault="00000000" w:rsidRPr="00000000" w14:paraId="00000027">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line="276.00000545454543" w:lineRule="auto"/>
        <w:ind w:left="0" w:firstLine="0"/>
        <w:rPr>
          <w:rFonts w:ascii="Calibri" w:cs="Calibri" w:eastAsia="Calibri" w:hAnsi="Calibri"/>
        </w:rPr>
      </w:pPr>
      <w:r w:rsidDel="00000000" w:rsidR="00000000" w:rsidRPr="00000000">
        <w:rPr>
          <w:rFonts w:ascii="Calibri" w:cs="Calibri" w:eastAsia="Calibri" w:hAnsi="Calibri"/>
          <w:rtl w:val="0"/>
        </w:rPr>
        <w:t xml:space="preserve">Depuis 2007, les dispositifs médicaux sont soumis à un enregistrement préalable à la mise sur le marché turc. En 2017, l’ancien système d’enregistrement </w:t>
      </w:r>
      <w:r w:rsidDel="00000000" w:rsidR="00000000" w:rsidRPr="00000000">
        <w:rPr>
          <w:rFonts w:ascii="Calibri" w:cs="Calibri" w:eastAsia="Calibri" w:hAnsi="Calibri"/>
          <w:rtl w:val="0"/>
        </w:rPr>
        <w:t xml:space="preserve">TITUBB</w:t>
      </w:r>
      <w:r w:rsidDel="00000000" w:rsidR="00000000" w:rsidRPr="00000000">
        <w:rPr>
          <w:rFonts w:ascii="Calibri" w:cs="Calibri" w:eastAsia="Calibri" w:hAnsi="Calibri"/>
          <w:rtl w:val="0"/>
        </w:rPr>
        <w:t xml:space="preserve"> (Turkish Drug and Medical Device National </w:t>
      </w:r>
      <w:r w:rsidDel="00000000" w:rsidR="00000000" w:rsidRPr="00000000">
        <w:rPr>
          <w:rFonts w:ascii="Calibri" w:cs="Calibri" w:eastAsia="Calibri" w:hAnsi="Calibri"/>
          <w:rtl w:val="0"/>
        </w:rPr>
        <w:t xml:space="preserve">Databank</w:t>
      </w:r>
      <w:r w:rsidDel="00000000" w:rsidR="00000000" w:rsidRPr="00000000">
        <w:rPr>
          <w:rFonts w:ascii="Calibri" w:cs="Calibri" w:eastAsia="Calibri" w:hAnsi="Calibri"/>
          <w:rtl w:val="0"/>
        </w:rPr>
        <w:t xml:space="preserve">) a été remplacé par le système d’enregistrement UTS (Ürün Takip Sistemi). Seule une entité de droit local (l’importateur ou la filiale de l’entreprise) est habilitée à effectuer l’enregistrement du dispositif médical. Le dépôt du certificat ISO est conseillé. Dans le cas où il serait joint au dossier il doit être traduit en turc, certifié par un notaire et apostillés par la Chambre de Commerce dont dépend le siège de la société française. L'étiquetage en turc est requis, ainsi qu'un certificat de conformité basé sur les normes européennes CE.”</w:t>
      </w:r>
    </w:p>
    <w:p w:rsidR="00000000" w:rsidDel="00000000" w:rsidP="00000000" w:rsidRDefault="00000000" w:rsidRPr="00000000" w14:paraId="00000029">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276.00000545454543" w:lineRule="auto"/>
        <w:rPr>
          <w:rFonts w:ascii="Calibri" w:cs="Calibri" w:eastAsia="Calibri" w:hAnsi="Calibri"/>
          <w:u w:val="single"/>
        </w:rPr>
      </w:pPr>
      <w:r w:rsidDel="00000000" w:rsidR="00000000" w:rsidRPr="00000000">
        <w:rPr>
          <w:rFonts w:ascii="Calibri" w:cs="Calibri" w:eastAsia="Calibri" w:hAnsi="Calibri"/>
          <w:u w:val="single"/>
          <w:rtl w:val="0"/>
        </w:rPr>
        <w:t xml:space="preserve">Le cas des City Hospitals (CH), d’après la thèse </w:t>
      </w:r>
      <w:r w:rsidDel="00000000" w:rsidR="00000000" w:rsidRPr="00000000">
        <w:rPr>
          <w:rFonts w:ascii="Calibri" w:cs="Calibri" w:eastAsia="Calibri" w:hAnsi="Calibri"/>
          <w:i w:val="1"/>
          <w:iCs w:val="1"/>
          <w:u w:val="single"/>
          <w:rtl w:val="0"/>
        </w:rPr>
        <w:t xml:space="preserve">“Spatial fix through hospitals : questioning geographies in Turkey with the introduction of City Hospitals”</w:t>
      </w:r>
      <w:r w:rsidDel="00000000" w:rsidR="00000000" w:rsidRPr="00000000">
        <w:rPr>
          <w:rFonts w:ascii="Calibri" w:cs="Calibri" w:eastAsia="Calibri" w:hAnsi="Calibri"/>
          <w:u w:val="single"/>
          <w:rtl w:val="0"/>
        </w:rPr>
        <w:t xml:space="preserve"> :  </w:t>
      </w:r>
    </w:p>
    <w:p w:rsidR="00000000" w:rsidDel="00000000" w:rsidP="00000000" w:rsidRDefault="00000000" w:rsidRPr="00000000" w14:paraId="0000002B">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L’article analyse la transformation des hôpitaux publics en Turquie depuis les années 2010 via les City Hospitals (CH), de très grands complexes hospitaliers, souvent construits et exploités en partenariats public-privé (PPP). L'auteur soutient que ces projets constituent un « spatial fix » (au sens marxiste/</w:t>
      </w:r>
      <w:r w:rsidDel="00000000" w:rsidR="00000000" w:rsidRPr="00000000">
        <w:rPr>
          <w:rFonts w:ascii="Calibri" w:cs="Calibri" w:eastAsia="Calibri" w:hAnsi="Calibri"/>
          <w:rtl w:val="0"/>
        </w:rPr>
        <w:t xml:space="preserve">harveyen</w:t>
      </w:r>
      <w:r w:rsidDel="00000000" w:rsidR="00000000" w:rsidRPr="00000000">
        <w:rPr>
          <w:rFonts w:ascii="Calibri" w:cs="Calibri" w:eastAsia="Calibri" w:hAnsi="Calibri"/>
          <w:rtl w:val="0"/>
        </w:rPr>
        <w:t xml:space="preserve">) : une façon pour le capital et l’État de résoudre temporairement des tensions d’accumulation en investissant massivement dans l’environnement bâti, ici via l’infrastructure hospitalière. </w:t>
      </w:r>
    </w:p>
    <w:p w:rsidR="00000000" w:rsidDel="00000000" w:rsidP="00000000" w:rsidRDefault="00000000" w:rsidRPr="00000000" w14:paraId="0000002D">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Le tournant s’inscrit dans le Health Transformation Program (</w:t>
      </w:r>
      <w:r w:rsidDel="00000000" w:rsidR="00000000" w:rsidRPr="00000000">
        <w:rPr>
          <w:rFonts w:ascii="Calibri" w:cs="Calibri" w:eastAsia="Calibri" w:hAnsi="Calibri"/>
          <w:rtl w:val="0"/>
        </w:rPr>
        <w:t xml:space="preserve">HTP</w:t>
      </w:r>
      <w:r w:rsidDel="00000000" w:rsidR="00000000" w:rsidRPr="00000000">
        <w:rPr>
          <w:rFonts w:ascii="Calibri" w:cs="Calibri" w:eastAsia="Calibri" w:hAnsi="Calibri"/>
          <w:rtl w:val="0"/>
        </w:rPr>
        <w:t xml:space="preserve">) lancé en 2003, associé à la marchandisation/financiarisation du système de santé : montée du privé, sous-traitance et recours accru à des montages contractuels de long terme.</w:t>
      </w:r>
    </w:p>
    <w:p w:rsidR="00000000" w:rsidDel="00000000" w:rsidP="00000000" w:rsidRDefault="00000000" w:rsidRPr="00000000" w14:paraId="0000002F">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276.00000545454543" w:lineRule="auto"/>
        <w:rPr>
          <w:rFonts w:ascii="Calibri" w:cs="Calibri" w:eastAsia="Calibri" w:hAnsi="Calibri"/>
        </w:rPr>
      </w:pPr>
      <w:r w:rsidDel="00000000" w:rsidR="00000000" w:rsidRPr="00000000">
        <w:rPr>
          <w:rFonts w:ascii="Calibri" w:cs="Calibri" w:eastAsia="Calibri" w:hAnsi="Calibri"/>
          <w:rtl w:val="0"/>
        </w:rPr>
        <w:t xml:space="preserve">Implications des CH : </w:t>
      </w:r>
    </w:p>
    <w:p w:rsidR="00000000" w:rsidDel="00000000" w:rsidP="00000000" w:rsidRDefault="00000000" w:rsidRPr="00000000" w14:paraId="00000031">
      <w:pPr>
        <w:numPr>
          <w:ilvl w:val="0"/>
          <w:numId w:val="12"/>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Centralisation et gigantisme</w:t>
      </w:r>
      <w:r w:rsidDel="00000000" w:rsidR="00000000" w:rsidRPr="00000000">
        <w:rPr>
          <w:rFonts w:ascii="Calibri" w:cs="Calibri" w:eastAsia="Calibri" w:hAnsi="Calibri"/>
          <w:rtl w:val="0"/>
        </w:rPr>
        <w:t xml:space="preserve"> : les CH regroupent de nombreux services sur un seul site, avec des capacités très élevées (moyenne autour de 1 400 lits, parfois beaucoup plus). </w:t>
      </w:r>
    </w:p>
    <w:p w:rsidR="00000000" w:rsidDel="00000000" w:rsidP="00000000" w:rsidRDefault="00000000" w:rsidRPr="00000000" w14:paraId="00000032">
      <w:pPr>
        <w:numPr>
          <w:ilvl w:val="0"/>
          <w:numId w:val="12"/>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Déplacement vers les périphéries</w:t>
      </w:r>
      <w:r w:rsidDel="00000000" w:rsidR="00000000" w:rsidRPr="00000000">
        <w:rPr>
          <w:rFonts w:ascii="Calibri" w:cs="Calibri" w:eastAsia="Calibri" w:hAnsi="Calibri"/>
          <w:rtl w:val="0"/>
        </w:rPr>
        <w:t xml:space="preserve"> : ils sont majoritairement implantés </w:t>
      </w:r>
      <w:r w:rsidDel="00000000" w:rsidR="00000000" w:rsidRPr="00000000">
        <w:rPr>
          <w:rFonts w:ascii="Calibri" w:cs="Calibri" w:eastAsia="Calibri" w:hAnsi="Calibri"/>
          <w:b w:val="1"/>
          <w:bCs w:val="1"/>
          <w:rtl w:val="0"/>
        </w:rPr>
        <w:t xml:space="preserve">en bordure des villes</w:t>
      </w:r>
      <w:r w:rsidDel="00000000" w:rsidR="00000000" w:rsidRPr="00000000">
        <w:rPr>
          <w:rFonts w:ascii="Calibri" w:cs="Calibri" w:eastAsia="Calibri" w:hAnsi="Calibri"/>
          <w:rtl w:val="0"/>
        </w:rPr>
        <w:t xml:space="preserve">, dans des zones auparavant peu construites, ce qui favorise l’étalement urbain. </w:t>
      </w:r>
    </w:p>
    <w:p w:rsidR="00000000" w:rsidDel="00000000" w:rsidP="00000000" w:rsidRDefault="00000000" w:rsidRPr="00000000" w14:paraId="00000033">
      <w:pPr>
        <w:numPr>
          <w:ilvl w:val="0"/>
          <w:numId w:val="12"/>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Déclin du maillage historique</w:t>
      </w:r>
      <w:r w:rsidDel="00000000" w:rsidR="00000000" w:rsidRPr="00000000">
        <w:rPr>
          <w:rFonts w:ascii="Calibri" w:cs="Calibri" w:eastAsia="Calibri" w:hAnsi="Calibri"/>
          <w:rtl w:val="0"/>
        </w:rPr>
        <w:t xml:space="preserve"> : en parallèle, les hôpitaux publics centraux multi-sites sont </w:t>
      </w:r>
      <w:r w:rsidDel="00000000" w:rsidR="00000000" w:rsidRPr="00000000">
        <w:rPr>
          <w:rFonts w:ascii="Calibri" w:cs="Calibri" w:eastAsia="Calibri" w:hAnsi="Calibri"/>
          <w:b w:val="1"/>
          <w:bCs w:val="1"/>
          <w:rtl w:val="0"/>
        </w:rPr>
        <w:t xml:space="preserve">réduits, reconfigurés, laissés en déshérence ou fermés</w:t>
      </w:r>
      <w:r w:rsidDel="00000000" w:rsidR="00000000" w:rsidRPr="00000000">
        <w:rPr>
          <w:rFonts w:ascii="Calibri" w:cs="Calibri" w:eastAsia="Calibri" w:hAnsi="Calibri"/>
          <w:rtl w:val="0"/>
        </w:rPr>
        <w:t xml:space="preserve">, avec des transferts d’activités vers les CH.</w:t>
      </w:r>
    </w:p>
    <w:p w:rsidR="00000000" w:rsidDel="00000000" w:rsidP="00000000" w:rsidRDefault="00000000" w:rsidRPr="00000000" w14:paraId="00000034">
      <w:pPr>
        <w:numPr>
          <w:ilvl w:val="0"/>
          <w:numId w:val="12"/>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Pression sur les collectivités</w:t>
      </w:r>
      <w:r w:rsidDel="00000000" w:rsidR="00000000" w:rsidRPr="00000000">
        <w:rPr>
          <w:rFonts w:ascii="Calibri" w:cs="Calibri" w:eastAsia="Calibri" w:hAnsi="Calibri"/>
          <w:rtl w:val="0"/>
        </w:rPr>
        <w:t xml:space="preserve"> : les municipalités doivent adapter réseaux, transports, assainissement, etc., pour ces nouveaux pôles périphériques. </w:t>
      </w:r>
    </w:p>
    <w:p w:rsidR="00000000" w:rsidDel="00000000" w:rsidP="00000000" w:rsidRDefault="00000000" w:rsidRPr="00000000" w14:paraId="00000035">
      <w:pPr>
        <w:numPr>
          <w:ilvl w:val="0"/>
          <w:numId w:val="12"/>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Choix de sites contestés</w:t>
      </w:r>
      <w:r w:rsidDel="00000000" w:rsidR="00000000" w:rsidRPr="00000000">
        <w:rPr>
          <w:rFonts w:ascii="Calibri" w:cs="Calibri" w:eastAsia="Calibri" w:hAnsi="Calibri"/>
          <w:rtl w:val="0"/>
        </w:rPr>
        <w:t xml:space="preserve"> : certains CH sont planifiés sur des terrains jugés peu adaptés (risques environnementaux, agricoles, etc.), ce qui alourdit les coûts techniques et la dette.</w:t>
      </w:r>
    </w:p>
    <w:p w:rsidR="00000000" w:rsidDel="00000000" w:rsidP="00000000" w:rsidRDefault="00000000" w:rsidRPr="00000000" w14:paraId="00000036">
      <w:pPr>
        <w:spacing w:line="276.00000545454543"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76.00000545454543" w:lineRule="auto"/>
        <w:ind w:left="0" w:firstLine="0"/>
        <w:rPr>
          <w:rFonts w:ascii="Calibri" w:cs="Calibri" w:eastAsia="Calibri" w:hAnsi="Calibri"/>
        </w:rPr>
      </w:pPr>
      <w:r w:rsidDel="00000000" w:rsidR="00000000" w:rsidRPr="00000000">
        <w:rPr>
          <w:rFonts w:ascii="Calibri" w:cs="Calibri" w:eastAsia="Calibri" w:hAnsi="Calibri"/>
          <w:rtl w:val="0"/>
        </w:rPr>
        <w:t xml:space="preserve">Les City Hospitals reconfigurent durablement la géographie hospitalière turque par un double mouvement implosion/explosion (démantèlement des hôpitaux centraux et construction de méga-sites périphériques). </w:t>
      </w:r>
    </w:p>
    <w:p w:rsidR="00000000" w:rsidDel="00000000" w:rsidP="00000000" w:rsidRDefault="00000000" w:rsidRPr="00000000" w14:paraId="00000038">
      <w:pPr>
        <w:spacing w:line="276.00000545454543"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76.00000545454543" w:lineRule="auto"/>
        <w:ind w:left="0" w:firstLine="0"/>
        <w:rPr>
          <w:rFonts w:ascii="Calibri" w:cs="Calibri" w:eastAsia="Calibri" w:hAnsi="Calibri"/>
        </w:rPr>
      </w:pPr>
      <w:r w:rsidDel="00000000" w:rsidR="00000000" w:rsidRPr="00000000">
        <w:rPr>
          <w:rFonts w:ascii="Calibri" w:cs="Calibri" w:eastAsia="Calibri" w:hAnsi="Calibri"/>
          <w:rtl w:val="0"/>
        </w:rPr>
        <w:t xml:space="preserve">L’article conclut que cette trajectoire illustre une spatial </w:t>
      </w:r>
      <w:r w:rsidDel="00000000" w:rsidR="00000000" w:rsidRPr="00000000">
        <w:rPr>
          <w:rFonts w:ascii="Calibri" w:cs="Calibri" w:eastAsia="Calibri" w:hAnsi="Calibri"/>
          <w:rtl w:val="0"/>
        </w:rPr>
        <w:t xml:space="preserve">fix</w:t>
      </w:r>
      <w:r w:rsidDel="00000000" w:rsidR="00000000" w:rsidRPr="00000000">
        <w:rPr>
          <w:rFonts w:ascii="Calibri" w:cs="Calibri" w:eastAsia="Calibri" w:hAnsi="Calibri"/>
          <w:rtl w:val="0"/>
        </w:rPr>
        <w:t xml:space="preserve"> “par l’hôpital” : un processus multiscalaire (économique, légal, urbain, travail) qui soutient l’accumulation, mais produit aussi des contradictions (coûts, inégalités d’accès, dépendance au privé) nécessitant des réajustements permanents.</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u w:val="single"/>
        </w:rPr>
      </w:pPr>
      <w:r w:rsidDel="00000000" w:rsidR="00000000" w:rsidRPr="00000000">
        <w:rPr>
          <w:rFonts w:ascii="Calibri" w:cs="Calibri" w:eastAsia="Calibri" w:hAnsi="Calibri"/>
          <w:u w:val="single"/>
          <w:rtl w:val="0"/>
        </w:rPr>
        <w:t xml:space="preserve">Où l’inox sanitaire est le plus utilisé</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A. Surfaces et mobiliers à contact fréquent</w:t>
      </w:r>
    </w:p>
    <w:p w:rsidR="00000000" w:rsidDel="00000000" w:rsidP="00000000" w:rsidRDefault="00000000" w:rsidRPr="00000000" w14:paraId="0000003D">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Plans de travail, paillasses, crédences</w:t>
      </w:r>
    </w:p>
    <w:p w:rsidR="00000000" w:rsidDel="00000000" w:rsidP="00000000" w:rsidRDefault="00000000" w:rsidRPr="00000000" w14:paraId="0000003E">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Éviers, lave-mains, douches, bacs</w:t>
      </w:r>
    </w:p>
    <w:p w:rsidR="00000000" w:rsidDel="00000000" w:rsidP="00000000" w:rsidRDefault="00000000" w:rsidRPr="00000000" w14:paraId="0000003F">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Chariots, étagères, armoires, tables d’instrumentation</w:t>
      </w:r>
    </w:p>
    <w:p w:rsidR="00000000" w:rsidDel="00000000" w:rsidP="00000000" w:rsidRDefault="00000000" w:rsidRPr="00000000" w14:paraId="00000040">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Hottes, pass-box, zones de préparation (selon services)</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B. Réseaux et équipements “fluides”</w:t>
      </w:r>
    </w:p>
    <w:p w:rsidR="00000000" w:rsidDel="00000000" w:rsidP="00000000" w:rsidRDefault="00000000" w:rsidRPr="00000000" w14:paraId="00000043">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Réseaux eau (selon architecture), boucles ECS (rarement en tout-inox en bâtiments, plus courant en process)</w:t>
      </w:r>
    </w:p>
    <w:p w:rsidR="00000000" w:rsidDel="00000000" w:rsidP="00000000" w:rsidRDefault="00000000" w:rsidRPr="00000000" w14:paraId="00000044">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Réseaux de gaz médicaux : l’inox intervient surtout dans certains composants (raccords/éléments spécifiques), pas toujours en “tout-inox”</w:t>
      </w:r>
    </w:p>
    <w:p w:rsidR="00000000" w:rsidDel="00000000" w:rsidP="00000000" w:rsidRDefault="00000000" w:rsidRPr="00000000" w14:paraId="00000045">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Circuits de vapeur propre, eau purifiée (pharmacie, stérilisation, labo) : inox très fréquent</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C. Stérilisation et dispositifs</w:t>
      </w:r>
    </w:p>
    <w:p w:rsidR="00000000" w:rsidDel="00000000" w:rsidP="00000000" w:rsidRDefault="00000000" w:rsidRPr="00000000" w14:paraId="00000048">
      <w:pPr>
        <w:numPr>
          <w:ilvl w:val="0"/>
          <w:numId w:val="2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Bacs, paniers, conteneurs, instruments (acier inox)</w:t>
      </w:r>
    </w:p>
    <w:p w:rsidR="00000000" w:rsidDel="00000000" w:rsidP="00000000" w:rsidRDefault="00000000" w:rsidRPr="00000000" w14:paraId="00000049">
      <w:pPr>
        <w:numPr>
          <w:ilvl w:val="0"/>
          <w:numId w:val="2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Autoclaves : chambres souvent inox</w:t>
      </w:r>
    </w:p>
    <w:p w:rsidR="00000000" w:rsidDel="00000000" w:rsidP="00000000" w:rsidRDefault="00000000" w:rsidRPr="00000000" w14:paraId="0000004A">
      <w:pPr>
        <w:numPr>
          <w:ilvl w:val="0"/>
          <w:numId w:val="2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Lingerie / cuisine centrale hospitalière : nombreux équipements inox</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D. Zones à forte contrainte d’hygiène</w:t>
      </w:r>
    </w:p>
    <w:p w:rsidR="00000000" w:rsidDel="00000000" w:rsidP="00000000" w:rsidRDefault="00000000" w:rsidRPr="00000000" w14:paraId="0000004D">
      <w:pPr>
        <w:numPr>
          <w:ilvl w:val="0"/>
          <w:numId w:val="1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Bloc opératoire, stérilisation centrale, laboratoire, pharmacie hospitalière, zones ISO (si présentes)</w:t>
      </w:r>
    </w:p>
    <w:p w:rsidR="00000000" w:rsidDel="00000000" w:rsidP="00000000" w:rsidRDefault="00000000" w:rsidRPr="00000000" w14:paraId="0000004E">
      <w:pPr>
        <w:spacing w:line="276.00000545454543"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76.00000545454543"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En synthèse : </w:t>
      </w:r>
    </w:p>
    <w:p w:rsidR="00000000" w:rsidDel="00000000" w:rsidP="00000000" w:rsidRDefault="00000000" w:rsidRPr="00000000" w14:paraId="00000050">
      <w:pPr>
        <w:numPr>
          <w:ilvl w:val="0"/>
          <w:numId w:val="4"/>
        </w:numPr>
        <w:spacing w:line="276.00000545454543"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Introduction des “City Hospitals” -&gt; projet de redéveloppement urbain à grande échelle, ouverture vers des zones peu développées, gigantisme et centralisation, entraînant une reconfiguration de la géographie hospitalière.</w:t>
      </w:r>
    </w:p>
    <w:p w:rsidR="00000000" w:rsidDel="00000000" w:rsidP="00000000" w:rsidRDefault="00000000" w:rsidRPr="00000000" w14:paraId="00000051">
      <w:pPr>
        <w:numPr>
          <w:ilvl w:val="0"/>
          <w:numId w:val="4"/>
        </w:numPr>
        <w:spacing w:line="276.00000545454543"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Marché des hôpitaux estimé en 2024 à 7,65 Md$, avec un TCAC (CAGR) 2025- 2030 de 2,95 %.</w:t>
      </w:r>
    </w:p>
    <w:p w:rsidR="00000000" w:rsidDel="00000000" w:rsidP="00000000" w:rsidRDefault="00000000" w:rsidRPr="00000000" w14:paraId="00000052">
      <w:pPr>
        <w:numPr>
          <w:ilvl w:val="0"/>
          <w:numId w:val="4"/>
        </w:numPr>
        <w:spacing w:line="276.00000545454543"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Investissements privés et partenariats public-privé (PPP) en hausse.</w:t>
      </w:r>
    </w:p>
    <w:p w:rsidR="00000000" w:rsidDel="00000000" w:rsidP="00000000" w:rsidRDefault="00000000" w:rsidRPr="00000000" w14:paraId="00000053">
      <w:pPr>
        <w:numPr>
          <w:ilvl w:val="0"/>
          <w:numId w:val="4"/>
        </w:numPr>
        <w:spacing w:line="276.00000545454543"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Tourisme médical en progression -&gt; modernisation et internationalisation des infrastructures.</w:t>
      </w:r>
    </w:p>
    <w:p w:rsidR="00000000" w:rsidDel="00000000" w:rsidP="00000000" w:rsidRDefault="00000000" w:rsidRPr="00000000" w14:paraId="00000054">
      <w:pPr>
        <w:numPr>
          <w:ilvl w:val="0"/>
          <w:numId w:val="4"/>
        </w:numPr>
        <w:spacing w:line="276.00000545454543"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Marché des dispositifs médicaux : forte hausse, forte implication du gouvernement, secteur à influence internationale.</w:t>
      </w:r>
    </w:p>
    <w:p w:rsidR="00000000" w:rsidDel="00000000" w:rsidP="00000000" w:rsidRDefault="00000000" w:rsidRPr="00000000" w14:paraId="00000055">
      <w:pPr>
        <w:numPr>
          <w:ilvl w:val="0"/>
          <w:numId w:val="4"/>
        </w:numPr>
        <w:spacing w:line="276.00000545454543"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Secteur clé en Turquie, en croissance, avec une tendance marquée à la modernisation et à la transformation des infrastructures et des équipements.</w:t>
      </w: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56">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4"/>
        <w:spacing w:line="276.00000545454543" w:lineRule="auto"/>
        <w:rPr>
          <w:rFonts w:ascii="Calibri" w:cs="Calibri" w:eastAsia="Calibri" w:hAnsi="Calibri"/>
          <w:b w:val="1"/>
          <w:bCs w:val="1"/>
          <w:color w:val="000000"/>
        </w:rPr>
      </w:pPr>
      <w:bookmarkStart w:colFirst="0" w:colLast="0" w:name="_c0ijnjqelg7d" w:id="1"/>
      <w:bookmarkEnd w:id="1"/>
      <w:r w:rsidDel="00000000" w:rsidR="00000000" w:rsidRPr="00000000">
        <w:rPr>
          <w:rtl w:val="0"/>
        </w:rPr>
      </w:r>
    </w:p>
    <w:p w:rsidR="00000000" w:rsidDel="00000000" w:rsidP="00000000" w:rsidRDefault="00000000" w:rsidRPr="00000000" w14:paraId="0000005A">
      <w:pPr>
        <w:pStyle w:val="Heading4"/>
        <w:spacing w:line="276.00000545454543" w:lineRule="auto"/>
        <w:rPr>
          <w:rFonts w:ascii="Calibri" w:cs="Calibri" w:eastAsia="Calibri" w:hAnsi="Calibri"/>
          <w:b w:val="1"/>
          <w:bCs w:val="1"/>
          <w:color w:val="000000"/>
        </w:rPr>
      </w:pPr>
      <w:bookmarkStart w:colFirst="0" w:colLast="0" w:name="_5c07tfqdlum6" w:id="2"/>
      <w:bookmarkEnd w:id="2"/>
      <w:r w:rsidDel="00000000" w:rsidR="00000000" w:rsidRPr="00000000">
        <w:rPr>
          <w:rFonts w:ascii="Calibri" w:cs="Calibri" w:eastAsia="Calibri" w:hAnsi="Calibri"/>
          <w:b w:val="1"/>
          <w:bCs w:val="1"/>
          <w:color w:val="000000"/>
          <w:rtl w:val="0"/>
        </w:rPr>
        <w:t xml:space="preserve">C2. Les prisons en Turquie</w:t>
      </w:r>
    </w:p>
    <w:p w:rsidR="00000000" w:rsidDel="00000000" w:rsidP="00000000" w:rsidRDefault="00000000" w:rsidRPr="00000000" w14:paraId="0000005B">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276.00000545454543" w:lineRule="auto"/>
        <w:rPr>
          <w:rFonts w:ascii="Calibri" w:cs="Calibri" w:eastAsia="Calibri" w:hAnsi="Calibri"/>
        </w:rPr>
      </w:pPr>
      <w:r w:rsidDel="00000000" w:rsidR="00000000" w:rsidRPr="00000000">
        <w:rPr>
          <w:rFonts w:ascii="Calibri" w:cs="Calibri" w:eastAsia="Calibri" w:hAnsi="Calibri"/>
          <w:u w:val="single"/>
          <w:rtl w:val="0"/>
        </w:rPr>
        <w:t xml:space="preserve">Extraits de recherches sur les prisons en Turquie :</w:t>
      </w:r>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276.00000545454543" w:lineRule="auto"/>
        <w:ind w:firstLine="720"/>
        <w:rPr>
          <w:rFonts w:ascii="Calibri" w:cs="Calibri" w:eastAsia="Calibri" w:hAnsi="Calibri"/>
        </w:rPr>
      </w:pPr>
      <w:r w:rsidDel="00000000" w:rsidR="00000000" w:rsidRPr="00000000">
        <w:rPr>
          <w:rFonts w:ascii="Calibri" w:cs="Calibri" w:eastAsia="Calibri" w:hAnsi="Calibri"/>
          <w:rtl w:val="0"/>
        </w:rPr>
        <w:t xml:space="preserve">“La Turquie abrite 407 établissements pénitentiaires, dont 280 établissements fermés, 95 établissements pénitentiaires ouverts, 9 prisons pour mineurs, 4 établissements d’éducation pour mineurs, 11 établissements fermés et 8 établissements ouverts pour femmes. Tous les établissements pénitentiaires sont publics. “</w:t>
      </w:r>
    </w:p>
    <w:p w:rsidR="00000000" w:rsidDel="00000000" w:rsidP="00000000" w:rsidRDefault="00000000" w:rsidRPr="00000000" w14:paraId="0000005F">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ind w:firstLine="720"/>
        <w:rPr>
          <w:rFonts w:ascii="Calibri" w:cs="Calibri" w:eastAsia="Calibri" w:hAnsi="Calibri"/>
        </w:rPr>
      </w:pPr>
      <w:r w:rsidDel="00000000" w:rsidR="00000000" w:rsidRPr="00000000">
        <w:rPr>
          <w:rFonts w:ascii="Calibri" w:cs="Calibri" w:eastAsia="Calibri" w:hAnsi="Calibri"/>
          <w:rtl w:val="0"/>
        </w:rPr>
        <w:t xml:space="preserve">“La Turquie possède le taux d’incarcération le plus élevé parmi les pays du Conseil de l’Europe et la population carcérale a crû de manière significative depuis les années 2000. Alors qu’en début des années 2000 environ 58 000 personnes étaient incarcérées, plus de 340 000 détenus sont aujourd’hui recensés. Cette croissance entraîne des surpopulations, des graves insuffisances en termes de personnel de sécurité, médical et socio-éducatif, ainsi que des tensions sur les infrastructures existantes.”</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ind w:firstLine="720"/>
        <w:rPr>
          <w:rFonts w:ascii="Calibri" w:cs="Calibri" w:eastAsia="Calibri" w:hAnsi="Calibri"/>
        </w:rPr>
      </w:pPr>
      <w:r w:rsidDel="00000000" w:rsidR="00000000" w:rsidRPr="00000000">
        <w:rPr>
          <w:rFonts w:ascii="Calibri" w:cs="Calibri" w:eastAsia="Calibri" w:hAnsi="Calibri"/>
          <w:rtl w:val="0"/>
        </w:rPr>
        <w:t xml:space="preserve">“Le marché des prisons en Turquie représente donc un secteur à forte dynamique en termes d’investissement public et de construction, mais entaché d’enjeux éthiques et humanitaires majeurs, créant un équilibre complexe entre modernisation, contrôle et droits humains.”</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ind w:firstLine="720"/>
        <w:rPr>
          <w:rFonts w:ascii="Calibri" w:cs="Calibri" w:eastAsia="Calibri" w:hAnsi="Calibri"/>
        </w:rPr>
      </w:pPr>
      <w:r w:rsidDel="00000000" w:rsidR="00000000" w:rsidRPr="00000000">
        <w:rPr>
          <w:rFonts w:ascii="Calibri" w:cs="Calibri" w:eastAsia="Calibri" w:hAnsi="Calibri"/>
          <w:rtl w:val="0"/>
        </w:rPr>
        <w:t xml:space="preserve">“Selon le ministère de la Justice turc, en date du 31 mars 2022, 314 milles personnes sont emprisonnées, dont 40 milles femmes, et 150 enfants avec leur mère. Depuis 2011, on connaît une augmentation de 292% (selon les statistiques de 2021 du ministère de la Justice). Il existe 384 prisons : en 2021, 32 nouvelles prisons sont ouvertes, en 2022, 18 prisons construites, pourtant toujours surpeuplées.” </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ind w:firstLine="720"/>
        <w:rPr>
          <w:rFonts w:ascii="Calibri" w:cs="Calibri" w:eastAsia="Calibri" w:hAnsi="Calibri"/>
        </w:rPr>
      </w:pPr>
      <w:r w:rsidDel="00000000" w:rsidR="00000000" w:rsidRPr="00000000">
        <w:rPr>
          <w:rFonts w:ascii="Calibri" w:cs="Calibri" w:eastAsia="Calibri" w:hAnsi="Calibri"/>
          <w:rtl w:val="0"/>
        </w:rPr>
        <w:t xml:space="preserve">“La population carcérale connaît dans l’ensemble une croissance importante après le début des années 2000. Elle compte, en 2005, 55 870 personnes détenues. Cet écart représente une augmentation de 444 % en moins de vingt ans. L’année 2005 est celle d’une réforme de la justice pénale qui crée de nouvelles catégories d’infraction, introduit des peines plus longues, allonge la durée minimale de détention préalable à la possibilité de libération conditionnelle (de la moitié aux deux tiers) et crée la perpétuité aggravée.” </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ind w:firstLine="720"/>
        <w:rPr>
          <w:rFonts w:ascii="Calibri" w:cs="Calibri" w:eastAsia="Calibri" w:hAnsi="Calibri"/>
        </w:rPr>
      </w:pPr>
      <w:r w:rsidDel="00000000" w:rsidR="00000000" w:rsidRPr="00000000">
        <w:rPr>
          <w:rFonts w:ascii="Calibri" w:cs="Calibri" w:eastAsia="Calibri" w:hAnsi="Calibri"/>
          <w:rtl w:val="0"/>
        </w:rPr>
        <w:t xml:space="preserve">“Le nombre de personnes détenues augmente fortement entre janvier et septembre 2025 avec 35 000 nouvelles personnes incarcérées. Au 1er septembre, 419 194 personnes sont détenues, selon les données du ministère de la Justice. Turkish Minute rapporte que la hausse de la population carcérale s’explique notamment par des arrestations massives. Des milliers de personnes associées au mouvement Gülen, au mouvement kurde ou à l’opposition sont placées en détention.”</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Les infrastructures sanitaires incluent :</w:t>
      </w:r>
    </w:p>
    <w:p w:rsidR="00000000" w:rsidDel="00000000" w:rsidP="00000000" w:rsidRDefault="00000000" w:rsidRPr="00000000" w14:paraId="0000006B">
      <w:pPr>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Toilettes et douches, souvent séparées pour hommes, femmes et mineurs ;</w:t>
      </w:r>
    </w:p>
    <w:p w:rsidR="00000000" w:rsidDel="00000000" w:rsidP="00000000" w:rsidRDefault="00000000" w:rsidRPr="00000000" w14:paraId="0000006C">
      <w:pPr>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Cabines de douche et lavabos accessibles depuis les dortoirs ou cellules ;</w:t>
      </w:r>
    </w:p>
    <w:p w:rsidR="00000000" w:rsidDel="00000000" w:rsidP="00000000" w:rsidRDefault="00000000" w:rsidRPr="00000000" w14:paraId="0000006D">
      <w:pPr>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Installations médicales proches ou intégrées dans les locaux </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Dans le contexte carcéral turc, la sécurité est une priorité. Les équipements sanitaires utilisés dans les prisons intègrent souvent :</w:t>
      </w:r>
    </w:p>
    <w:p w:rsidR="00000000" w:rsidDel="00000000" w:rsidP="00000000" w:rsidRDefault="00000000" w:rsidRPr="00000000" w14:paraId="00000070">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Acier inoxydable (inox), résistant au vandalisme et facile à nettoyer ;</w:t>
      </w:r>
    </w:p>
    <w:p w:rsidR="00000000" w:rsidDel="00000000" w:rsidP="00000000" w:rsidRDefault="00000000" w:rsidRPr="00000000" w14:paraId="00000071">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Robinetteries sécurisées à ouverture automatique (boutons piézoélectriques) ;</w:t>
      </w:r>
    </w:p>
    <w:p w:rsidR="00000000" w:rsidDel="00000000" w:rsidP="00000000" w:rsidRDefault="00000000" w:rsidRPr="00000000" w14:paraId="00000072">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WC, lavabos conçus en monobloc, sans parties détachables pour éviter blessures et manipulations</w:t>
      </w:r>
    </w:p>
    <w:p w:rsidR="00000000" w:rsidDel="00000000" w:rsidP="00000000" w:rsidRDefault="00000000" w:rsidRPr="00000000" w14:paraId="0000007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ind w:left="0" w:firstLine="0"/>
        <w:rPr>
          <w:rFonts w:ascii="Calibri" w:cs="Calibri" w:eastAsia="Calibri" w:hAnsi="Calibri"/>
        </w:rPr>
      </w:pPr>
      <w:r w:rsidDel="00000000" w:rsidR="00000000" w:rsidRPr="00000000">
        <w:rPr>
          <w:rFonts w:ascii="Calibri" w:cs="Calibri" w:eastAsia="Calibri" w:hAnsi="Calibri"/>
          <w:rtl w:val="0"/>
        </w:rPr>
        <w:t xml:space="preserve">Caractéristiques des sanitaires en acier inox pour prisons :</w:t>
      </w:r>
    </w:p>
    <w:p w:rsidR="00000000" w:rsidDel="00000000" w:rsidP="00000000" w:rsidRDefault="00000000" w:rsidRPr="00000000" w14:paraId="00000075">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Robinetterie à fermeture automatique, anti-blocage ;</w:t>
      </w:r>
    </w:p>
    <w:p w:rsidR="00000000" w:rsidDel="00000000" w:rsidP="00000000" w:rsidRDefault="00000000" w:rsidRPr="00000000" w14:paraId="00000076">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Lavabos et WC suspendus ou au sol, monoblocs et soudés ;</w:t>
      </w:r>
    </w:p>
    <w:p w:rsidR="00000000" w:rsidDel="00000000" w:rsidP="00000000" w:rsidRDefault="00000000" w:rsidRPr="00000000" w14:paraId="00000077">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Distributeurs de savon, de papier toilette et miroirs sécurisés ;</w:t>
      </w:r>
    </w:p>
    <w:p w:rsidR="00000000" w:rsidDel="00000000" w:rsidP="00000000" w:rsidRDefault="00000000" w:rsidRPr="00000000" w14:paraId="00000078">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Design compact, surface lisse anti-vandalisme et hygiénique ;</w:t>
      </w:r>
    </w:p>
    <w:p w:rsidR="00000000" w:rsidDel="00000000" w:rsidP="00000000" w:rsidRDefault="00000000" w:rsidRPr="00000000" w14:paraId="00000079">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Possibilité de combinaisons modulaires (WC, lavabo et douche) en inox</w:t>
      </w:r>
    </w:p>
    <w:p w:rsidR="00000000" w:rsidDel="00000000" w:rsidP="00000000" w:rsidRDefault="00000000" w:rsidRPr="00000000" w14:paraId="0000007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Les prisons turques utilisent des équipements sanitaires conçus pour la durabilité, l’hygiène et la sécurité. Les matériaux en acier inoxydable, incluant robinetterie, lavabos, WC et douches, sont privilégiés pour leurs propriétés anti-vandalisme et facilité d’entretien. </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D">
      <w:pPr>
        <w:rPr>
          <w:rFonts w:ascii="Calibri" w:cs="Calibri" w:eastAsia="Calibri" w:hAnsi="Calibri"/>
          <w:u w:val="single"/>
        </w:rPr>
      </w:pPr>
      <w:r w:rsidDel="00000000" w:rsidR="00000000" w:rsidRPr="00000000">
        <w:rPr>
          <w:rFonts w:ascii="Calibri" w:cs="Calibri" w:eastAsia="Calibri" w:hAnsi="Calibri"/>
          <w:u w:val="single"/>
          <w:rtl w:val="0"/>
        </w:rPr>
        <w:t xml:space="preserve">Aparté : </w:t>
      </w:r>
    </w:p>
    <w:p w:rsidR="00000000" w:rsidDel="00000000" w:rsidP="00000000" w:rsidRDefault="00000000" w:rsidRPr="00000000" w14:paraId="0000007E">
      <w:pPr>
        <w:ind w:firstLine="720"/>
        <w:rPr>
          <w:rFonts w:ascii="Calibri" w:cs="Calibri" w:eastAsia="Calibri" w:hAnsi="Calibri"/>
        </w:rPr>
      </w:pPr>
      <w:r w:rsidDel="00000000" w:rsidR="00000000" w:rsidRPr="00000000">
        <w:rPr>
          <w:rFonts w:ascii="Calibri" w:cs="Calibri" w:eastAsia="Calibri" w:hAnsi="Calibri"/>
          <w:rtl w:val="0"/>
        </w:rPr>
        <w:t xml:space="preserve">D’après plusieurs sources, recherches et articles, la réputation des prisons turques est ambiguë. Le Comité européen pour la prévention de la torture (CPT) rapporte à plusieurs reprises, à partir de 2009, une surpopulation sévère ayant pour conséquence des conditions de détention inhumaines et dégradantes. En plus de la surpopulation, certains rapports dressent un tableau sombre des conditions globales de détention : violences physiques et morales, conditions sanitaires « alarmantes », accès restreint aux soins médicaux, tortures… (d’après le rapport de la Fédération des associations d’aide juridique et de solidarité pour les familles des prisonniers et Amnesty International). En quelques recherches sur Internet, on trouve des informations compromettantes sur le milieu carcéral turc. Avec une réputation entachée depuis longtemps et des conditions qui s’aggravent, les prisons turques deviennent des lieux problématiques. Dans cette conjoncture, il semble pertinent de questionner la volonté d’une entreprise française de travailler avec ce type d’infrastructure. D’un point de vue « éthique » et pour « l’image de marque », si l’entreprise française continuait sur la piste d’une collaboration professionnelle avec ce type d’établissement, une stratégie de sécurité de « marque » devrait être proposée, pour pallier de potentiels problèmes. Que ce soit à travers une entité autre que l’entreprise ou une communication/présence « arrangée », il semble prudent d’établir clairement un positionnement. </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En synthèse : </w:t>
      </w:r>
    </w:p>
    <w:p w:rsidR="00000000" w:rsidDel="00000000" w:rsidP="00000000" w:rsidRDefault="00000000" w:rsidRPr="00000000" w14:paraId="00000081">
      <w:pPr>
        <w:numPr>
          <w:ilvl w:val="0"/>
          <w:numId w:val="22"/>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Secteur important sur le marché de l’inox sanitaire -&gt; demande croissante.</w:t>
      </w:r>
    </w:p>
    <w:p w:rsidR="00000000" w:rsidDel="00000000" w:rsidP="00000000" w:rsidRDefault="00000000" w:rsidRPr="00000000" w14:paraId="00000082">
      <w:pPr>
        <w:numPr>
          <w:ilvl w:val="0"/>
          <w:numId w:val="22"/>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En lien avec les politiques et actions gouvernementales -&gt; croissance soutenue directement par les choix politiques.</w:t>
      </w:r>
    </w:p>
    <w:p w:rsidR="00000000" w:rsidDel="00000000" w:rsidP="00000000" w:rsidRDefault="00000000" w:rsidRPr="00000000" w14:paraId="00000083">
      <w:pPr>
        <w:numPr>
          <w:ilvl w:val="0"/>
          <w:numId w:val="22"/>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Demande concentrée presque entièrement sur l’inox -&gt; besoin assuré pour ce type de produit.</w:t>
      </w:r>
    </w:p>
    <w:p w:rsidR="00000000" w:rsidDel="00000000" w:rsidP="00000000" w:rsidRDefault="00000000" w:rsidRPr="00000000" w14:paraId="00000084">
      <w:pPr>
        <w:numPr>
          <w:ilvl w:val="0"/>
          <w:numId w:val="22"/>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Opacité potentielle sur les décideurs et acteurs du marché.</w:t>
      </w:r>
    </w:p>
    <w:p w:rsidR="00000000" w:rsidDel="00000000" w:rsidP="00000000" w:rsidRDefault="00000000" w:rsidRPr="00000000" w14:paraId="00000085">
      <w:pPr>
        <w:numPr>
          <w:ilvl w:val="0"/>
          <w:numId w:val="22"/>
        </w:numPr>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Engagement compliqué sur ce type d’établissement à cause d’une réputation entachée et potentiellement « critiquable » -&gt; choix et positionnement stratégique à valider (économique, image, éthique, …).</w:t>
      </w:r>
    </w:p>
    <w:p w:rsidR="00000000" w:rsidDel="00000000" w:rsidP="00000000" w:rsidRDefault="00000000" w:rsidRPr="00000000" w14:paraId="00000086">
      <w:pPr>
        <w:pStyle w:val="Heading4"/>
        <w:rPr>
          <w:rFonts w:ascii="Calibri" w:cs="Calibri" w:eastAsia="Calibri" w:hAnsi="Calibri"/>
          <w:b w:val="1"/>
          <w:bCs w:val="1"/>
          <w:color w:val="000000"/>
        </w:rPr>
      </w:pPr>
      <w:bookmarkStart w:colFirst="0" w:colLast="0" w:name="_udw4has4qalw" w:id="3"/>
      <w:bookmarkEnd w:id="3"/>
      <w:r w:rsidDel="00000000" w:rsidR="00000000" w:rsidRPr="00000000">
        <w:rPr>
          <w:rtl w:val="0"/>
        </w:rPr>
      </w:r>
    </w:p>
    <w:p w:rsidR="00000000" w:rsidDel="00000000" w:rsidP="00000000" w:rsidRDefault="00000000" w:rsidRPr="00000000" w14:paraId="00000087">
      <w:pPr>
        <w:pStyle w:val="Heading4"/>
        <w:rPr>
          <w:rFonts w:ascii="Calibri" w:cs="Calibri" w:eastAsia="Calibri" w:hAnsi="Calibri"/>
          <w:b w:val="1"/>
          <w:bCs w:val="1"/>
          <w:color w:val="000000"/>
        </w:rPr>
      </w:pPr>
      <w:bookmarkStart w:colFirst="0" w:colLast="0" w:name="_eury8u9ew7oo" w:id="4"/>
      <w:bookmarkEnd w:id="4"/>
      <w:r w:rsidDel="00000000" w:rsidR="00000000" w:rsidRPr="00000000">
        <w:rPr>
          <w:rFonts w:ascii="Calibri" w:cs="Calibri" w:eastAsia="Calibri" w:hAnsi="Calibri"/>
          <w:b w:val="1"/>
          <w:bCs w:val="1"/>
          <w:color w:val="000000"/>
          <w:rtl w:val="0"/>
        </w:rPr>
        <w:t xml:space="preserve">C3. Les lieux de culte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0" w:firstLine="720"/>
        <w:rPr>
          <w:rFonts w:ascii="Calibri" w:cs="Calibri" w:eastAsia="Calibri" w:hAnsi="Calibri"/>
        </w:rPr>
      </w:pPr>
      <w:r w:rsidDel="00000000" w:rsidR="00000000" w:rsidRPr="00000000">
        <w:rPr>
          <w:rFonts w:ascii="Calibri" w:cs="Calibri" w:eastAsia="Calibri" w:hAnsi="Calibri"/>
          <w:rtl w:val="0"/>
        </w:rPr>
        <w:t xml:space="preserve">Selon des estimations de 2016, environ 82 % de la population turque se déclare musulmane, 13 % sans affiliation religieuse et 2 % chrétienne. Les juifs, yézidis, bahaïs et autres représentent moins de 1 % de la population totale. Le réseau de mosquées est dense, avec plus de 82 000 mosquées réparties sur tout le territoire, témoignant de la prédominance de l’islam. Les églises et synagogues sont moins nombreuses, mais conservent un rôle symbolique et culturel fort, notamment à Istanbul et dans certaines villes historiques.</w:t>
      </w:r>
    </w:p>
    <w:p w:rsidR="00000000" w:rsidDel="00000000" w:rsidP="00000000" w:rsidRDefault="00000000" w:rsidRPr="00000000" w14:paraId="0000008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ind w:left="0" w:firstLine="720"/>
        <w:rPr>
          <w:rFonts w:ascii="Calibri" w:cs="Calibri" w:eastAsia="Calibri" w:hAnsi="Calibri"/>
        </w:rPr>
      </w:pPr>
      <w:r w:rsidDel="00000000" w:rsidR="00000000" w:rsidRPr="00000000">
        <w:rPr>
          <w:rFonts w:ascii="Calibri" w:cs="Calibri" w:eastAsia="Calibri" w:hAnsi="Calibri"/>
          <w:rtl w:val="0"/>
        </w:rPr>
        <w:t xml:space="preserve">“En Turquie, la diversité religieuse se reflète dans la variété des lieux de culte qui parsèment le pays, marquant l’empreinte de plusieurs traditions religieuses à travers les siècles. Les mosquées, comme la Mosquée Bleue et la Mosquée </w:t>
      </w:r>
      <w:r w:rsidDel="00000000" w:rsidR="00000000" w:rsidRPr="00000000">
        <w:rPr>
          <w:rFonts w:ascii="Calibri" w:cs="Calibri" w:eastAsia="Calibri" w:hAnsi="Calibri"/>
          <w:rtl w:val="0"/>
        </w:rPr>
        <w:t xml:space="preserve">Suleymaniye</w:t>
      </w:r>
      <w:r w:rsidDel="00000000" w:rsidR="00000000" w:rsidRPr="00000000">
        <w:rPr>
          <w:rFonts w:ascii="Calibri" w:cs="Calibri" w:eastAsia="Calibri" w:hAnsi="Calibri"/>
          <w:rtl w:val="0"/>
        </w:rPr>
        <w:t xml:space="preserve"> à Istanbul, sont non seulement des lieux de prière pour les musulmans, mais représentent aussi des chefs-d’œuvre architecturaux et des symboles culturels essentiels. Les églises chrétiennes, à l’exemple de la célèbre basilique Sainte-Sophie, depuis 2020 redevenue une mosquée, et des églises arméniennes, témoignent du riche héritage chrétien dans l’histoire de la Turquie. Les synagogues, telles que la Neve Shalom à Istanbul, rappellent la présence historique des communautés juives, malgré leur nombre réduit aujourd’hui. Les temples des Yézidis, Alévis et Bahaïs soulignent la mosaïque de croyances qui coexiste en Turquie, bien que ces groupes soient minoritaires. Aujourd’hui, environ 99% de la population turque s’identifie comme musulmane, mais la fréquentation des lieux de culte varie, avec une tendance générale à la baisse de la pratique religieuse assidue, influencée par des dynamiques sociales et culturelles contemporaines.” </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ind w:firstLine="720"/>
        <w:rPr>
          <w:rFonts w:ascii="Calibri" w:cs="Calibri" w:eastAsia="Calibri" w:hAnsi="Calibri"/>
        </w:rPr>
      </w:pPr>
      <w:r w:rsidDel="00000000" w:rsidR="00000000" w:rsidRPr="00000000">
        <w:rPr>
          <w:rFonts w:ascii="Calibri" w:cs="Calibri" w:eastAsia="Calibri" w:hAnsi="Calibri"/>
          <w:rtl w:val="0"/>
        </w:rPr>
        <w:t xml:space="preserve">“Avec plus de 100 000 fonctionnaires, le Diyanet est une sorte d’État dans l'État. En 2013, le Diyanet ou Ministère des Affaires religieuses, occupe le 16</w:t>
      </w:r>
      <w:r w:rsidDel="00000000" w:rsidR="00000000" w:rsidRPr="00000000">
        <w:rPr>
          <w:rFonts w:ascii="Calibri" w:cs="Calibri" w:eastAsia="Calibri" w:hAnsi="Calibri"/>
          <w:vertAlign w:val="superscript"/>
          <w:rtl w:val="0"/>
        </w:rPr>
        <w:t xml:space="preserve">e</w:t>
      </w:r>
      <w:r w:rsidDel="00000000" w:rsidR="00000000" w:rsidRPr="00000000">
        <w:rPr>
          <w:rFonts w:ascii="Calibri" w:cs="Calibri" w:eastAsia="Calibri" w:hAnsi="Calibri"/>
          <w:rtl w:val="0"/>
        </w:rPr>
        <w:t xml:space="preserve"> poste de dépense du gouvernement central. Le budget alloué au Diyanet est en 2013 de 4,6 milliards de livres turques.” </w:t>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Istanbul compte plus de 3000 mosquées, petites structures de quartier à grands complexes impérieux compris.</w:t>
      </w:r>
    </w:p>
    <w:p w:rsidR="00000000" w:rsidDel="00000000" w:rsidP="00000000" w:rsidRDefault="00000000" w:rsidRPr="00000000" w14:paraId="00000090">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270 églises (orthodoxes, catholiques, arméniennes et syriaques), peu de construction de nouvelles structures, majoritairement de la rénovation/restauration, principalement à Istanbul  </w:t>
      </w:r>
    </w:p>
    <w:p w:rsidR="00000000" w:rsidDel="00000000" w:rsidP="00000000" w:rsidRDefault="00000000" w:rsidRPr="00000000" w14:paraId="00000091">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420 synagogues, principalement à Istanbul et Izmir, </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La construction de mosquées massives et restaurations symboliques s'inscrit dans une stratégie politique visant à solidifier la base conservatrice et religieuse; Ce phénomène est particulièrement visible à Istanbul, où le design architectural, la taille et l’emplacement des lieux de culte sont utilisés pour renforcer l’image du gouvernement et encourager la participation aux pratiques religieuses. </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u w:val="single"/>
          <w:rtl w:val="0"/>
        </w:rPr>
        <w:t xml:space="preserve">Types d’installations sanitaires dans les lieux de cultes :</w:t>
      </w: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Toilettes et urinoirs, accessibilité aux personnes handicapés </w:t>
      </w:r>
    </w:p>
    <w:p w:rsidR="00000000" w:rsidDel="00000000" w:rsidP="00000000" w:rsidRDefault="00000000" w:rsidRPr="00000000" w14:paraId="00000097">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Lavabos et lave-mains/fontaines</w:t>
      </w:r>
    </w:p>
    <w:p w:rsidR="00000000" w:rsidDel="00000000" w:rsidP="00000000" w:rsidRDefault="00000000" w:rsidRPr="00000000" w14:paraId="00000098">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Pour ablutions, fontaines ou bacs en inox et/où céramique  </w:t>
      </w:r>
    </w:p>
    <w:p w:rsidR="00000000" w:rsidDel="00000000" w:rsidP="00000000" w:rsidRDefault="00000000" w:rsidRPr="00000000" w14:paraId="00000099">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Robinetterie, type mitigeur, levier simple ou automatique, parfois “no-touch”</w:t>
      </w:r>
    </w:p>
    <w:p w:rsidR="00000000" w:rsidDel="00000000" w:rsidP="00000000" w:rsidRDefault="00000000" w:rsidRPr="00000000" w14:paraId="0000009A">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Accessoires sanitaires, distributeurs de savons, sèche-mains, poubelles, … </w:t>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i w:val="1"/>
          <w:iCs w:val="1"/>
          <w:rtl w:val="0"/>
        </w:rPr>
        <w:t xml:space="preserve">En synthèse :</w:t>
      </w:r>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numPr>
          <w:ilvl w:val="0"/>
          <w:numId w:val="3"/>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Population religieuse et pratiquante -&gt; très majoritairement musulmane.</w:t>
      </w:r>
    </w:p>
    <w:p w:rsidR="00000000" w:rsidDel="00000000" w:rsidP="00000000" w:rsidRDefault="00000000" w:rsidRPr="00000000" w14:paraId="0000009E">
      <w:pPr>
        <w:numPr>
          <w:ilvl w:val="0"/>
          <w:numId w:val="3"/>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Réseau important de mosquées : 82 000 mosquées dans le pays, 3 000 à Istanbul.</w:t>
      </w:r>
    </w:p>
    <w:p w:rsidR="00000000" w:rsidDel="00000000" w:rsidP="00000000" w:rsidRDefault="00000000" w:rsidRPr="00000000" w14:paraId="0000009F">
      <w:pPr>
        <w:numPr>
          <w:ilvl w:val="0"/>
          <w:numId w:val="3"/>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Construction, rénovation et restauration : symboles politiques et religieux, missions et ambitions gouvernementales.</w:t>
      </w:r>
    </w:p>
    <w:p w:rsidR="00000000" w:rsidDel="00000000" w:rsidP="00000000" w:rsidRDefault="00000000" w:rsidRPr="00000000" w14:paraId="000000A0">
      <w:pPr>
        <w:numPr>
          <w:ilvl w:val="0"/>
          <w:numId w:val="3"/>
        </w:numPr>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Potentiel massif -&gt; installations et budgets conséquents -&gt; secteur où s’implanter.</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4"/>
        <w:rPr/>
      </w:pPr>
      <w:bookmarkStart w:colFirst="0" w:colLast="0" w:name="_wqlvoib880u9" w:id="5"/>
      <w:bookmarkEnd w:id="5"/>
      <w:r w:rsidDel="00000000" w:rsidR="00000000" w:rsidRPr="00000000">
        <w:rPr>
          <w:rFonts w:ascii="Calibri" w:cs="Calibri" w:eastAsia="Calibri" w:hAnsi="Calibri"/>
          <w:b w:val="1"/>
          <w:bCs w:val="1"/>
          <w:color w:val="000000"/>
          <w:rtl w:val="0"/>
        </w:rPr>
        <w:t xml:space="preserve">C4. Aéroports, infrastructures publics</w:t>
      </w:r>
      <w:r w:rsidDel="00000000" w:rsidR="00000000" w:rsidRPr="00000000">
        <w:rPr>
          <w:rtl w:val="0"/>
        </w:rPr>
        <w:t xml:space="preserve"> </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La Turquie occupe une position stratégique entre l’Europe et l’Asie, ce qui en fait un carrefour clé du transport aérien. Le pays a investi massivement dans le développement et la modernisation de ses infrastructures aéroportuaires, afin de soutenir la croissance du trafic passager et des activités logistiques. En 2023, le nombre total de passagers transportés dans l’ensemble des 57 aéroports turcs (dont 37 internationaux) a atteint 214 millions, avec Istanbul Airport en tête avec 76 millions de passagers et une moyenne de 1 446 vols quotidiens.</w:t>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u w:val="single"/>
        </w:rPr>
      </w:pPr>
      <w:r w:rsidDel="00000000" w:rsidR="00000000" w:rsidRPr="00000000">
        <w:rPr>
          <w:rFonts w:ascii="Calibri" w:cs="Calibri" w:eastAsia="Calibri" w:hAnsi="Calibri"/>
          <w:u w:val="single"/>
          <w:rtl w:val="0"/>
        </w:rPr>
        <w:t xml:space="preserve">Principaux aéroports et leurs caractéristiques</w:t>
      </w:r>
    </w:p>
    <w:p w:rsidR="00000000" w:rsidDel="00000000" w:rsidP="00000000" w:rsidRDefault="00000000" w:rsidRPr="00000000" w14:paraId="000000A7">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Aéroport d’Istanbul (IST) : mis en service en 2018, comprend 4 terminaux actuellement, 6 pistes prévues d’ici 2028, capacité totale attendue jusqu’à 200 millions de passagers annuels. Il dispose de technologies avancées, de salons VIP, de centres de conférence et de nombreux équipements modernes pour le confort et la sécurité.</w:t>
      </w:r>
    </w:p>
    <w:p w:rsidR="00000000" w:rsidDel="00000000" w:rsidP="00000000" w:rsidRDefault="00000000" w:rsidRPr="00000000" w14:paraId="000000A8">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Istanbul Sabiha Gökçen : proximité avec l’agglomération asiatique d’Istanbul, a accueilli 37 millions de passagers en 2023, avec une modernisation progressive pour répondre à la demande croissante.</w:t>
      </w:r>
    </w:p>
    <w:p w:rsidR="00000000" w:rsidDel="00000000" w:rsidP="00000000" w:rsidRDefault="00000000" w:rsidRPr="00000000" w14:paraId="000000A9">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Antalya Airport : dessert principalement le tourisme, 35 millions de passagers.</w:t>
      </w:r>
    </w:p>
    <w:p w:rsidR="00000000" w:rsidDel="00000000" w:rsidP="00000000" w:rsidRDefault="00000000" w:rsidRPr="00000000" w14:paraId="000000AA">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Ankara Esenboğa Airport : 11 millions de passagers.</w:t>
      </w:r>
    </w:p>
    <w:p w:rsidR="00000000" w:rsidDel="00000000" w:rsidP="00000000" w:rsidRDefault="00000000" w:rsidRPr="00000000" w14:paraId="000000AB">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Izmir Adnan Menderes Airport : 10,6 millions de passagers.</w:t>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rPr>
          <w:rFonts w:ascii="Calibri" w:cs="Calibri" w:eastAsia="Calibri" w:hAnsi="Calibri"/>
          <w:u w:val="single"/>
        </w:rPr>
      </w:pPr>
      <w:r w:rsidDel="00000000" w:rsidR="00000000" w:rsidRPr="00000000">
        <w:rPr>
          <w:rFonts w:ascii="Calibri" w:cs="Calibri" w:eastAsia="Calibri" w:hAnsi="Calibri"/>
          <w:u w:val="single"/>
          <w:rtl w:val="0"/>
        </w:rPr>
        <w:t xml:space="preserve">Projets de construction et d’extension</w:t>
      </w:r>
    </w:p>
    <w:p w:rsidR="00000000" w:rsidDel="00000000" w:rsidP="00000000" w:rsidRDefault="00000000" w:rsidRPr="00000000" w14:paraId="000000AE">
      <w:pPr>
        <w:ind w:left="0" w:firstLine="0"/>
        <w:rPr>
          <w:rFonts w:ascii="Calibri" w:cs="Calibri" w:eastAsia="Calibri" w:hAnsi="Calibri"/>
        </w:rPr>
      </w:pPr>
      <w:r w:rsidDel="00000000" w:rsidR="00000000" w:rsidRPr="00000000">
        <w:rPr>
          <w:rFonts w:ascii="Calibri" w:cs="Calibri" w:eastAsia="Calibri" w:hAnsi="Calibri"/>
          <w:rtl w:val="0"/>
        </w:rPr>
        <w:t xml:space="preserve">Nouvel aéroport d’Istanbul :</w:t>
      </w:r>
    </w:p>
    <w:p w:rsidR="00000000" w:rsidDel="00000000" w:rsidP="00000000" w:rsidRDefault="00000000" w:rsidRPr="00000000" w14:paraId="000000AF">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Projet le plus ambitieux de Turquie et l’un des plus grands au monde.</w:t>
      </w:r>
    </w:p>
    <w:p w:rsidR="00000000" w:rsidDel="00000000" w:rsidP="00000000" w:rsidRDefault="00000000" w:rsidRPr="00000000" w14:paraId="000000B0">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Développement en plusieurs phases pour atteindre six pistes.</w:t>
      </w:r>
    </w:p>
    <w:p w:rsidR="00000000" w:rsidDel="00000000" w:rsidP="00000000" w:rsidRDefault="00000000" w:rsidRPr="00000000" w14:paraId="000000B1">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Construction impliquant des techniques de pointe, incluant :</w:t>
      </w:r>
    </w:p>
    <w:p w:rsidR="00000000" w:rsidDel="00000000" w:rsidP="00000000" w:rsidRDefault="00000000" w:rsidRPr="00000000" w14:paraId="000000B2">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Superficie totale des terminaux : 1,4 million de m².</w:t>
      </w:r>
    </w:p>
    <w:p w:rsidR="00000000" w:rsidDel="00000000" w:rsidP="00000000" w:rsidRDefault="00000000" w:rsidRPr="00000000" w14:paraId="000000B3">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Investissement total dépassant 10 milliards USD.</w:t>
      </w:r>
    </w:p>
    <w:p w:rsidR="00000000" w:rsidDel="00000000" w:rsidP="00000000" w:rsidRDefault="00000000" w:rsidRPr="00000000" w14:paraId="000000B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6">
      <w:pPr>
        <w:ind w:left="0" w:firstLine="0"/>
        <w:rPr>
          <w:rFonts w:ascii="Calibri" w:cs="Calibri" w:eastAsia="Calibri" w:hAnsi="Calibri"/>
        </w:rPr>
      </w:pPr>
      <w:r w:rsidDel="00000000" w:rsidR="00000000" w:rsidRPr="00000000">
        <w:rPr>
          <w:rFonts w:ascii="Calibri" w:cs="Calibri" w:eastAsia="Calibri" w:hAnsi="Calibri"/>
          <w:rtl w:val="0"/>
        </w:rPr>
        <w:t xml:space="preserve">Autres projets récents et à venir :</w:t>
      </w:r>
    </w:p>
    <w:p w:rsidR="00000000" w:rsidDel="00000000" w:rsidP="00000000" w:rsidRDefault="00000000" w:rsidRPr="00000000" w14:paraId="000000B7">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Aéroport de Rize Artvin, extension d’infrastructures à Antalya, Ankara et Izmir.</w:t>
      </w:r>
    </w:p>
    <w:p w:rsidR="00000000" w:rsidDel="00000000" w:rsidP="00000000" w:rsidRDefault="00000000" w:rsidRPr="00000000" w14:paraId="000000B8">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Réhabilitation et modernisation des aérogares, pistes et voies de circulation.</w:t>
      </w:r>
    </w:p>
    <w:p w:rsidR="00000000" w:rsidDel="00000000" w:rsidP="00000000" w:rsidRDefault="00000000" w:rsidRPr="00000000" w14:paraId="000000B9">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Renforcement des équipements de balisage lumineux et signalisation des aérodromes.</w:t>
      </w:r>
    </w:p>
    <w:p w:rsidR="00000000" w:rsidDel="00000000" w:rsidP="00000000" w:rsidRDefault="00000000" w:rsidRPr="00000000" w14:paraId="000000BA">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Construction de villes aéroportuaires intégrant parkings, routes d’accès, plateformes de correspondance et services publics.</w:t>
      </w:r>
    </w:p>
    <w:p w:rsidR="00000000" w:rsidDel="00000000" w:rsidP="00000000" w:rsidRDefault="00000000" w:rsidRPr="00000000" w14:paraId="000000BB">
      <w:pPr>
        <w:rPr>
          <w:rFonts w:ascii="Calibri" w:cs="Calibri" w:eastAsia="Calibri" w:hAnsi="Calibri"/>
        </w:rPr>
      </w:pPr>
      <w:r w:rsidDel="00000000" w:rsidR="00000000" w:rsidRPr="00000000">
        <w:rPr>
          <w:rtl w:val="0"/>
        </w:rPr>
      </w:r>
    </w:p>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u w:val="single"/>
          <w:rtl w:val="0"/>
        </w:rPr>
        <w:t xml:space="preserve">D’après Team Export :</w:t>
      </w:r>
      <w:r w:rsidDel="00000000" w:rsidR="00000000" w:rsidRPr="00000000">
        <w:rPr>
          <w:rFonts w:ascii="Calibri" w:cs="Calibri" w:eastAsia="Calibri" w:hAnsi="Calibri"/>
          <w:rtl w:val="0"/>
        </w:rPr>
        <w:t xml:space="preserve">  </w:t>
      </w:r>
    </w:p>
    <w:p w:rsidR="00000000" w:rsidDel="00000000" w:rsidP="00000000" w:rsidRDefault="00000000" w:rsidRPr="00000000" w14:paraId="000000BD">
      <w:pPr>
        <w:ind w:firstLine="720"/>
        <w:rPr>
          <w:rFonts w:ascii="Calibri" w:cs="Calibri" w:eastAsia="Calibri" w:hAnsi="Calibri"/>
        </w:rPr>
      </w:pPr>
      <w:r w:rsidDel="00000000" w:rsidR="00000000" w:rsidRPr="00000000">
        <w:rPr>
          <w:rFonts w:ascii="Calibri" w:cs="Calibri" w:eastAsia="Calibri" w:hAnsi="Calibri"/>
          <w:rtl w:val="0"/>
        </w:rPr>
        <w:t xml:space="preserve">“Il existe 57 aéroports (37 internationaux) et Istanbul Airport est le 2e aéroport d’Europe en termes de passagers (76 millions de passagers en 2023) après Londres, et a été classé comme le plus fréquenté d’Europe avec une moyenne de 1 446 vols quotidiens en 2023. Les autres principaux aéroports sont Istanbul Sabiha Gökçen Airport 37 millions de passagers, Antalya Airport 35 millions, Ankara Esenboga Airport 11 millions et Izmir Adnan Menderes Airport 10,6 millions.” </w:t>
      </w:r>
    </w:p>
    <w:p w:rsidR="00000000" w:rsidDel="00000000" w:rsidP="00000000" w:rsidRDefault="00000000" w:rsidRPr="00000000" w14:paraId="000000B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F">
      <w:pPr>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En synthèse : </w:t>
      </w:r>
    </w:p>
    <w:p w:rsidR="00000000" w:rsidDel="00000000" w:rsidP="00000000" w:rsidRDefault="00000000" w:rsidRPr="00000000" w14:paraId="000000C0">
      <w:pPr>
        <w:numPr>
          <w:ilvl w:val="0"/>
          <w:numId w:val="35"/>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Secteur clé dans le développement du pays.</w:t>
      </w:r>
    </w:p>
    <w:p w:rsidR="00000000" w:rsidDel="00000000" w:rsidP="00000000" w:rsidRDefault="00000000" w:rsidRPr="00000000" w14:paraId="000000C1">
      <w:pPr>
        <w:numPr>
          <w:ilvl w:val="0"/>
          <w:numId w:val="35"/>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Investissements massifs dans le développement global : aéroports, compagnie aérienne, tourisme.</w:t>
      </w:r>
    </w:p>
    <w:p w:rsidR="00000000" w:rsidDel="00000000" w:rsidP="00000000" w:rsidRDefault="00000000" w:rsidRPr="00000000" w14:paraId="000000C2">
      <w:pPr>
        <w:numPr>
          <w:ilvl w:val="0"/>
          <w:numId w:val="35"/>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Plusieurs projets de construction et d’extension aéroportuaires -&gt; ambition touristique, volonté d’accroître leur position de « carrefour géographique ».</w:t>
      </w:r>
    </w:p>
    <w:p w:rsidR="00000000" w:rsidDel="00000000" w:rsidP="00000000" w:rsidRDefault="00000000" w:rsidRPr="00000000" w14:paraId="000000C3">
      <w:pPr>
        <w:numPr>
          <w:ilvl w:val="0"/>
          <w:numId w:val="35"/>
        </w:numPr>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Modernisation des infrastructures existantes -&gt; budget probablement augmenté, tendance vers des équipements « green » et « technologiques ».</w:t>
      </w:r>
    </w:p>
    <w:p w:rsidR="00000000" w:rsidDel="00000000" w:rsidP="00000000" w:rsidRDefault="00000000" w:rsidRPr="00000000" w14:paraId="000000C4">
      <w:pPr>
        <w:pStyle w:val="Heading4"/>
        <w:rPr/>
      </w:pPr>
      <w:bookmarkStart w:colFirst="0" w:colLast="0" w:name="_w0o96la7h5lq" w:id="6"/>
      <w:bookmarkEnd w:id="6"/>
      <w:r w:rsidDel="00000000" w:rsidR="00000000" w:rsidRPr="00000000">
        <w:rPr>
          <w:rFonts w:ascii="Calibri" w:cs="Calibri" w:eastAsia="Calibri" w:hAnsi="Calibri"/>
          <w:b w:val="1"/>
          <w:bCs w:val="1"/>
          <w:color w:val="000000"/>
          <w:rtl w:val="0"/>
        </w:rPr>
        <w:t xml:space="preserve">C5. Autres</w:t>
      </w:r>
      <w:r w:rsidDel="00000000" w:rsidR="00000000" w:rsidRPr="00000000">
        <w:rPr>
          <w:rtl w:val="0"/>
        </w:rPr>
        <w:t xml:space="preserve"> </w:t>
      </w:r>
    </w:p>
    <w:p w:rsidR="00000000" w:rsidDel="00000000" w:rsidP="00000000" w:rsidRDefault="00000000" w:rsidRPr="00000000" w14:paraId="000000C5">
      <w:pPr>
        <w:spacing w:line="276.00000545454543"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6">
      <w:pPr>
        <w:spacing w:line="276.00000545454543" w:lineRule="auto"/>
        <w:rPr>
          <w:rFonts w:ascii="Calibri" w:cs="Calibri" w:eastAsia="Calibri" w:hAnsi="Calibri"/>
        </w:rPr>
      </w:pPr>
      <w:r w:rsidDel="00000000" w:rsidR="00000000" w:rsidRPr="00000000">
        <w:rPr>
          <w:rFonts w:ascii="Calibri" w:cs="Calibri" w:eastAsia="Calibri" w:hAnsi="Calibri"/>
          <w:b w:val="1"/>
          <w:bCs w:val="1"/>
          <w:rtl w:val="0"/>
        </w:rPr>
        <w:t xml:space="preserve">Marché des infrastructures scolaires/universitaires en Turquie :</w:t>
      </w:r>
      <w:r w:rsidDel="00000000" w:rsidR="00000000" w:rsidRPr="00000000">
        <w:rPr>
          <w:rFonts w:ascii="Calibri" w:cs="Calibri" w:eastAsia="Calibri" w:hAnsi="Calibri"/>
          <w:rtl w:val="0"/>
        </w:rPr>
        <w:t xml:space="preserve"> </w:t>
      </w:r>
    </w:p>
    <w:p w:rsidR="00000000" w:rsidDel="00000000" w:rsidP="00000000" w:rsidRDefault="00000000" w:rsidRPr="00000000" w14:paraId="000000C7">
      <w:pPr>
        <w:numPr>
          <w:ilvl w:val="0"/>
          <w:numId w:val="26"/>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Reconstruction post-séisme (budget de 160 M$)</w:t>
      </w:r>
    </w:p>
    <w:p w:rsidR="00000000" w:rsidDel="00000000" w:rsidP="00000000" w:rsidRDefault="00000000" w:rsidRPr="00000000" w14:paraId="000000C8">
      <w:pPr>
        <w:numPr>
          <w:ilvl w:val="0"/>
          <w:numId w:val="26"/>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Renforcement, adaptation et rénovation des infrastructures (+ de 1000 infrastructures concernés, zones sensibles) </w:t>
      </w:r>
    </w:p>
    <w:p w:rsidR="00000000" w:rsidDel="00000000" w:rsidP="00000000" w:rsidRDefault="00000000" w:rsidRPr="00000000" w14:paraId="000000C9">
      <w:pPr>
        <w:numPr>
          <w:ilvl w:val="0"/>
          <w:numId w:val="26"/>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Programme d’investissement public en 2025 (+ de 200 Md TRY alloué au secteur éducation)</w:t>
      </w:r>
    </w:p>
    <w:p w:rsidR="00000000" w:rsidDel="00000000" w:rsidP="00000000" w:rsidRDefault="00000000" w:rsidRPr="00000000" w14:paraId="000000CA">
      <w:pPr>
        <w:numPr>
          <w:ilvl w:val="0"/>
          <w:numId w:val="26"/>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 de 25k écoles primaires, + de 18k collèges, + de 200 établissements d’enseignement supérieur </w:t>
      </w:r>
    </w:p>
    <w:p w:rsidR="00000000" w:rsidDel="00000000" w:rsidP="00000000" w:rsidRDefault="00000000" w:rsidRPr="00000000" w14:paraId="000000CB">
      <w:pPr>
        <w:numPr>
          <w:ilvl w:val="0"/>
          <w:numId w:val="26"/>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L’éducation, comme priorité nationale, représente autour de 22% du budget national incluant salaires, construction, maintenance et rénovation d’infrastructures</w:t>
      </w:r>
    </w:p>
    <w:p w:rsidR="00000000" w:rsidDel="00000000" w:rsidP="00000000" w:rsidRDefault="00000000" w:rsidRPr="00000000" w14:paraId="000000CC">
      <w:pPr>
        <w:numPr>
          <w:ilvl w:val="0"/>
          <w:numId w:val="26"/>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Système éducatif principalement public, centralisé sous le Ministère de l'éducation Nationale (MEB) pour primaires, collèges et lycées ; les universités sont supervisées par le conseil de l’enseignement supérieur (YÖK) </w:t>
      </w:r>
    </w:p>
    <w:p w:rsidR="00000000" w:rsidDel="00000000" w:rsidP="00000000" w:rsidRDefault="00000000" w:rsidRPr="00000000" w14:paraId="000000CD">
      <w:pPr>
        <w:spacing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276.00000545454543" w:lineRule="auto"/>
        <w:rPr>
          <w:rFonts w:ascii="Calibri" w:cs="Calibri" w:eastAsia="Calibri" w:hAnsi="Calibri"/>
        </w:rPr>
      </w:pPr>
      <w:r w:rsidDel="00000000" w:rsidR="00000000" w:rsidRPr="00000000">
        <w:rPr>
          <w:rFonts w:ascii="Calibri" w:cs="Calibri" w:eastAsia="Calibri" w:hAnsi="Calibri"/>
          <w:b w:val="1"/>
          <w:bCs w:val="1"/>
          <w:rtl w:val="0"/>
        </w:rPr>
        <w:t xml:space="preserve">Parc et marché des malls/centres commerciaux :</w:t>
      </w:r>
      <w:r w:rsidDel="00000000" w:rsidR="00000000" w:rsidRPr="00000000">
        <w:rPr>
          <w:rFonts w:ascii="Calibri" w:cs="Calibri" w:eastAsia="Calibri" w:hAnsi="Calibri"/>
          <w:rtl w:val="0"/>
        </w:rPr>
        <w:t xml:space="preserve"> </w:t>
      </w:r>
    </w:p>
    <w:p w:rsidR="00000000" w:rsidDel="00000000" w:rsidP="00000000" w:rsidRDefault="00000000" w:rsidRPr="00000000" w14:paraId="000000CF">
      <w:pPr>
        <w:numPr>
          <w:ilvl w:val="0"/>
          <w:numId w:val="33"/>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La Turquie dispose d’un parc mature : environ 14 millions m² de GLA (surface locative) et 440-450 centres à l’échelle nationale selon différentes sources sectorielles (+ de 130 à Istanbul).</w:t>
      </w:r>
    </w:p>
    <w:p w:rsidR="00000000" w:rsidDel="00000000" w:rsidP="00000000" w:rsidRDefault="00000000" w:rsidRPr="00000000" w14:paraId="000000D0">
      <w:pPr>
        <w:numPr>
          <w:ilvl w:val="0"/>
          <w:numId w:val="33"/>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La construction de nouveaux malls existe encore, mais elle est limitée : 7 ouvertures annoncées d’ici fin 2026.</w:t>
      </w:r>
    </w:p>
    <w:p w:rsidR="00000000" w:rsidDel="00000000" w:rsidP="00000000" w:rsidRDefault="00000000" w:rsidRPr="00000000" w14:paraId="000000D1">
      <w:pPr>
        <w:numPr>
          <w:ilvl w:val="0"/>
          <w:numId w:val="33"/>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Marché “mature” -&gt; capex de rénovation plutôt que neuf : la dynamique se déplace vers repositionnement, modernisation, extensions (concept, circulation, F&amp;B/loisirs, façades, parkings), greenfield. </w:t>
      </w:r>
    </w:p>
    <w:p w:rsidR="00000000" w:rsidDel="00000000" w:rsidP="00000000" w:rsidRDefault="00000000" w:rsidRPr="00000000" w14:paraId="000000D2">
      <w:pPr>
        <w:numPr>
          <w:ilvl w:val="0"/>
          <w:numId w:val="33"/>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Experience</w:t>
      </w:r>
      <w:r w:rsidDel="00000000" w:rsidR="00000000" w:rsidRPr="00000000">
        <w:rPr>
          <w:rFonts w:ascii="Calibri" w:cs="Calibri" w:eastAsia="Calibri" w:hAnsi="Calibri"/>
          <w:rtl w:val="0"/>
        </w:rPr>
        <w:t xml:space="preserve">-led retail” : plus de restauration, divertissement, services (santé, beauté, loisirs),</w:t>
      </w:r>
    </w:p>
    <w:p w:rsidR="00000000" w:rsidDel="00000000" w:rsidP="00000000" w:rsidRDefault="00000000" w:rsidRPr="00000000" w14:paraId="000000D3">
      <w:pPr>
        <w:numPr>
          <w:ilvl w:val="0"/>
          <w:numId w:val="33"/>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Court terme : la croissance BTP la plus “active” est donc tirée par la rénovation/modernisation plutôt que par une vague de constructions neuves.</w:t>
      </w:r>
    </w:p>
    <w:p w:rsidR="00000000" w:rsidDel="00000000" w:rsidP="00000000" w:rsidRDefault="00000000" w:rsidRPr="00000000" w14:paraId="000000D4">
      <w:pPr>
        <w:numPr>
          <w:ilvl w:val="0"/>
          <w:numId w:val="33"/>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Beaucoup de grands actifs sont hybrides (retail + bureaux + résidentiel/hôtel) </w:t>
      </w:r>
    </w:p>
    <w:p w:rsidR="00000000" w:rsidDel="00000000" w:rsidP="00000000" w:rsidRDefault="00000000" w:rsidRPr="00000000" w14:paraId="000000D5">
      <w:pPr>
        <w:numPr>
          <w:ilvl w:val="0"/>
          <w:numId w:val="33"/>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Course à la performance énergétique &amp; ESG : exemples d’initiatives “green energy” sur des portefeuilles de centres, ce qui alimente des CAPEX sur énergie, pilotage, équipements.</w:t>
      </w:r>
    </w:p>
    <w:p w:rsidR="00000000" w:rsidDel="00000000" w:rsidP="00000000" w:rsidRDefault="00000000" w:rsidRPr="00000000" w14:paraId="000000D6">
      <w:pPr>
        <w:spacing w:line="276.00000545454543"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7">
      <w:pPr>
        <w:spacing w:line="276.00000545454543"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Stades :</w:t>
      </w: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numPr>
          <w:ilvl w:val="0"/>
          <w:numId w:val="29"/>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58 stades avec plus de 10 000 places (beaucoup de stades existent avec moins places) </w:t>
      </w:r>
    </w:p>
    <w:p w:rsidR="00000000" w:rsidDel="00000000" w:rsidP="00000000" w:rsidRDefault="00000000" w:rsidRPr="00000000" w14:paraId="000000D9">
      <w:pPr>
        <w:numPr>
          <w:ilvl w:val="0"/>
          <w:numId w:val="29"/>
        </w:numPr>
        <w:spacing w:line="276.00000545454543" w:lineRule="auto"/>
        <w:ind w:left="720" w:hanging="360"/>
        <w:rPr>
          <w:rFonts w:ascii="Calibri" w:cs="Calibri" w:eastAsia="Calibri" w:hAnsi="Calibri"/>
        </w:rPr>
      </w:pPr>
      <w:r w:rsidDel="00000000" w:rsidR="00000000" w:rsidRPr="00000000">
        <w:rPr>
          <w:rFonts w:ascii="Calibri" w:cs="Calibri" w:eastAsia="Calibri" w:hAnsi="Calibri"/>
          <w:rtl w:val="0"/>
        </w:rPr>
        <w:t xml:space="preserve">Italie et Turquie : désigné comme co organisateurs de l’Euro 2032 </w:t>
      </w:r>
    </w:p>
    <w:p w:rsidR="00000000" w:rsidDel="00000000" w:rsidP="00000000" w:rsidRDefault="00000000" w:rsidRPr="00000000" w14:paraId="000000DA">
      <w:pPr>
        <w:numPr>
          <w:ilvl w:val="0"/>
          <w:numId w:val="29"/>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Projet de construction d’un nouveau stade à Ankara </w:t>
      </w:r>
    </w:p>
    <w:p w:rsidR="00000000" w:rsidDel="00000000" w:rsidP="00000000" w:rsidRDefault="00000000" w:rsidRPr="00000000" w14:paraId="000000DB">
      <w:pPr>
        <w:numPr>
          <w:ilvl w:val="0"/>
          <w:numId w:val="29"/>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La construction de stades et sans doute leur rénovation/restauration sont menés par des ministères (ministère de l’environnement, de l’urbanisation et du changement climatique ainsi que le ministère de la jeunesse et des sports) et un organisme public appelé “TOKI”, acteurs dans la construction de logements sociales  </w:t>
      </w:r>
    </w:p>
    <w:p w:rsidR="00000000" w:rsidDel="00000000" w:rsidP="00000000" w:rsidRDefault="00000000" w:rsidRPr="00000000" w14:paraId="000000DC">
      <w:pPr>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“Les stades en Turquie ne sont pas seulement des lieux sportifs : ils représentent histoire, architecture et ferveur populaire. Les grandes villes comme Istanbul concentrent les stades les plus emblématiques, tandis que des villes moins peuplées comme Konya, </w:t>
      </w:r>
      <w:r w:rsidDel="00000000" w:rsidR="00000000" w:rsidRPr="00000000">
        <w:rPr>
          <w:rFonts w:ascii="Calibri" w:cs="Calibri" w:eastAsia="Calibri" w:hAnsi="Calibri"/>
          <w:rtl w:val="0"/>
        </w:rPr>
        <w:t xml:space="preserve">Samsun</w:t>
      </w:r>
      <w:r w:rsidDel="00000000" w:rsidR="00000000" w:rsidRPr="00000000">
        <w:rPr>
          <w:rFonts w:ascii="Calibri" w:cs="Calibri" w:eastAsia="Calibri" w:hAnsi="Calibri"/>
          <w:rtl w:val="0"/>
        </w:rPr>
        <w:t xml:space="preserve">, Kayseri et Antalya possèdent aussi des infrastructures modernes et impressionnantes</w:t>
      </w:r>
      <w:r w:rsidDel="00000000" w:rsidR="00000000" w:rsidRPr="00000000">
        <w:rPr>
          <w:rFonts w:ascii="Calibri" w:cs="Calibri" w:eastAsia="Calibri" w:hAnsi="Calibri"/>
          <w:vertAlign w:val="superscript"/>
          <w:rtl w:val="0"/>
        </w:rPr>
        <w:t xml:space="preserve"> “</w:t>
      </w:r>
    </w:p>
    <w:p w:rsidR="00000000" w:rsidDel="00000000" w:rsidP="00000000" w:rsidRDefault="00000000" w:rsidRPr="00000000" w14:paraId="000000DD">
      <w:pPr>
        <w:spacing w:line="276.00000545454543"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276.00000545454543" w:lineRule="auto"/>
        <w:ind w:left="0" w:firstLine="0"/>
        <w:rPr>
          <w:rFonts w:ascii="Calibri" w:cs="Calibri" w:eastAsia="Calibri" w:hAnsi="Calibri"/>
        </w:rPr>
      </w:pPr>
      <w:r w:rsidDel="00000000" w:rsidR="00000000" w:rsidRPr="00000000">
        <w:rPr>
          <w:rFonts w:ascii="Calibri" w:cs="Calibri" w:eastAsia="Calibri" w:hAnsi="Calibri"/>
          <w:rtl w:val="0"/>
        </w:rPr>
        <w:t xml:space="preserve">Pour un stade de 50 000 places : </w:t>
      </w:r>
    </w:p>
    <w:p w:rsidR="00000000" w:rsidDel="00000000" w:rsidP="00000000" w:rsidRDefault="00000000" w:rsidRPr="00000000" w14:paraId="000000DF">
      <w:pPr>
        <w:numPr>
          <w:ilvl w:val="0"/>
          <w:numId w:val="2"/>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 estime 300 urinoirs, 150 WC assis et 150 lavabos (pour 37 500 hommes)  </w:t>
      </w:r>
    </w:p>
    <w:p w:rsidR="00000000" w:rsidDel="00000000" w:rsidP="00000000" w:rsidRDefault="00000000" w:rsidRPr="00000000" w14:paraId="000000E0">
      <w:pPr>
        <w:numPr>
          <w:ilvl w:val="0"/>
          <w:numId w:val="29"/>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 estime 105 WC assis et 105 lavabos (pour 12 500 femmes) </w:t>
      </w:r>
    </w:p>
    <w:p w:rsidR="00000000" w:rsidDel="00000000" w:rsidP="00000000" w:rsidRDefault="00000000" w:rsidRPr="00000000" w14:paraId="000000E1">
      <w:pPr>
        <w:numPr>
          <w:ilvl w:val="0"/>
          <w:numId w:val="29"/>
        </w:numPr>
        <w:spacing w:line="276.00000545454543"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2 zones vestiaires joueurs incluant toilettes, douches et autres </w:t>
      </w:r>
    </w:p>
    <w:p w:rsidR="00000000" w:rsidDel="00000000" w:rsidP="00000000" w:rsidRDefault="00000000" w:rsidRPr="00000000" w14:paraId="000000E2">
      <w:pPr>
        <w:spacing w:line="276.00000545454543"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276.00000545454543"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Transports et routes :</w:t>
      </w:r>
      <w:r w:rsidDel="00000000" w:rsidR="00000000" w:rsidRPr="00000000">
        <w:rPr>
          <w:rFonts w:ascii="Calibri" w:cs="Calibri" w:eastAsia="Calibri" w:hAnsi="Calibri"/>
          <w:rtl w:val="0"/>
        </w:rPr>
        <w:t xml:space="preserve"> </w:t>
      </w:r>
    </w:p>
    <w:p w:rsidR="00000000" w:rsidDel="00000000" w:rsidP="00000000" w:rsidRDefault="00000000" w:rsidRPr="00000000" w14:paraId="000000E4">
      <w:pPr>
        <w:spacing w:line="276.00000545454543" w:lineRule="auto"/>
        <w:ind w:left="0" w:firstLine="720"/>
        <w:rPr>
          <w:rFonts w:ascii="Calibri" w:cs="Calibri" w:eastAsia="Calibri" w:hAnsi="Calibri"/>
        </w:rPr>
      </w:pPr>
      <w:r w:rsidDel="00000000" w:rsidR="00000000" w:rsidRPr="00000000">
        <w:rPr>
          <w:rFonts w:ascii="Calibri" w:cs="Calibri" w:eastAsia="Calibri" w:hAnsi="Calibri"/>
          <w:rtl w:val="0"/>
        </w:rPr>
        <w:t xml:space="preserve">“À l'horizon 2028, la Turquie projette de construire 4728 km d'autoroutes, signe de son engagement soutenu envers l'amélioration de son réseau de transport. Ces investissements sont d'autant plus cruciaux que le secteur des travaux publics a bénéficié de 26,8% du budget alloué dans le cadre du programme d'investissement 2023, avec des projets majeurs en cours pour renforcer les capacités en transport urbain et interurbain.”  </w:t>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Investissements ferroviaires : </w:t>
      </w:r>
    </w:p>
    <w:p w:rsidR="00000000" w:rsidDel="00000000" w:rsidP="00000000" w:rsidRDefault="00000000" w:rsidRPr="00000000" w14:paraId="000000E7">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Nouvelles routes territoriales prévues pour développer le pays à l’échelle nationale</w:t>
      </w:r>
    </w:p>
    <w:p w:rsidR="00000000" w:rsidDel="00000000" w:rsidP="00000000" w:rsidRDefault="00000000" w:rsidRPr="00000000" w14:paraId="000000E8">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Ambition d’amélioration globale du système</w:t>
      </w:r>
    </w:p>
    <w:p w:rsidR="00000000" w:rsidDel="00000000" w:rsidP="00000000" w:rsidRDefault="00000000" w:rsidRPr="00000000" w14:paraId="000000E9">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Liaisons internationales via l’Azerbaïdjan, la Géorgie, l’Iran et certaines parties du Moyen-Orient</w:t>
      </w:r>
    </w:p>
    <w:p w:rsidR="00000000" w:rsidDel="00000000" w:rsidP="00000000" w:rsidRDefault="00000000" w:rsidRPr="00000000" w14:paraId="000000E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“Selon une note sectorielle Advantis (2024), la Turquie aurait investi autour de 248 Md$ dans ses infrastructures de transport via 778 projets (répartition par modes…). La même source indique 270 projets PPP (1986-2023) pour autour de 204 Md$. Les totaux peuvent varier selon les sources et la méthodologie.” Décomposition des projets : </w:t>
      </w:r>
    </w:p>
    <w:p w:rsidR="00000000" w:rsidDel="00000000" w:rsidP="00000000" w:rsidRDefault="00000000" w:rsidRPr="00000000" w14:paraId="000000EC">
      <w:pPr>
        <w:rPr>
          <w:rFonts w:ascii="Calibri" w:cs="Calibri" w:eastAsia="Calibri" w:hAnsi="Calibri"/>
        </w:rPr>
      </w:pPr>
      <w:r w:rsidDel="00000000" w:rsidR="00000000" w:rsidRPr="00000000">
        <w:rPr>
          <w:rtl w:val="0"/>
        </w:rPr>
      </w:r>
    </w:p>
    <w:p w:rsidR="00000000" w:rsidDel="00000000" w:rsidP="00000000" w:rsidRDefault="00000000" w:rsidRPr="00000000" w14:paraId="000000ED">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Routes : 565 projets</w:t>
      </w:r>
    </w:p>
    <w:p w:rsidR="00000000" w:rsidDel="00000000" w:rsidP="00000000" w:rsidRDefault="00000000" w:rsidRPr="00000000" w14:paraId="000000EE">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Transport urbain : 55 projets</w:t>
      </w:r>
    </w:p>
    <w:p w:rsidR="00000000" w:rsidDel="00000000" w:rsidP="00000000" w:rsidRDefault="00000000" w:rsidRPr="00000000" w14:paraId="000000EF">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Aviation : 47 projets</w:t>
      </w:r>
    </w:p>
    <w:p w:rsidR="00000000" w:rsidDel="00000000" w:rsidP="00000000" w:rsidRDefault="00000000" w:rsidRPr="00000000" w14:paraId="000000F0">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Chemins de fer : 51 projets</w:t>
      </w:r>
    </w:p>
    <w:p w:rsidR="00000000" w:rsidDel="00000000" w:rsidP="00000000" w:rsidRDefault="00000000" w:rsidRPr="00000000" w14:paraId="000000F1">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Voies navigables : 28 projets</w:t>
      </w:r>
    </w:p>
    <w:p w:rsidR="00000000" w:rsidDel="00000000" w:rsidP="00000000" w:rsidRDefault="00000000" w:rsidRPr="00000000" w14:paraId="000000F2">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Communications : 15 projets</w:t>
      </w:r>
    </w:p>
    <w:p w:rsidR="00000000" w:rsidDel="00000000" w:rsidP="00000000" w:rsidRDefault="00000000" w:rsidRPr="00000000" w14:paraId="000000F3">
      <w:pPr>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Autoroutes : 17 projets”</w:t>
      </w:r>
    </w:p>
    <w:p w:rsidR="00000000" w:rsidDel="00000000" w:rsidP="00000000" w:rsidRDefault="00000000" w:rsidRPr="00000000" w14:paraId="000000F4">
      <w:pPr>
        <w:rPr>
          <w:rFonts w:ascii="Calibri" w:cs="Calibri" w:eastAsia="Calibri" w:hAnsi="Calibri"/>
        </w:rPr>
      </w:pPr>
      <w:r w:rsidDel="00000000" w:rsidR="00000000" w:rsidRPr="00000000">
        <w:rPr>
          <w:rtl w:val="0"/>
        </w:rPr>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Ambitions globales : </w:t>
      </w:r>
    </w:p>
    <w:p w:rsidR="00000000" w:rsidDel="00000000" w:rsidP="00000000" w:rsidRDefault="00000000" w:rsidRPr="00000000" w14:paraId="000000F6">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Grands travaux d’ingénierie : tunnels et ponts, incluant des ouvrages comme le Tunnel Eurasia et le Pont Yavuz Sultan Selim.</w:t>
      </w:r>
    </w:p>
    <w:p w:rsidR="00000000" w:rsidDel="00000000" w:rsidP="00000000" w:rsidRDefault="00000000" w:rsidRPr="00000000" w14:paraId="000000F7">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Faire de la Turquie un hub régional clé entre l’Europe et l’Asie, optimisant le transit routier, ferroviaire et maritime.</w:t>
      </w:r>
    </w:p>
    <w:p w:rsidR="00000000" w:rsidDel="00000000" w:rsidP="00000000" w:rsidRDefault="00000000" w:rsidRPr="00000000" w14:paraId="000000F8">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Accent sur l’infrastructure intelligente et durable : utilisation de BIM, SIG, IA, optimisation énergétique, résilience climatique.</w:t>
      </w:r>
    </w:p>
    <w:p w:rsidR="00000000" w:rsidDel="00000000" w:rsidP="00000000" w:rsidRDefault="00000000" w:rsidRPr="00000000" w14:paraId="000000F9">
      <w:pPr>
        <w:rPr>
          <w:rFonts w:ascii="Calibri" w:cs="Calibri" w:eastAsia="Calibri" w:hAnsi="Calibri"/>
        </w:rPr>
      </w:pPr>
      <w:r w:rsidDel="00000000" w:rsidR="00000000" w:rsidRPr="00000000">
        <w:rPr>
          <w:rtl w:val="0"/>
        </w:rPr>
      </w:r>
    </w:p>
    <w:p w:rsidR="00000000" w:rsidDel="00000000" w:rsidP="00000000" w:rsidRDefault="00000000" w:rsidRPr="00000000" w14:paraId="000000F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En synthèse : </w:t>
      </w:r>
    </w:p>
    <w:p w:rsidR="00000000" w:rsidDel="00000000" w:rsidP="00000000" w:rsidRDefault="00000000" w:rsidRPr="00000000" w14:paraId="000000FB">
      <w:pPr>
        <w:numPr>
          <w:ilvl w:val="0"/>
          <w:numId w:val="11"/>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Éducation : investissements massifs (2025) + reconstruction/rénovation post-séisme ; parc public très large (écoles, collèges, universités).</w:t>
      </w:r>
    </w:p>
    <w:p w:rsidR="00000000" w:rsidDel="00000000" w:rsidP="00000000" w:rsidRDefault="00000000" w:rsidRPr="00000000" w14:paraId="000000FC">
      <w:pPr>
        <w:numPr>
          <w:ilvl w:val="0"/>
          <w:numId w:val="11"/>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Malls : marché mature → peu de neuf, surtout rénovation/repositionnement + montée des exigences ESG/énergie et du retail “expérience” (F&amp;B/loisirs/services).</w:t>
      </w:r>
    </w:p>
    <w:p w:rsidR="00000000" w:rsidDel="00000000" w:rsidP="00000000" w:rsidRDefault="00000000" w:rsidRPr="00000000" w14:paraId="000000FD">
      <w:pPr>
        <w:numPr>
          <w:ilvl w:val="0"/>
          <w:numId w:val="11"/>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Stades : parc important ; projets de construction/rénovation (dont Ankara) stimulés par l’Euro 2032 ; besoins sanitaires élevés.</w:t>
      </w:r>
    </w:p>
    <w:p w:rsidR="00000000" w:rsidDel="00000000" w:rsidP="00000000" w:rsidRDefault="00000000" w:rsidRPr="00000000" w14:paraId="000000FE">
      <w:pPr>
        <w:numPr>
          <w:ilvl w:val="0"/>
          <w:numId w:val="11"/>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Transports : forts programmes routes/autoroutes et modernisation ferroviaire, avec corridors internationaux.</w:t>
      </w:r>
    </w:p>
    <w:p w:rsidR="00000000" w:rsidDel="00000000" w:rsidP="00000000" w:rsidRDefault="00000000" w:rsidRPr="00000000" w14:paraId="000000FF">
      <w:pPr>
        <w:numPr>
          <w:ilvl w:val="0"/>
          <w:numId w:val="11"/>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Ambition pays : grands ouvrages, rôle de hub Europe-Asie, et orientation vers des infrastructures plus smart &amp; durables.</w:t>
      </w:r>
    </w:p>
    <w:p w:rsidR="00000000" w:rsidDel="00000000" w:rsidP="00000000" w:rsidRDefault="00000000" w:rsidRPr="00000000" w14:paraId="00000100">
      <w:pPr>
        <w:rPr>
          <w:rFonts w:ascii="Calibri" w:cs="Calibri" w:eastAsia="Calibri" w:hAnsi="Calibri"/>
        </w:rPr>
      </w:pPr>
      <w:r w:rsidDel="00000000" w:rsidR="00000000" w:rsidRPr="00000000">
        <w:rPr>
          <w:rtl w:val="0"/>
        </w:rPr>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rPr>
          <w:rFonts w:ascii="Calibri" w:cs="Calibri" w:eastAsia="Calibri" w:hAnsi="Calibri"/>
        </w:rPr>
      </w:pPr>
      <w:r w:rsidDel="00000000" w:rsidR="00000000" w:rsidRPr="00000000">
        <w:rPr>
          <w:rtl w:val="0"/>
        </w:rPr>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b w:val="1"/>
          <w:bCs w:val="1"/>
          <w:rtl w:val="0"/>
        </w:rPr>
        <w:t xml:space="preserve">ANNEXES ET SOURCES</w:t>
      </w: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numPr>
          <w:ilvl w:val="0"/>
          <w:numId w:val="28"/>
        </w:numPr>
        <w:ind w:left="720" w:hanging="360"/>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Les services de santé en Turquie | Allianz Care</w:t>
        </w:r>
      </w:hyperlink>
      <w:r w:rsidDel="00000000" w:rsidR="00000000" w:rsidRPr="00000000">
        <w:rPr>
          <w:rtl w:val="0"/>
        </w:rPr>
      </w:r>
    </w:p>
    <w:p w:rsidR="00000000" w:rsidDel="00000000" w:rsidP="00000000" w:rsidRDefault="00000000" w:rsidRPr="00000000" w14:paraId="00000106">
      <w:pPr>
        <w:numPr>
          <w:ilvl w:val="0"/>
          <w:numId w:val="28"/>
        </w:numPr>
        <w:ind w:left="720" w:hanging="36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Organiser l'espace via les hôpitaux - Géographie-cités</w:t>
        </w:r>
      </w:hyperlink>
      <w:r w:rsidDel="00000000" w:rsidR="00000000" w:rsidRPr="00000000">
        <w:rPr>
          <w:rtl w:val="0"/>
        </w:rPr>
      </w:r>
    </w:p>
    <w:p w:rsidR="00000000" w:rsidDel="00000000" w:rsidP="00000000" w:rsidRDefault="00000000" w:rsidRPr="00000000" w14:paraId="00000107">
      <w:pPr>
        <w:numPr>
          <w:ilvl w:val="0"/>
          <w:numId w:val="28"/>
        </w:numPr>
        <w:ind w:left="720" w:hanging="360"/>
        <w:rPr>
          <w:rFonts w:ascii="Calibri" w:cs="Calibri" w:eastAsia="Calibri" w:hAnsi="Calibri"/>
          <w:u w:val="none"/>
        </w:rPr>
      </w:pPr>
      <w:hyperlink r:id="rId8">
        <w:r w:rsidDel="00000000" w:rsidR="00000000" w:rsidRPr="00000000">
          <w:rPr>
            <w:rFonts w:ascii="Calibri" w:cs="Calibri" w:eastAsia="Calibri" w:hAnsi="Calibri"/>
            <w:color w:val="1155cc"/>
            <w:u w:val="single"/>
            <w:rtl w:val="0"/>
          </w:rPr>
          <w:t xml:space="preserve">Le marché des dispositifs médicaux en Turquie - undefined</w:t>
        </w:r>
      </w:hyperlink>
      <w:r w:rsidDel="00000000" w:rsidR="00000000" w:rsidRPr="00000000">
        <w:rPr>
          <w:rtl w:val="0"/>
        </w:rPr>
      </w:r>
    </w:p>
    <w:p w:rsidR="00000000" w:rsidDel="00000000" w:rsidP="00000000" w:rsidRDefault="00000000" w:rsidRPr="00000000" w14:paraId="00000108">
      <w:pPr>
        <w:numPr>
          <w:ilvl w:val="0"/>
          <w:numId w:val="28"/>
        </w:numPr>
        <w:ind w:left="720" w:hanging="360"/>
        <w:rPr>
          <w:rFonts w:ascii="Calibri" w:cs="Calibri" w:eastAsia="Calibri" w:hAnsi="Calibri"/>
          <w:u w:val="none"/>
        </w:rPr>
      </w:pPr>
      <w:hyperlink r:id="rId9">
        <w:r w:rsidDel="00000000" w:rsidR="00000000" w:rsidRPr="00000000">
          <w:rPr>
            <w:rFonts w:ascii="Calibri" w:cs="Calibri" w:eastAsia="Calibri" w:hAnsi="Calibri"/>
            <w:color w:val="1155cc"/>
            <w:u w:val="single"/>
            <w:rtl w:val="0"/>
          </w:rPr>
          <w:t xml:space="preserve">Turkey Hospital Market By Size, Share and Forecast 2030F | TechSci Research</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9">
      <w:pPr>
        <w:numPr>
          <w:ilvl w:val="0"/>
          <w:numId w:val="28"/>
        </w:numPr>
        <w:ind w:left="720" w:hanging="360"/>
        <w:rPr>
          <w:rFonts w:ascii="Calibri" w:cs="Calibri" w:eastAsia="Calibri" w:hAnsi="Calibri"/>
          <w:u w:val="none"/>
        </w:rPr>
      </w:pPr>
      <w:hyperlink r:id="rId10">
        <w:r w:rsidDel="00000000" w:rsidR="00000000" w:rsidRPr="00000000">
          <w:rPr>
            <w:rFonts w:ascii="Calibri" w:cs="Calibri" w:eastAsia="Calibri" w:hAnsi="Calibri"/>
            <w:color w:val="1155cc"/>
            <w:u w:val="single"/>
            <w:rtl w:val="0"/>
          </w:rPr>
          <w:t xml:space="preserve">Découvrez le nouveau programme économique en Turquie (2025-2027) || Imtilak Immobilier</w:t>
        </w:r>
      </w:hyperlink>
      <w:r w:rsidDel="00000000" w:rsidR="00000000" w:rsidRPr="00000000">
        <w:rPr>
          <w:rtl w:val="0"/>
        </w:rPr>
      </w:r>
    </w:p>
    <w:p w:rsidR="00000000" w:rsidDel="00000000" w:rsidP="00000000" w:rsidRDefault="00000000" w:rsidRPr="00000000" w14:paraId="0000010A">
      <w:pPr>
        <w:numPr>
          <w:ilvl w:val="0"/>
          <w:numId w:val="28"/>
        </w:numPr>
        <w:ind w:left="720" w:hanging="360"/>
        <w:rPr>
          <w:rFonts w:ascii="Calibri" w:cs="Calibri" w:eastAsia="Calibri" w:hAnsi="Calibri"/>
          <w:u w:val="none"/>
        </w:rPr>
      </w:pPr>
      <w:hyperlink r:id="rId11">
        <w:r w:rsidDel="00000000" w:rsidR="00000000" w:rsidRPr="00000000">
          <w:rPr>
            <w:rFonts w:ascii="Calibri" w:cs="Calibri" w:eastAsia="Calibri" w:hAnsi="Calibri"/>
            <w:color w:val="1155cc"/>
            <w:u w:val="single"/>
            <w:rtl w:val="0"/>
          </w:rPr>
          <w:t xml:space="preserve">Turkey: footfall index of shopping centers 2025| Statista</w:t>
        </w:r>
      </w:hyperlink>
      <w:r w:rsidDel="00000000" w:rsidR="00000000" w:rsidRPr="00000000">
        <w:rPr>
          <w:rtl w:val="0"/>
        </w:rPr>
      </w:r>
    </w:p>
    <w:p w:rsidR="00000000" w:rsidDel="00000000" w:rsidP="00000000" w:rsidRDefault="00000000" w:rsidRPr="00000000" w14:paraId="0000010B">
      <w:pPr>
        <w:numPr>
          <w:ilvl w:val="0"/>
          <w:numId w:val="28"/>
        </w:numPr>
        <w:ind w:left="720" w:hanging="360"/>
        <w:rPr>
          <w:rFonts w:ascii="Calibri" w:cs="Calibri" w:eastAsia="Calibri" w:hAnsi="Calibri"/>
          <w:u w:val="none"/>
        </w:rPr>
      </w:pPr>
      <w:hyperlink r:id="rId12">
        <w:r w:rsidDel="00000000" w:rsidR="00000000" w:rsidRPr="00000000">
          <w:rPr>
            <w:rFonts w:ascii="Calibri" w:cs="Calibri" w:eastAsia="Calibri" w:hAnsi="Calibri"/>
            <w:color w:val="1155cc"/>
            <w:u w:val="single"/>
            <w:rtl w:val="0"/>
          </w:rPr>
          <w:t xml:space="preserve">https://www.across-magazine.com/the-economic-situation-in-turkey-and-its-impact-on-shopping-malls/</w:t>
        </w:r>
      </w:hyperlink>
      <w:r w:rsidDel="00000000" w:rsidR="00000000" w:rsidRPr="00000000">
        <w:rPr>
          <w:rtl w:val="0"/>
        </w:rPr>
      </w:r>
    </w:p>
    <w:p w:rsidR="00000000" w:rsidDel="00000000" w:rsidP="00000000" w:rsidRDefault="00000000" w:rsidRPr="00000000" w14:paraId="0000010C">
      <w:pPr>
        <w:numPr>
          <w:ilvl w:val="0"/>
          <w:numId w:val="28"/>
        </w:numPr>
        <w:ind w:left="720" w:hanging="360"/>
        <w:rPr>
          <w:rFonts w:ascii="Calibri" w:cs="Calibri" w:eastAsia="Calibri" w:hAnsi="Calibri"/>
          <w:u w:val="none"/>
        </w:rPr>
      </w:pPr>
      <w:hyperlink r:id="rId13">
        <w:r w:rsidDel="00000000" w:rsidR="00000000" w:rsidRPr="00000000">
          <w:rPr>
            <w:rFonts w:ascii="Calibri" w:cs="Calibri" w:eastAsia="Calibri" w:hAnsi="Calibri"/>
            <w:color w:val="1155cc"/>
            <w:u w:val="single"/>
            <w:rtl w:val="0"/>
          </w:rPr>
          <w:t xml:space="preserve">Turquie-BAT-decembre-2023.pdf</w:t>
        </w:r>
      </w:hyperlink>
      <w:r w:rsidDel="00000000" w:rsidR="00000000" w:rsidRPr="00000000">
        <w:rPr>
          <w:rtl w:val="0"/>
        </w:rPr>
      </w:r>
    </w:p>
    <w:p w:rsidR="00000000" w:rsidDel="00000000" w:rsidP="00000000" w:rsidRDefault="00000000" w:rsidRPr="00000000" w14:paraId="0000010D">
      <w:pPr>
        <w:numPr>
          <w:ilvl w:val="0"/>
          <w:numId w:val="28"/>
        </w:numPr>
        <w:ind w:left="720" w:hanging="360"/>
        <w:rPr>
          <w:rFonts w:ascii="Calibri" w:cs="Calibri" w:eastAsia="Calibri" w:hAnsi="Calibri"/>
          <w:u w:val="none"/>
        </w:rPr>
      </w:pPr>
      <w:hyperlink r:id="rId14">
        <w:r w:rsidDel="00000000" w:rsidR="00000000" w:rsidRPr="00000000">
          <w:rPr>
            <w:rFonts w:ascii="Calibri" w:cs="Calibri" w:eastAsia="Calibri" w:hAnsi="Calibri"/>
            <w:color w:val="1155cc"/>
            <w:u w:val="single"/>
            <w:rtl w:val="0"/>
          </w:rPr>
          <w:t xml:space="preserve">Turquie • Point de situation dans les prisons - Kedistan</w:t>
        </w:r>
      </w:hyperlink>
      <w:r w:rsidDel="00000000" w:rsidR="00000000" w:rsidRPr="00000000">
        <w:rPr>
          <w:rtl w:val="0"/>
        </w:rPr>
      </w:r>
    </w:p>
    <w:p w:rsidR="00000000" w:rsidDel="00000000" w:rsidP="00000000" w:rsidRDefault="00000000" w:rsidRPr="00000000" w14:paraId="0000010E">
      <w:pPr>
        <w:numPr>
          <w:ilvl w:val="0"/>
          <w:numId w:val="28"/>
        </w:numPr>
        <w:ind w:left="720" w:hanging="360"/>
        <w:rPr>
          <w:rFonts w:ascii="Calibri" w:cs="Calibri" w:eastAsia="Calibri" w:hAnsi="Calibri"/>
          <w:u w:val="none"/>
        </w:rPr>
      </w:pPr>
      <w:hyperlink r:id="rId15">
        <w:r w:rsidDel="00000000" w:rsidR="00000000" w:rsidRPr="00000000">
          <w:rPr>
            <w:rFonts w:ascii="Calibri" w:cs="Calibri" w:eastAsia="Calibri" w:hAnsi="Calibri"/>
            <w:color w:val="1155cc"/>
            <w:u w:val="single"/>
            <w:rtl w:val="0"/>
          </w:rPr>
          <w:t xml:space="preserve">Türkiye : les prisons en 2025</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F">
      <w:pPr>
        <w:numPr>
          <w:ilvl w:val="0"/>
          <w:numId w:val="28"/>
        </w:numPr>
        <w:ind w:left="720" w:hanging="360"/>
        <w:rPr>
          <w:rFonts w:ascii="Calibri" w:cs="Calibri" w:eastAsia="Calibri" w:hAnsi="Calibri"/>
          <w:u w:val="none"/>
        </w:rPr>
      </w:pPr>
      <w:hyperlink r:id="rId16">
        <w:r w:rsidDel="00000000" w:rsidR="00000000" w:rsidRPr="00000000">
          <w:rPr>
            <w:rFonts w:ascii="Calibri" w:cs="Calibri" w:eastAsia="Calibri" w:hAnsi="Calibri"/>
            <w:color w:val="1155cc"/>
            <w:u w:val="single"/>
            <w:rtl w:val="0"/>
          </w:rPr>
          <w:t xml:space="preserve">Turquie: un rapport dénonce des abus massifs dans les prisons en 2024 - RojInfo</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0">
      <w:pPr>
        <w:numPr>
          <w:ilvl w:val="0"/>
          <w:numId w:val="28"/>
        </w:numPr>
        <w:ind w:left="720" w:hanging="360"/>
        <w:rPr>
          <w:rFonts w:ascii="Calibri" w:cs="Calibri" w:eastAsia="Calibri" w:hAnsi="Calibri"/>
          <w:u w:val="none"/>
        </w:rPr>
      </w:pPr>
      <w:hyperlink r:id="rId17">
        <w:r w:rsidDel="00000000" w:rsidR="00000000" w:rsidRPr="00000000">
          <w:rPr>
            <w:rFonts w:ascii="Calibri" w:cs="Calibri" w:eastAsia="Calibri" w:hAnsi="Calibri"/>
            <w:color w:val="1155cc"/>
            <w:u w:val="single"/>
            <w:rtl w:val="0"/>
          </w:rPr>
          <w:t xml:space="preserve">Le Comité anti-torture publie deux rapports concernant la Turquie - Portal</w:t>
        </w:r>
      </w:hyperlink>
      <w:r w:rsidDel="00000000" w:rsidR="00000000" w:rsidRPr="00000000">
        <w:rPr>
          <w:rtl w:val="0"/>
        </w:rPr>
      </w:r>
    </w:p>
    <w:p w:rsidR="00000000" w:rsidDel="00000000" w:rsidP="00000000" w:rsidRDefault="00000000" w:rsidRPr="00000000" w14:paraId="00000111">
      <w:pPr>
        <w:numPr>
          <w:ilvl w:val="0"/>
          <w:numId w:val="28"/>
        </w:numPr>
        <w:ind w:left="720" w:hanging="360"/>
        <w:rPr>
          <w:rFonts w:ascii="Calibri" w:cs="Calibri" w:eastAsia="Calibri" w:hAnsi="Calibri"/>
          <w:u w:val="none"/>
        </w:rPr>
      </w:pPr>
      <w:hyperlink r:id="rId18">
        <w:r w:rsidDel="00000000" w:rsidR="00000000" w:rsidRPr="00000000">
          <w:rPr>
            <w:rFonts w:ascii="Calibri" w:cs="Calibri" w:eastAsia="Calibri" w:hAnsi="Calibri"/>
            <w:color w:val="1155cc"/>
            <w:u w:val="single"/>
            <w:rtl w:val="0"/>
          </w:rPr>
          <w:t xml:space="preserve">Turquie. Alors que des informations font état de torture, il faut permettre à des observateurs indépendants de rencontrer les détenus - Amnesty International France</w:t>
        </w:r>
      </w:hyperlink>
      <w:r w:rsidDel="00000000" w:rsidR="00000000" w:rsidRPr="00000000">
        <w:rPr>
          <w:rtl w:val="0"/>
        </w:rPr>
      </w:r>
    </w:p>
    <w:p w:rsidR="00000000" w:rsidDel="00000000" w:rsidP="00000000" w:rsidRDefault="00000000" w:rsidRPr="00000000" w14:paraId="00000112">
      <w:pPr>
        <w:numPr>
          <w:ilvl w:val="0"/>
          <w:numId w:val="28"/>
        </w:numPr>
        <w:ind w:left="720" w:hanging="360"/>
        <w:rPr>
          <w:rFonts w:ascii="Calibri" w:cs="Calibri" w:eastAsia="Calibri" w:hAnsi="Calibri"/>
          <w:u w:val="none"/>
        </w:rPr>
      </w:pPr>
      <w:hyperlink r:id="rId19">
        <w:r w:rsidDel="00000000" w:rsidR="00000000" w:rsidRPr="00000000">
          <w:rPr>
            <w:rFonts w:ascii="Calibri" w:cs="Calibri" w:eastAsia="Calibri" w:hAnsi="Calibri"/>
            <w:color w:val="1155cc"/>
            <w:u w:val="single"/>
            <w:rtl w:val="0"/>
          </w:rPr>
          <w:t xml:space="preserve">Vie Religieuse en Turquie : Lieux de Culte et Communautés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3">
      <w:pPr>
        <w:numPr>
          <w:ilvl w:val="0"/>
          <w:numId w:val="28"/>
        </w:numPr>
        <w:ind w:left="720" w:hanging="360"/>
        <w:rPr>
          <w:rFonts w:ascii="Calibri" w:cs="Calibri" w:eastAsia="Calibri" w:hAnsi="Calibri"/>
          <w:u w:val="none"/>
        </w:rPr>
      </w:pPr>
      <w:hyperlink r:id="rId20">
        <w:r w:rsidDel="00000000" w:rsidR="00000000" w:rsidRPr="00000000">
          <w:rPr>
            <w:rFonts w:ascii="Calibri" w:cs="Calibri" w:eastAsia="Calibri" w:hAnsi="Calibri"/>
            <w:color w:val="1155cc"/>
            <w:u w:val="single"/>
            <w:rtl w:val="0"/>
          </w:rPr>
          <w:t xml:space="preserve">L’aéroportuaire en Turquie - undefined</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4">
      <w:pPr>
        <w:numPr>
          <w:ilvl w:val="0"/>
          <w:numId w:val="28"/>
        </w:numPr>
        <w:ind w:left="720" w:hanging="360"/>
        <w:rPr>
          <w:rFonts w:ascii="Calibri" w:cs="Calibri" w:eastAsia="Calibri" w:hAnsi="Calibri"/>
          <w:u w:val="none"/>
        </w:rPr>
      </w:pPr>
      <w:hyperlink r:id="rId21">
        <w:r w:rsidDel="00000000" w:rsidR="00000000" w:rsidRPr="00000000">
          <w:rPr>
            <w:rFonts w:ascii="Calibri" w:cs="Calibri" w:eastAsia="Calibri" w:hAnsi="Calibri"/>
            <w:color w:val="1155cc"/>
            <w:u w:val="single"/>
            <w:rtl w:val="0"/>
          </w:rPr>
          <w:t xml:space="preserve">Infrastructure_NS_2024.pdf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5">
      <w:pPr>
        <w:numPr>
          <w:ilvl w:val="0"/>
          <w:numId w:val="28"/>
        </w:numPr>
        <w:ind w:left="720" w:hanging="360"/>
        <w:rPr>
          <w:rFonts w:ascii="Calibri" w:cs="Calibri" w:eastAsia="Calibri" w:hAnsi="Calibri"/>
          <w:u w:val="none"/>
        </w:rPr>
      </w:pPr>
      <w:hyperlink r:id="rId22">
        <w:r w:rsidDel="00000000" w:rsidR="00000000" w:rsidRPr="00000000">
          <w:rPr>
            <w:rFonts w:ascii="Calibri" w:cs="Calibri" w:eastAsia="Calibri" w:hAnsi="Calibri"/>
            <w:color w:val="1155cc"/>
            <w:u w:val="single"/>
            <w:rtl w:val="0"/>
          </w:rPr>
          <w:t xml:space="preserve">Dossier_documentaire_Turquie.pdf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6">
      <w:pPr>
        <w:numPr>
          <w:ilvl w:val="0"/>
          <w:numId w:val="28"/>
        </w:numPr>
        <w:ind w:left="720" w:hanging="360"/>
        <w:rPr>
          <w:rFonts w:ascii="Calibri" w:cs="Calibri" w:eastAsia="Calibri" w:hAnsi="Calibri"/>
          <w:u w:val="none"/>
        </w:rPr>
      </w:pPr>
      <w:hyperlink r:id="rId23">
        <w:r w:rsidDel="00000000" w:rsidR="00000000" w:rsidRPr="00000000">
          <w:rPr>
            <w:rFonts w:ascii="Calibri" w:cs="Calibri" w:eastAsia="Calibri" w:hAnsi="Calibri"/>
            <w:color w:val="1155cc"/>
            <w:u w:val="single"/>
            <w:rtl w:val="0"/>
          </w:rPr>
          <w:t xml:space="preserve">L’UEFA EURO 2032 en Italie et en Turquie: les informations actuelles | </w:t>
        </w:r>
      </w:hyperlink>
      <w:hyperlink r:id="rId24">
        <w:r w:rsidDel="00000000" w:rsidR="00000000" w:rsidRPr="00000000">
          <w:rPr>
            <w:rFonts w:ascii="Calibri" w:cs="Calibri" w:eastAsia="Calibri" w:hAnsi="Calibri"/>
            <w:color w:val="1155cc"/>
            <w:u w:val="single"/>
            <w:rtl w:val="0"/>
          </w:rPr>
          <w:t xml:space="preserve">UEFA.com</w:t>
        </w:r>
      </w:hyperlink>
      <w:r w:rsidDel="00000000" w:rsidR="00000000" w:rsidRPr="00000000">
        <w:rPr>
          <w:rtl w:val="0"/>
        </w:rPr>
      </w:r>
    </w:p>
    <w:p w:rsidR="00000000" w:rsidDel="00000000" w:rsidP="00000000" w:rsidRDefault="00000000" w:rsidRPr="00000000" w14:paraId="00000117">
      <w:pPr>
        <w:numPr>
          <w:ilvl w:val="0"/>
          <w:numId w:val="28"/>
        </w:numPr>
        <w:ind w:left="720" w:hanging="360"/>
        <w:rPr>
          <w:rFonts w:ascii="Calibri" w:cs="Calibri" w:eastAsia="Calibri" w:hAnsi="Calibri"/>
          <w:u w:val="none"/>
        </w:rPr>
      </w:pPr>
      <w:hyperlink r:id="rId25">
        <w:r w:rsidDel="00000000" w:rsidR="00000000" w:rsidRPr="00000000">
          <w:rPr>
            <w:rFonts w:ascii="Calibri" w:cs="Calibri" w:eastAsia="Calibri" w:hAnsi="Calibri"/>
            <w:color w:val="1155cc"/>
            <w:u w:val="single"/>
            <w:rtl w:val="0"/>
          </w:rPr>
          <w:t xml:space="preserve">Turquie.pdf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rPr>
          <w:rFonts w:ascii="Calibri" w:cs="Calibri" w:eastAsia="Calibri" w:hAnsi="Calibri"/>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rPr>
          <w:rFonts w:ascii="Calibri" w:cs="Calibri" w:eastAsia="Calibri" w:hAnsi="Calibri"/>
          <w:u w:val="single"/>
        </w:rPr>
      </w:pPr>
      <w:r w:rsidDel="00000000" w:rsidR="00000000" w:rsidRPr="00000000">
        <w:rPr>
          <w:rFonts w:ascii="Calibri" w:cs="Calibri" w:eastAsia="Calibri" w:hAnsi="Calibri"/>
          <w:u w:val="single"/>
          <w:rtl w:val="0"/>
        </w:rPr>
        <w:t xml:space="preserve">Principales religions et lieux de culte</w:t>
      </w:r>
    </w:p>
    <w:p w:rsidR="00000000" w:rsidDel="00000000" w:rsidP="00000000" w:rsidRDefault="00000000" w:rsidRPr="00000000" w14:paraId="0000011E">
      <w:pPr>
        <w:rPr>
          <w:rFonts w:ascii="Calibri" w:cs="Calibri" w:eastAsia="Calibri" w:hAnsi="Calibri"/>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Religion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Lieux emblématiques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Localisation principale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Statut et fréquentation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Islam</w:t>
            </w:r>
          </w:p>
        </w:tc>
        <w:tc>
          <w:tcP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Mosquée Bleue, Mosquée Süleymaniye</w:t>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Istanbul, Ankara, grandes villes</w:t>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Majoritaires, très fréquentés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Christianisme</w:t>
            </w:r>
          </w:p>
        </w:tc>
        <w:tc>
          <w:tcP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Sainte-Sophie, églises arméniennes, église Saint-Antoine</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Istanbul, Anatolie orientale</w:t>
            </w:r>
          </w:p>
        </w:tc>
        <w:tc>
          <w:tcP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Minoritaires, touristes et communautés locales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Judaïsme</w:t>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Synagogues Neve Shalom, Ahrida</w:t>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Istanbul, Izmir</w:t>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Communautés réduites, accès contrôlé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Autres (Yézidis, Alévis, Bahaïs)</w:t>
            </w:r>
          </w:p>
        </w:tc>
        <w:tc>
          <w:tcP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Cemévi, temples yézidis, lieux bahaïs</w:t>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Anatolie, régions spécifiques</w:t>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Pratiques communautaires</w:t>
            </w:r>
          </w:p>
        </w:tc>
      </w:tr>
    </w:tbl>
    <w:p w:rsidR="00000000" w:rsidDel="00000000" w:rsidP="00000000" w:rsidRDefault="00000000" w:rsidRPr="00000000" w14:paraId="00000133">
      <w:pPr>
        <w:rPr>
          <w:rFonts w:ascii="Calibri" w:cs="Calibri" w:eastAsia="Calibri" w:hAnsi="Calibri"/>
        </w:rPr>
      </w:pPr>
      <w:r w:rsidDel="00000000" w:rsidR="00000000" w:rsidRPr="00000000">
        <w:rPr>
          <w:rtl w:val="0"/>
        </w:rPr>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u w:val="single"/>
          <w:rtl w:val="0"/>
        </w:rPr>
        <w:t xml:space="preserve">Exemple d’estimation de budget de rénovation de sanitaires dans un lieu de culte en Turquie, à revérifier avec acteurs concernés</w:t>
      </w:r>
      <w:r w:rsidDel="00000000" w:rsidR="00000000" w:rsidRPr="00000000">
        <w:rPr>
          <w:rFonts w:ascii="Calibri" w:cs="Calibri" w:eastAsia="Calibri" w:hAnsi="Calibri"/>
          <w:rtl w:val="0"/>
        </w:rPr>
        <w:t xml:space="preserve"> </w:t>
      </w:r>
    </w:p>
    <w:p w:rsidR="00000000" w:rsidDel="00000000" w:rsidP="00000000" w:rsidRDefault="00000000" w:rsidRPr="00000000" w14:paraId="00000136">
      <w:pPr>
        <w:rPr>
          <w:rFonts w:ascii="Calibri" w:cs="Calibri" w:eastAsia="Calibri" w:hAnsi="Calibri"/>
        </w:rPr>
      </w:pPr>
      <w:r w:rsidDel="00000000" w:rsidR="00000000" w:rsidRPr="00000000">
        <w:rPr>
          <w:rtl w:val="0"/>
        </w:rPr>
      </w:r>
    </w:p>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“Comment </w:t>
      </w:r>
      <w:r w:rsidDel="00000000" w:rsidR="00000000" w:rsidRPr="00000000">
        <w:rPr>
          <w:rFonts w:ascii="Calibri" w:cs="Calibri" w:eastAsia="Calibri" w:hAnsi="Calibri"/>
          <w:rtl w:val="0"/>
        </w:rPr>
        <w:t xml:space="preserve"> estimer le budget de rénovation de sanitaires dans un lieu de culte en Turquie en additionnant les coûts des postes classiques (équipements, main-d’œuvre, revêtements, ventilation) et en tenant compte de facteurs locaux ?” </w:t>
      </w:r>
    </w:p>
    <w:p w:rsidR="00000000" w:rsidDel="00000000" w:rsidP="00000000" w:rsidRDefault="00000000" w:rsidRPr="00000000" w14:paraId="0000013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9">
      <w:pPr>
        <w:ind w:left="0" w:firstLine="0"/>
        <w:rPr>
          <w:rFonts w:ascii="Calibri" w:cs="Calibri" w:eastAsia="Calibri" w:hAnsi="Calibri"/>
        </w:rPr>
      </w:pPr>
      <w:r w:rsidDel="00000000" w:rsidR="00000000" w:rsidRPr="00000000">
        <w:rPr>
          <w:rFonts w:ascii="Calibri" w:cs="Calibri" w:eastAsia="Calibri" w:hAnsi="Calibri"/>
          <w:rtl w:val="0"/>
        </w:rPr>
        <w:t xml:space="preserve">Principaux postes de dépense : </w:t>
      </w:r>
    </w:p>
    <w:p w:rsidR="00000000" w:rsidDel="00000000" w:rsidP="00000000" w:rsidRDefault="00000000" w:rsidRPr="00000000" w14:paraId="0000013A">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Équipements (lavabo, WC, douche/baignoire, robinetterie) avec des fourchettes de prix, et un ajustement Turquie x1,8 à x2 par rapport à la France (TVA, logistique, artisanat)-&gt; dépend très fortement du mix local et import.</w:t>
      </w:r>
    </w:p>
    <w:p w:rsidR="00000000" w:rsidDel="00000000" w:rsidP="00000000" w:rsidRDefault="00000000" w:rsidRPr="00000000" w14:paraId="0000013B">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Main-d’œuvre : prix forfaitaires ou par lot </w:t>
      </w:r>
    </w:p>
    <w:p w:rsidR="00000000" w:rsidDel="00000000" w:rsidP="00000000" w:rsidRDefault="00000000" w:rsidRPr="00000000" w14:paraId="0000013C">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Revêtements + étanchéité : carrelage (40-150 €/m²), peinture anti-humidité (20-70 €/m²), étanchéité douche/baignoire (2 000-5 000 €).</w:t>
      </w:r>
    </w:p>
    <w:p w:rsidR="00000000" w:rsidDel="00000000" w:rsidP="00000000" w:rsidRDefault="00000000" w:rsidRPr="00000000" w14:paraId="0000013D">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Ventilation/VMC : 180-600 € (jusqu’à 1 000 € en systèmes plus complexes).</w:t>
        <w:br w:type="textWrapping"/>
      </w:r>
    </w:p>
    <w:p w:rsidR="00000000" w:rsidDel="00000000" w:rsidP="00000000" w:rsidRDefault="00000000" w:rsidRPr="00000000" w14:paraId="0000013E">
      <w:pPr>
        <w:ind w:left="0" w:firstLine="0"/>
        <w:rPr>
          <w:rFonts w:ascii="Calibri" w:cs="Calibri" w:eastAsia="Calibri" w:hAnsi="Calibri"/>
        </w:rPr>
      </w:pPr>
      <w:r w:rsidDel="00000000" w:rsidR="00000000" w:rsidRPr="00000000">
        <w:rPr>
          <w:rFonts w:ascii="Calibri" w:cs="Calibri" w:eastAsia="Calibri" w:hAnsi="Calibri"/>
          <w:rtl w:val="0"/>
        </w:rPr>
        <w:t xml:space="preserve">Ordres de grandeur</w:t>
      </w:r>
    </w:p>
    <w:p w:rsidR="00000000" w:rsidDel="00000000" w:rsidP="00000000" w:rsidRDefault="00000000" w:rsidRPr="00000000" w14:paraId="0000013F">
      <w:pPr>
        <w:numPr>
          <w:ilvl w:val="0"/>
          <w:numId w:val="3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Pour un bloc sanitaire standard (~10 m² : 1 WC + 1 lavabo + 1 douche) : environ 246 500 à 250 000 TL, soit ~12 000-13 000 €.</w:t>
      </w:r>
    </w:p>
    <w:p w:rsidR="00000000" w:rsidDel="00000000" w:rsidP="00000000" w:rsidRDefault="00000000" w:rsidRPr="00000000" w14:paraId="00000140">
      <w:pPr>
        <w:numPr>
          <w:ilvl w:val="0"/>
          <w:numId w:val="3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Pour un lieu de culte plus grand avec plusieurs blocs : 600 000 à 1 200 000 TL (~30 000-60 000 €), à ajuster selon étages, accessibilité PMR, fréquentation.</w:t>
        <w:br w:type="textWrapping"/>
      </w:r>
    </w:p>
    <w:p w:rsidR="00000000" w:rsidDel="00000000" w:rsidP="00000000" w:rsidRDefault="00000000" w:rsidRPr="00000000" w14:paraId="00000141">
      <w:pPr>
        <w:ind w:left="0" w:firstLine="0"/>
        <w:rPr>
          <w:rFonts w:ascii="Calibri" w:cs="Calibri" w:eastAsia="Calibri" w:hAnsi="Calibri"/>
        </w:rPr>
      </w:pPr>
      <w:r w:rsidDel="00000000" w:rsidR="00000000" w:rsidRPr="00000000">
        <w:rPr>
          <w:rFonts w:ascii="Calibri" w:cs="Calibri" w:eastAsia="Calibri" w:hAnsi="Calibri"/>
          <w:rtl w:val="0"/>
        </w:rPr>
        <w:t xml:space="preserve">Facteurs qui font varier le budget</w:t>
      </w:r>
    </w:p>
    <w:p w:rsidR="00000000" w:rsidDel="00000000" w:rsidP="00000000" w:rsidRDefault="00000000" w:rsidRPr="00000000" w14:paraId="00000142">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Taille/fréquentation, normes locales (sécurité, PMR, sismique), gamme et esthétique des matériaux, ville ou province, complexité technique (multi-niveaux, contraintes architecturales) ; risque de revalorisation si le chantier est long ; spécificités lieu de cultes (contraintes horaires, forte fréquentation)</w:t>
        <w:br w:type="textWrapping"/>
      </w:r>
    </w:p>
    <w:p w:rsidR="00000000" w:rsidDel="00000000" w:rsidP="00000000" w:rsidRDefault="00000000" w:rsidRPr="00000000" w14:paraId="00000143">
      <w:pPr>
        <w:ind w:left="0" w:firstLine="0"/>
        <w:rPr>
          <w:rFonts w:ascii="Calibri" w:cs="Calibri" w:eastAsia="Calibri" w:hAnsi="Calibri"/>
        </w:rPr>
      </w:pPr>
      <w:r w:rsidDel="00000000" w:rsidR="00000000" w:rsidRPr="00000000">
        <w:rPr>
          <w:rFonts w:ascii="Calibri" w:cs="Calibri" w:eastAsia="Calibri" w:hAnsi="Calibri"/>
          <w:rtl w:val="0"/>
        </w:rPr>
        <w:t xml:space="preserve">Recommandations</w:t>
      </w:r>
    </w:p>
    <w:p w:rsidR="00000000" w:rsidDel="00000000" w:rsidP="00000000" w:rsidRDefault="00000000" w:rsidRPr="00000000" w14:paraId="00000144">
      <w:pPr>
        <w:numPr>
          <w:ilvl w:val="0"/>
          <w:numId w:val="2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Faire un diagnostic, prévoir +10–15 % d’imprévus, comparer plusieurs devis, privilégier des matériaux durables/faciles d’entretien, intégrer ventilation et accessibilité si accueil régulier du public.</w:t>
      </w:r>
    </w:p>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tl w:val="0"/>
        </w:rPr>
      </w:r>
    </w:p>
    <w:p w:rsidR="00000000" w:rsidDel="00000000" w:rsidP="00000000" w:rsidRDefault="00000000" w:rsidRPr="00000000" w14:paraId="00000147">
      <w:pPr>
        <w:rPr>
          <w:rFonts w:ascii="Calibri" w:cs="Calibri" w:eastAsia="Calibri" w:hAnsi="Calibri"/>
          <w:u w:val="single"/>
        </w:rPr>
      </w:pPr>
      <w:r w:rsidDel="00000000" w:rsidR="00000000" w:rsidRPr="00000000">
        <w:rPr>
          <w:rFonts w:ascii="Calibri" w:cs="Calibri" w:eastAsia="Calibri" w:hAnsi="Calibri"/>
          <w:u w:val="single"/>
          <w:rtl w:val="0"/>
        </w:rPr>
        <w:t xml:space="preserve">Conditions et incarcération en Turquie : </w:t>
      </w:r>
    </w:p>
    <w:p w:rsidR="00000000" w:rsidDel="00000000" w:rsidP="00000000" w:rsidRDefault="00000000" w:rsidRPr="00000000" w14:paraId="00000148">
      <w:pPr>
        <w:rPr>
          <w:rFonts w:ascii="Calibri" w:cs="Calibri" w:eastAsia="Calibri" w:hAnsi="Calibri"/>
        </w:rPr>
      </w:pPr>
      <w:r w:rsidDel="00000000" w:rsidR="00000000" w:rsidRPr="00000000">
        <w:rPr>
          <w:rtl w:val="0"/>
        </w:rPr>
      </w:r>
    </w:p>
    <w:p w:rsidR="00000000" w:rsidDel="00000000" w:rsidP="00000000" w:rsidRDefault="00000000" w:rsidRPr="00000000" w14:paraId="00000149">
      <w:pPr>
        <w:ind w:firstLine="720"/>
        <w:rPr>
          <w:rFonts w:ascii="Calibri" w:cs="Calibri" w:eastAsia="Calibri" w:hAnsi="Calibri"/>
        </w:rPr>
      </w:pPr>
      <w:r w:rsidDel="00000000" w:rsidR="00000000" w:rsidRPr="00000000">
        <w:rPr>
          <w:rFonts w:ascii="Calibri" w:cs="Calibri" w:eastAsia="Calibri" w:hAnsi="Calibri"/>
          <w:rtl w:val="0"/>
        </w:rPr>
        <w:t xml:space="preserve">“En 2021, 901 requêtes ont été déposées auprès de l’Association des droits humains (İHD), et seulement pour les six premiers mois de 2022, on compte 506 requêtes déposées auprès de l’Institution turque des droits de l’homme et de l’égalité (TİHEK). Les requêtes des familles et des avocats auprès des autorités judiciaires contre les violations des droits sont souvent rejetées, les requêtes des détenu.es ne sont même pas traitées. Il est régulièrement rapporté que certaines administrations pénitentiaires ne respectent pas la décision de nombreuses institutions, y compris la Cour constitutionnelle, et questionnées, ont donné la réponse « C’est différent ici ».”</w:t>
      </w:r>
    </w:p>
    <w:p w:rsidR="00000000" w:rsidDel="00000000" w:rsidP="00000000" w:rsidRDefault="00000000" w:rsidRPr="00000000" w14:paraId="0000014A">
      <w:pP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4B">
      <w:pPr>
        <w:ind w:firstLine="720"/>
        <w:rPr>
          <w:rFonts w:ascii="Calibri" w:cs="Calibri" w:eastAsia="Calibri" w:hAnsi="Calibri"/>
        </w:rPr>
      </w:pPr>
      <w:r w:rsidDel="00000000" w:rsidR="00000000" w:rsidRPr="00000000">
        <w:rPr>
          <w:rFonts w:ascii="Calibri" w:cs="Calibri" w:eastAsia="Calibri" w:hAnsi="Calibri"/>
          <w:rtl w:val="0"/>
        </w:rPr>
        <w:t xml:space="preserve">“Le Comité européen pour la prévention de la torture (CPT) rapporte à plusieurs reprises, à partir de 2009, une surpopulation sévère ayant pour conséquence des conditions de détention inhumaines et dégradantes. Il relève notamment des cellules extrêmement exigus, des matelas en nombre insuffisant, un accès limité aux activités hors cellule et des services de santé dépassés. Le CPT souligne particulièrement le cas de l’établissement de type E de Trabzon, où 32 personnes détenues se partagent une cellule de 40 m² et de la prison de Siirt, où 19 personnes détenues se partagent une cellule de 36 m². Les autorités turques entreprennent, en réaction à la croissance de la population carcérale, d’étendre le parc pénitentiaire. Le CPT rapporte que certains des établissements récemment ouverts sont rapidement surpeuplés. Des politiques de réduction de l’espace alloué par personne et d’ajout de lits supplémentaires dans des unités de détention existantes sont mises en œuvre. Ces mesures aggravent la surpopulation et détériorent encore davantage les conditions de détention.”</w:t>
      </w:r>
    </w:p>
    <w:p w:rsidR="00000000" w:rsidDel="00000000" w:rsidP="00000000" w:rsidRDefault="00000000" w:rsidRPr="00000000" w14:paraId="0000014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D’après une base “stadiums in Turkey” (StadiumDB), voici une liste des principaux stades en Turquie et leur capacité :</w:t>
      </w:r>
    </w:p>
    <w:p w:rsidR="00000000" w:rsidDel="00000000" w:rsidP="00000000" w:rsidRDefault="00000000" w:rsidRPr="00000000" w14:paraId="0000014E">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Atatürk Olimpiyat Stadi (Istanbul) : 75 145</w:t>
      </w:r>
    </w:p>
    <w:p w:rsidR="00000000" w:rsidDel="00000000" w:rsidP="00000000" w:rsidRDefault="00000000" w:rsidRPr="00000000" w14:paraId="0000014F">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RAMS Park (Istanbul) : 52 280</w:t>
      </w:r>
    </w:p>
    <w:p w:rsidR="00000000" w:rsidDel="00000000" w:rsidP="00000000" w:rsidRDefault="00000000" w:rsidRPr="00000000" w14:paraId="00000150">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Şükrü Saracoğlu / “Chobani Stadyumu” (Istanbul) : 50 530</w:t>
      </w:r>
    </w:p>
    <w:p w:rsidR="00000000" w:rsidDel="00000000" w:rsidP="00000000" w:rsidRDefault="00000000" w:rsidRPr="00000000" w14:paraId="00000151">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Tüpraş Stadyumu (Istanbul) : 42 590</w:t>
      </w:r>
    </w:p>
    <w:p w:rsidR="00000000" w:rsidDel="00000000" w:rsidP="00000000" w:rsidRDefault="00000000" w:rsidRPr="00000000" w14:paraId="00000152">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Konya Büyükşehir Stadyumu (Konya) : 42 000</w:t>
      </w:r>
    </w:p>
    <w:p w:rsidR="00000000" w:rsidDel="00000000" w:rsidP="00000000" w:rsidRDefault="00000000" w:rsidRPr="00000000" w14:paraId="00000153">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Papara Park (Trabzon) : 40 980</w:t>
      </w:r>
    </w:p>
    <w:p w:rsidR="00000000" w:rsidDel="00000000" w:rsidP="00000000" w:rsidRDefault="00000000" w:rsidRPr="00000000" w14:paraId="00000154">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Kocaeli Stadyumu (İzmit) : 34 829</w:t>
      </w:r>
    </w:p>
    <w:p w:rsidR="00000000" w:rsidDel="00000000" w:rsidP="00000000" w:rsidRDefault="00000000" w:rsidRPr="00000000" w14:paraId="00000155">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Samsun 19 Mayıs Stadyumu (Samsun) : 33 919</w:t>
      </w:r>
    </w:p>
    <w:p w:rsidR="00000000" w:rsidDel="00000000" w:rsidP="00000000" w:rsidRDefault="00000000" w:rsidRPr="00000000" w14:paraId="00000156">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Kalyon Stadyumu (Gaziantep) : 33 502</w:t>
      </w:r>
    </w:p>
    <w:p w:rsidR="00000000" w:rsidDel="00000000" w:rsidP="00000000" w:rsidRDefault="00000000" w:rsidRPr="00000000" w14:paraId="00000157">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Antalya Stadium / Corendon Airlines Park (Antalya) : 33 000</w:t>
      </w:r>
      <w:r w:rsidDel="00000000" w:rsidR="00000000" w:rsidRPr="00000000">
        <w:rPr>
          <w:rtl w:val="0"/>
        </w:rPr>
      </w:r>
    </w:p>
    <w:p w:rsidR="00000000" w:rsidDel="00000000" w:rsidP="00000000" w:rsidRDefault="00000000" w:rsidRPr="00000000" w14:paraId="00000158">
      <w:pPr>
        <w:ind w:left="0" w:firstLine="0"/>
        <w:rPr>
          <w:rFonts w:ascii="Calibri" w:cs="Calibri" w:eastAsia="Calibri" w:hAnsi="Calibri"/>
          <w:u w:val="single"/>
        </w:rPr>
      </w:pPr>
      <w:r w:rsidDel="00000000" w:rsidR="00000000" w:rsidRPr="00000000">
        <w:rPr>
          <w:rtl w:val="0"/>
        </w:rPr>
      </w:r>
    </w:p>
    <w:p w:rsidR="00000000" w:rsidDel="00000000" w:rsidP="00000000" w:rsidRDefault="00000000" w:rsidRPr="00000000" w14:paraId="00000159">
      <w:pPr>
        <w:ind w:left="0" w:firstLine="0"/>
        <w:rPr>
          <w:rFonts w:ascii="Calibri" w:cs="Calibri" w:eastAsia="Calibri" w:hAnsi="Calibri"/>
          <w:u w:val="single"/>
        </w:rPr>
      </w:pPr>
      <w:r w:rsidDel="00000000" w:rsidR="00000000" w:rsidRPr="00000000">
        <w:rPr>
          <w:rtl w:val="0"/>
        </w:rPr>
      </w:r>
    </w:p>
    <w:p w:rsidR="00000000" w:rsidDel="00000000" w:rsidP="00000000" w:rsidRDefault="00000000" w:rsidRPr="00000000" w14:paraId="0000015A">
      <w:pPr>
        <w:ind w:left="0" w:firstLine="0"/>
        <w:rPr>
          <w:rFonts w:ascii="Calibri" w:cs="Calibri" w:eastAsia="Calibri" w:hAnsi="Calibri"/>
        </w:rPr>
      </w:pPr>
      <w:r w:rsidDel="00000000" w:rsidR="00000000" w:rsidRPr="00000000">
        <w:rPr>
          <w:rFonts w:ascii="Calibri" w:cs="Calibri" w:eastAsia="Calibri" w:hAnsi="Calibri"/>
          <w:u w:val="single"/>
          <w:rtl w:val="0"/>
        </w:rPr>
        <w:t xml:space="preserve">Evolution du paysage ferroviaire et routier en Turquie :</w:t>
      </w:r>
      <w:r w:rsidDel="00000000" w:rsidR="00000000" w:rsidRPr="00000000">
        <w:rPr>
          <w:rFonts w:ascii="Calibri" w:cs="Calibri" w:eastAsia="Calibri" w:hAnsi="Calibri"/>
          <w:rtl w:val="0"/>
        </w:rPr>
        <w:t xml:space="preserve"> </w:t>
      </w:r>
    </w:p>
    <w:p w:rsidR="00000000" w:rsidDel="00000000" w:rsidP="00000000" w:rsidRDefault="00000000" w:rsidRPr="00000000" w14:paraId="0000015B">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55474" cy="2903606"/>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855474" cy="290360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En 2023 : </w:t>
      </w:r>
    </w:p>
    <w:p w:rsidR="00000000" w:rsidDel="00000000" w:rsidP="00000000" w:rsidRDefault="00000000" w:rsidRPr="00000000" w14:paraId="0000015E">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219 ports </w:t>
      </w:r>
    </w:p>
    <w:p w:rsidR="00000000" w:rsidDel="00000000" w:rsidP="00000000" w:rsidRDefault="00000000" w:rsidRPr="00000000" w14:paraId="0000015F">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13 centres logistiques </w:t>
      </w:r>
    </w:p>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Objectif 2053 : </w:t>
      </w:r>
    </w:p>
    <w:p w:rsidR="00000000" w:rsidDel="00000000" w:rsidP="00000000" w:rsidRDefault="00000000" w:rsidRPr="00000000" w14:paraId="00000161">
      <w:pPr>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255 ports </w:t>
      </w:r>
    </w:p>
    <w:p w:rsidR="00000000" w:rsidDel="00000000" w:rsidP="00000000" w:rsidRDefault="00000000" w:rsidRPr="00000000" w14:paraId="00000162">
      <w:pPr>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26 centres logistiques </w:t>
      </w:r>
    </w:p>
    <w:p w:rsidR="00000000" w:rsidDel="00000000" w:rsidP="00000000" w:rsidRDefault="00000000" w:rsidRPr="00000000" w14:paraId="00000163">
      <w:pPr>
        <w:ind w:left="0" w:firstLine="0"/>
        <w:rPr>
          <w:rFonts w:ascii="Calibri" w:cs="Calibri" w:eastAsia="Calibri" w:hAnsi="Calibri"/>
        </w:rPr>
      </w:pPr>
      <w:r w:rsidDel="00000000" w:rsidR="00000000" w:rsidRPr="00000000">
        <w:rPr>
          <w:rtl w:val="0"/>
        </w:rPr>
      </w:r>
    </w:p>
    <w:sectPr>
      <w:headerReference r:id="rId27" w:type="default"/>
      <w:foot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Etude - Turquie</w:t>
    </w:r>
  </w:p>
  <w:p w:rsidR="00000000" w:rsidDel="00000000" w:rsidP="00000000" w:rsidRDefault="00000000" w:rsidRPr="00000000" w14:paraId="00000165">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amfrance-export.fr/fiche-marche/infrastructures/aeroportuaire/TR" TargetMode="External"/><Relationship Id="rId22" Type="http://schemas.openxmlformats.org/officeDocument/2006/relationships/hyperlink" Target="https://www.ecologie.gouv.fr/sites/default/files/documents/Dossier_documentaire_Turquie.pdf" TargetMode="External"/><Relationship Id="rId21" Type="http://schemas.openxmlformats.org/officeDocument/2006/relationships/hyperlink" Target="https://irp.cdn-website.com/f3018398/files/uploaded/Infrastructure_NS_2024.pdf" TargetMode="External"/><Relationship Id="rId24" Type="http://schemas.openxmlformats.org/officeDocument/2006/relationships/hyperlink" Target="http://uefa.com" TargetMode="External"/><Relationship Id="rId23" Type="http://schemas.openxmlformats.org/officeDocument/2006/relationships/hyperlink" Target="https://fr.uefa.com/news-media/news/0286-193a87f79305-e40156eca334-1000--l-uefa-euro-2032-en-italie-et-en-turquie-les-information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sciresearch.com/report/turkey-hospital-market/15177.html" TargetMode="External"/><Relationship Id="rId26" Type="http://schemas.openxmlformats.org/officeDocument/2006/relationships/image" Target="media/image1.png"/><Relationship Id="rId25" Type="http://schemas.openxmlformats.org/officeDocument/2006/relationships/hyperlink" Target="https://www.france-education-international.fr/system/files/medias/fichiers/2025/09/Turquie.pdf"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allianzcare.com/fr/ressources/sante-et-bien-etre/national-healthcare-systems/services-de-sante-en-turquie.html" TargetMode="External"/><Relationship Id="rId7" Type="http://schemas.openxmlformats.org/officeDocument/2006/relationships/hyperlink" Target="https://geographie-cites.cnrs.fr/organiser-lespace-via-les-hopitaux/" TargetMode="External"/><Relationship Id="rId8" Type="http://schemas.openxmlformats.org/officeDocument/2006/relationships/hyperlink" Target="https://www.teamfrance-export.fr/fiche-marche/sante/dispositifs-medicaux/TR" TargetMode="External"/><Relationship Id="rId11" Type="http://schemas.openxmlformats.org/officeDocument/2006/relationships/hyperlink" Target="https://www.statista.com/statistics/935803/footfall-index-of-shopping-centers-turkey/?srsltid=AfmBOorDY27s97C2XlQdcWswj2nAxWmsuBtKnMzBpfjCg5bPQ6XTt6WL" TargetMode="External"/><Relationship Id="rId10" Type="http://schemas.openxmlformats.org/officeDocument/2006/relationships/hyperlink" Target="https://www.imtilak.net/fr/articles/turkey-new-economic-program" TargetMode="External"/><Relationship Id="rId13" Type="http://schemas.openxmlformats.org/officeDocument/2006/relationships/hyperlink" Target="https://www.world-prisons.org/wp-content/uploads/2024/02/Turquie-BAT-decembre-2023.pdf" TargetMode="External"/><Relationship Id="rId12" Type="http://schemas.openxmlformats.org/officeDocument/2006/relationships/hyperlink" Target="https://www.across-magazine.com/the-economic-situation-in-turkey-and-its-impact-on-shopping-malls/" TargetMode="External"/><Relationship Id="rId15" Type="http://schemas.openxmlformats.org/officeDocument/2006/relationships/hyperlink" Target="https://www.prison-insider.com/fichepays/turkiye-2025?s=vue-d-ensemble#vue-d-ensemble" TargetMode="External"/><Relationship Id="rId14" Type="http://schemas.openxmlformats.org/officeDocument/2006/relationships/hyperlink" Target="https://www.observatoireturquie.fr/turquie-point-de-situation-dans-les-prisons-kedistan/" TargetMode="External"/><Relationship Id="rId17" Type="http://schemas.openxmlformats.org/officeDocument/2006/relationships/hyperlink" Target="https://www.coe.int/fr/web/portal/full-news/-/asset_publisher/y5xQt7QdunzT/content/anti-torture-committee-publishes-two-reports-on-turkey?_101_INSTANCE_y5xQt7QdunzT_viewMode=view%2F&amp;_101_INSTANCE_y5xQt7QdunzT_languageId=it_IT" TargetMode="External"/><Relationship Id="rId16" Type="http://schemas.openxmlformats.org/officeDocument/2006/relationships/hyperlink" Target="https://rojinfo.com/turquie-un-rapport-denonce-des-abus-massifs-dans-les-prisons-en-2024/" TargetMode="External"/><Relationship Id="rId19" Type="http://schemas.openxmlformats.org/officeDocument/2006/relationships/hyperlink" Target="https://www.cyriljarnias.com/expatriation/guide-sinstaller-turquie-expatrie/vie-religieuse-turquie-lieux-culte-communautes/#Panorama_des_lieux_de_culte_en_Turquie" TargetMode="External"/><Relationship Id="rId18" Type="http://schemas.openxmlformats.org/officeDocument/2006/relationships/hyperlink" Target="https://www.amnesty.fr/presse/turquie.-alors-que-des-informations-font-etat-de-tor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