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80" w:after="80"/>
        <w:jc w:val="center"/>
      </w:pPr>
      <w:r>
        <w:rPr>
          <w:rFonts w:ascii="Calibri" w:hAnsi="Calibri"/>
        </w:rPr>
        <w:t>MAB SUISSE — ÉTUDE DE MARCHÉ v1</w:t>
      </w:r>
    </w:p>
    <w:p>
      <w:pPr>
        <w:spacing w:before="80" w:after="80"/>
        <w:jc w:val="center"/>
      </w:pPr>
      <w:r>
        <w:rPr>
          <w:rFonts w:ascii="Calibri" w:hAnsi="Calibri"/>
          <w:sz w:val="24"/>
        </w:rPr>
        <w:t>Robinetterie sanitaire collective / ERP — Les Robinets Presto</w:t>
      </w:r>
    </w:p>
    <w:p>
      <w:pPr>
        <w:spacing w:before="80" w:after="80"/>
        <w:jc w:val="center"/>
      </w:pPr>
      <w:r>
        <w:rPr>
          <w:rFonts w:ascii="Calibri" w:hAnsi="Calibri"/>
          <w:i/>
          <w:sz w:val="20"/>
        </w:rPr>
        <w:t>Juin 2026</w:t>
      </w:r>
    </w:p>
    <w:p>
      <w:pPr>
        <w:spacing w:before="80" w:after="80"/>
      </w:pPr>
    </w:p>
    <w:p>
      <w:pPr>
        <w:pStyle w:val="Heading1"/>
        <w:spacing w:before="280" w:after="120"/>
      </w:pPr>
      <w:r>
        <w:rPr>
          <w:rFonts w:ascii="Calibri" w:hAnsi="Calibri"/>
          <w:color w:val="595959"/>
        </w:rPr>
        <w:t>RÉSUMÉ EXÉCUTIF</w:t>
      </w:r>
    </w:p>
    <w:p>
      <w:pPr>
        <w:pStyle w:val="ListBullet"/>
        <w:spacing w:before="80" w:after="80"/>
        <w:ind w:left="0"/>
      </w:pPr>
      <w:r>
        <w:rPr>
          <w:rFonts w:ascii="Calibri" w:hAnsi="Calibri"/>
          <w:b w:val="0"/>
          <w:i w:val="0"/>
          <w:sz w:val="20"/>
        </w:rPr>
        <w:t>Marché robinetterie ERP Suisse estimé à 27–33 M€ (robinetterie collective seule, estimation par extrapolation ajustée — Méthode A). Marché premium à très fort pouvoir d'achat (PIB/hab 89 783 USD — 1,8× la France) : exigences qualité élevées, prix acceptés, marges potentiellement supérieures à celles réalisées en France. Droits de douane HS 8481 supprimés depuis janvier 2024 — accès sans taxe pour produits français. (Worldometers 2024 / kmu.admin.ch)</w:t>
      </w:r>
    </w:p>
    <w:p>
      <w:pPr>
        <w:pStyle w:val="ListBullet"/>
        <w:spacing w:before="80" w:after="80"/>
        <w:ind w:left="0"/>
      </w:pPr>
      <w:r>
        <w:rPr>
          <w:rFonts w:ascii="Calibri" w:hAnsi="Calibri"/>
          <w:b w:val="0"/>
          <w:i w:val="0"/>
          <w:sz w:val="20"/>
        </w:rPr>
        <w:t>Construction résiliente (CHF 68,9 Mds, +2,1% en 2025) avec la rénovation désormais majoritaire (57% du total). Pipelines ERP publics sécurisés sur 5-10 ans : 528 M CHF/an rénovation énergétique (Programme Bâtiments), 8,5 Mds CHF plan ferroviaire CFF 2035, &gt;1,5 Mds CHF programmes hospitaliers HUG+CHUV, 560 M CHF CAP2030 aéroport Genève. (SSE / Eminence.ch / news.admin.ch / CFF / HUG)</w:t>
      </w:r>
    </w:p>
    <w:p>
      <w:pPr>
        <w:pStyle w:val="ListBullet"/>
        <w:spacing w:before="80" w:after="80"/>
        <w:ind w:left="0"/>
      </w:pPr>
      <w:r>
        <w:rPr>
          <w:rFonts w:ascii="Calibri" w:hAnsi="Calibri"/>
          <w:b w:val="0"/>
          <w:i w:val="0"/>
          <w:sz w:val="20"/>
        </w:rPr>
        <w:t>MENACE CONCURRENTIELLE MAJEURE — Delabie a finalisé l'acquisition de KWC Professional (Unterkulm, Argovie) en Q3 2025 : KWC était la marque suisse historique de robinetterie ERP (hôpitaux, écoles, prisons, transports). Delabie dispose désormais d'une production locale en Suisse et d'un réseau installé (marque Aquarotter, leader germanophone ERP). Geberit (siège Rapperswil-Jona, CH) domine le marché sanitaire global. Presto = 3 commerciaux terrain, pas de filiale — à renforcer impérativement face à ces acteurs. (delabie.com / geberit.ch, 2025)</w:t>
      </w:r>
    </w:p>
    <w:p>
      <w:pPr>
        <w:pStyle w:val="ListBullet"/>
        <w:spacing w:before="80" w:after="80"/>
        <w:ind w:left="0"/>
      </w:pPr>
      <w:r>
        <w:rPr>
          <w:rFonts w:ascii="Calibri" w:hAnsi="Calibri"/>
          <w:b w:val="0"/>
          <w:i w:val="0"/>
          <w:sz w:val="20"/>
        </w:rPr>
        <w:t>Top 3 segments prioritaires : Santé/EMS (5/5 — 278 hôpitaux + 1 465 EMS + vieillissement démographique fort + pipeline HUG+CHUV &gt;1,5 Mds CHF), Transports (5/5 — 764 gares CFF + programme accessibilité PMR &gt;2,5 Mds CHF + aéroport Genève CAP2030 560 M CHF), CHR (4/5 — 42,8 M nuitées 2024 record absolu, ~5 000 hôtels, marché premium). (OFS 2023-2024 / CFF / GVA newsroom)</w:t>
      </w:r>
    </w:p>
    <w:p>
      <w:pPr>
        <w:pStyle w:val="ListBullet"/>
        <w:spacing w:before="80" w:after="80"/>
        <w:ind w:left="0"/>
      </w:pPr>
      <w:r>
        <w:rPr>
          <w:rFonts w:ascii="Calibri" w:hAnsi="Calibri"/>
          <w:b w:val="0"/>
          <w:i w:val="0"/>
          <w:sz w:val="20"/>
        </w:rPr>
        <w:t>Atout Suisse romande : 26% de la population est francophone (Genève, Vaud, Valais, Neuchâtel) — marché d'entrée naturel pour Presto, documentation déjà disponible, proximité culturelle forte. La France est le 4e fournisseur de la Suisse (7,9% des imports hors or) et 1 706 filiales françaises sont implantées. (DG Trésor 2026)</w:t>
      </w:r>
    </w:p>
    <w:p>
      <w:pPr>
        <w:spacing w:before="80" w:after="80"/>
      </w:pPr>
    </w:p>
    <w:p>
      <w:pPr>
        <w:pStyle w:val="Heading1"/>
        <w:pageBreakBefore/>
        <w:spacing w:before="280" w:after="120"/>
      </w:pPr>
      <w:r>
        <w:rPr>
          <w:rFonts w:ascii="Calibri" w:hAnsi="Calibri"/>
          <w:color w:val="595959"/>
        </w:rPr>
        <w:t>PARTIE 1 — OVERVIEW CONTEXTE PAYS</w:t>
      </w:r>
    </w:p>
    <w:p>
      <w:pPr>
        <w:pStyle w:val="Heading2"/>
        <w:spacing w:before="280" w:after="120"/>
      </w:pPr>
      <w:r>
        <w:rPr>
          <w:rFonts w:ascii="Calibri" w:hAnsi="Calibri"/>
          <w:color w:val="595959"/>
        </w:rPr>
        <w:t>1.1 Analyse PESTEL</w:t>
      </w:r>
    </w:p>
    <w:p>
      <w:pPr>
        <w:pStyle w:val="ListBullet"/>
        <w:spacing w:before="80" w:after="80"/>
        <w:ind w:left="0"/>
      </w:pPr>
      <w:r>
        <w:rPr>
          <w:rFonts w:ascii="Calibri" w:hAnsi="Calibri"/>
          <w:b/>
          <w:i w:val="0"/>
          <w:sz w:val="20"/>
        </w:rPr>
        <w:t xml:space="preserve">POLITIQUE : </w:t>
      </w:r>
      <w:r>
        <w:rPr>
          <w:rFonts w:ascii="Calibri" w:hAnsi="Calibri"/>
          <w:b w:val="0"/>
          <w:i w:val="0"/>
          <w:sz w:val="20"/>
        </w:rPr>
        <w:t>État fédéral à 26 cantons — stabilité politique exemplaire, démocratie directe (référendums fréquents). Gouvernement fédéral collégial (Conseil fédéral, 7 membres). Hors UE mais accords bilatéraux CH-UE en vigueur. Neutralité internationale. Décisions d'investissement public stables et prévisibles sur le long terme. (admin.ch, 2025)</w:t>
      </w:r>
    </w:p>
    <w:p>
      <w:pPr>
        <w:pStyle w:val="ListBullet"/>
        <w:spacing w:before="80" w:after="80"/>
        <w:ind w:left="0"/>
      </w:pPr>
      <w:r>
        <w:rPr>
          <w:rFonts w:ascii="Calibri" w:hAnsi="Calibri"/>
          <w:b/>
          <w:i w:val="0"/>
          <w:sz w:val="20"/>
        </w:rPr>
        <w:t xml:space="preserve">ÉCONOMIQUE : </w:t>
      </w:r>
      <w:r>
        <w:rPr>
          <w:rFonts w:ascii="Calibri" w:hAnsi="Calibri"/>
          <w:b w:val="0"/>
          <w:i w:val="0"/>
          <w:sz w:val="20"/>
        </w:rPr>
        <w:t>PIB ~900 Mds USD (2024). PIB/hab : 89 783 USD — 1,8× France, 3e rang mondial (Worldometers/Trading Economics, 2024). Croissance PIB : +1,4% (2024 et 2025 est.). Inflation maîtrisée : ~1,1% (OFS 2024). Chômage : 2,3% — quasi plein emploi (SECO, 2024). Franc suisse très fort : 1 CHF = 1,05 EUR (moy. 2024). Économie formelle quasi totale.</w:t>
      </w:r>
    </w:p>
    <w:p>
      <w:pPr>
        <w:pStyle w:val="ListBullet"/>
        <w:spacing w:before="80" w:after="80"/>
        <w:ind w:left="0"/>
      </w:pPr>
      <w:r>
        <w:rPr>
          <w:rFonts w:ascii="Calibri" w:hAnsi="Calibri"/>
          <w:b/>
          <w:i w:val="0"/>
          <w:sz w:val="20"/>
        </w:rPr>
        <w:t xml:space="preserve">SOCIAL : </w:t>
      </w:r>
      <w:r>
        <w:rPr>
          <w:rFonts w:ascii="Calibri" w:hAnsi="Calibri"/>
          <w:b w:val="0"/>
          <w:i w:val="0"/>
          <w:sz w:val="20"/>
        </w:rPr>
        <w:t>Population 8,9 M habitants (2024) — 9,0 M en 2026 (OFS / Worldometers). Urbanisation : 74%, 52 agglomérations, 6,6 M habitants urbains (Union des villes suisses 2024). 26% francophones (Suisse romande). Vieillissement accéléré : +1,2%/an de personnes âgées → pression EMS. 4 langues nationales (DE 63%, FR 23%, IT 8%, romanche 1%).</w:t>
      </w:r>
    </w:p>
    <w:p>
      <w:pPr>
        <w:pStyle w:val="ListBullet"/>
        <w:spacing w:before="80" w:after="80"/>
        <w:ind w:left="0"/>
      </w:pPr>
      <w:r>
        <w:rPr>
          <w:rFonts w:ascii="Calibri" w:hAnsi="Calibri"/>
          <w:b/>
          <w:i w:val="0"/>
          <w:sz w:val="20"/>
        </w:rPr>
        <w:t xml:space="preserve">TECHNOLOGIQUE : </w:t>
      </w:r>
      <w:r>
        <w:rPr>
          <w:rFonts w:ascii="Calibri" w:hAnsi="Calibri"/>
          <w:b w:val="0"/>
          <w:i w:val="0"/>
          <w:sz w:val="20"/>
        </w:rPr>
        <w:t>Forte adoption BIM : 62% (Eminence.ch 2025). Smart building : CHF 1,35 Md de marché actuel, croissance. Robinetterie infrarouge/connectée favorisée dans ERP neufs. Rang 2 mondial innovation (GII 2024). ETH Zurich et EPFL : centres de recherche de premier plan.</w:t>
      </w:r>
    </w:p>
    <w:p>
      <w:pPr>
        <w:pStyle w:val="ListBullet"/>
        <w:spacing w:before="80" w:after="80"/>
        <w:ind w:left="0"/>
      </w:pPr>
      <w:r>
        <w:rPr>
          <w:rFonts w:ascii="Calibri" w:hAnsi="Calibri"/>
          <w:b/>
          <w:i w:val="0"/>
          <w:sz w:val="20"/>
        </w:rPr>
        <w:t xml:space="preserve">ENVIRONNEMENTAL : </w:t>
      </w:r>
      <w:r>
        <w:rPr>
          <w:rFonts w:ascii="Calibri" w:hAnsi="Calibri"/>
          <w:b w:val="0"/>
          <w:i w:val="0"/>
          <w:sz w:val="20"/>
        </w:rPr>
        <w:t>Stratégie énergie 2050 (sortie nucléaire progressive, renouvelables). Neutralité carbone 2050 inscrite dans la Constitution depuis 2023. Programme Bâtiments : 528 M CHF versés 2024 pour rénovation énergétique. Taux rénovation actuel 1,4%/an vs objectif 3%/an — fort retard = fort potentiel. OPBD : réglementation eau potable très stricte, interdiction du plomb depuis 1904. (news.admin.ch)</w:t>
      </w:r>
    </w:p>
    <w:p>
      <w:pPr>
        <w:pStyle w:val="ListBullet"/>
        <w:spacing w:before="80" w:after="80"/>
        <w:ind w:left="0"/>
      </w:pPr>
      <w:r>
        <w:rPr>
          <w:rFonts w:ascii="Calibri" w:hAnsi="Calibri"/>
          <w:b/>
          <w:i w:val="0"/>
          <w:sz w:val="20"/>
        </w:rPr>
        <w:t xml:space="preserve">LÉGAL : </w:t>
      </w:r>
      <w:r>
        <w:rPr>
          <w:rFonts w:ascii="Calibri" w:hAnsi="Calibri"/>
          <w:b w:val="0"/>
          <w:i w:val="0"/>
          <w:sz w:val="20"/>
        </w:rPr>
        <w:t>Hors UE → marquage CE insuffisant pour eau potable. Certification SVGW (ZertW) obligatoire de facto pour robinetterie en contact avec l'eau potable. Norme SIA 500 (accessibilité PMR) en révision (prSIA 500:2025). Directive W3 SVGW pour installations eau potable. Droits de douane HS 8481 : 0% depuis janvier 2024. (svgw.ch / kmu.admin.ch)</w:t>
      </w:r>
    </w:p>
    <w:p>
      <w:pPr>
        <w:spacing w:before="80" w:after="80"/>
      </w:pPr>
    </w:p>
    <w:p>
      <w:pPr>
        <w:pStyle w:val="Heading2"/>
        <w:spacing w:before="280" w:after="120"/>
      </w:pPr>
      <w:r>
        <w:rPr>
          <w:rFonts w:ascii="Calibri" w:hAnsi="Calibri"/>
          <w:color w:val="595959"/>
        </w:rPr>
        <w:t>1.2 Indicateurs socio-économiques clés</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EBEBEB"/>
          </w:tcPr>
          <w:p>
            <w:r>
              <w:rPr>
                <w:rFonts w:ascii="Calibri" w:hAnsi="Calibri"/>
              </w:rPr>
            </w:r>
            <w:r>
              <w:rPr>
                <w:rFonts w:ascii="Calibri" w:hAnsi="Calibri"/>
                <w:b/>
                <w:color w:val="595959"/>
                <w:sz w:val="18"/>
              </w:rPr>
              <w:t>Indicateur</w:t>
            </w:r>
          </w:p>
        </w:tc>
        <w:tc>
          <w:tcPr>
            <w:tcW w:type="dxa" w:w="3135"/>
            <w:shd w:val="clear" w:color="auto" w:fill="EBEBEB"/>
          </w:tcPr>
          <w:p>
            <w:r>
              <w:rPr>
                <w:rFonts w:ascii="Calibri" w:hAnsi="Calibri"/>
              </w:rPr>
            </w:r>
            <w:r>
              <w:rPr>
                <w:rFonts w:ascii="Calibri" w:hAnsi="Calibri"/>
                <w:b/>
                <w:color w:val="595959"/>
                <w:sz w:val="18"/>
              </w:rPr>
              <w:t>Valeur</w:t>
            </w:r>
          </w:p>
        </w:tc>
        <w:tc>
          <w:tcPr>
            <w:tcW w:type="dxa" w:w="3135"/>
            <w:shd w:val="clear" w:color="auto" w:fill="EBEBEB"/>
          </w:tcPr>
          <w:p>
            <w:r>
              <w:rPr>
                <w:rFonts w:ascii="Calibri" w:hAnsi="Calibri"/>
              </w:rPr>
            </w:r>
            <w:r>
              <w:rPr>
                <w:rFonts w:ascii="Calibri" w:hAnsi="Calibri"/>
                <w:b/>
                <w:color w:val="595959"/>
                <w:sz w:val="18"/>
              </w:rPr>
              <w:t>Source</w:t>
            </w:r>
          </w:p>
        </w:tc>
      </w:tr>
      <w:tr>
        <w:tc>
          <w:tcPr>
            <w:tcW w:type="dxa" w:w="3135"/>
          </w:tcPr>
          <w:p>
            <w:r>
              <w:rPr>
                <w:rFonts w:ascii="Calibri" w:hAnsi="Calibri"/>
              </w:rPr>
            </w:r>
            <w:r>
              <w:rPr>
                <w:rFonts w:ascii="Calibri" w:hAnsi="Calibri"/>
                <w:sz w:val="18"/>
              </w:rPr>
              <w:t>PIB total</w:t>
            </w:r>
          </w:p>
        </w:tc>
        <w:tc>
          <w:tcPr>
            <w:tcW w:type="dxa" w:w="3135"/>
          </w:tcPr>
          <w:p>
            <w:r>
              <w:rPr>
                <w:rFonts w:ascii="Calibri" w:hAnsi="Calibri"/>
              </w:rPr>
            </w:r>
            <w:r>
              <w:rPr>
                <w:rFonts w:ascii="Calibri" w:hAnsi="Calibri"/>
                <w:sz w:val="18"/>
              </w:rPr>
              <w:t>~900 Mds USD (2024)</w:t>
            </w:r>
          </w:p>
        </w:tc>
        <w:tc>
          <w:tcPr>
            <w:tcW w:type="dxa" w:w="3135"/>
          </w:tcPr>
          <w:p>
            <w:r>
              <w:rPr>
                <w:rFonts w:ascii="Calibri" w:hAnsi="Calibri"/>
              </w:rPr>
            </w:r>
            <w:r>
              <w:rPr>
                <w:rFonts w:ascii="Calibri" w:hAnsi="Calibri"/>
                <w:sz w:val="18"/>
              </w:rPr>
              <w:t>Worldometers / OFS 2024</w:t>
            </w:r>
          </w:p>
        </w:tc>
      </w:tr>
      <w:tr>
        <w:tc>
          <w:tcPr>
            <w:tcW w:type="dxa" w:w="3135"/>
          </w:tcPr>
          <w:p>
            <w:r>
              <w:rPr>
                <w:rFonts w:ascii="Calibri" w:hAnsi="Calibri"/>
              </w:rPr>
            </w:r>
            <w:r>
              <w:rPr>
                <w:rFonts w:ascii="Calibri" w:hAnsi="Calibri"/>
                <w:sz w:val="18"/>
              </w:rPr>
              <w:t>PIB/habitant</w:t>
            </w:r>
          </w:p>
        </w:tc>
        <w:tc>
          <w:tcPr>
            <w:tcW w:type="dxa" w:w="3135"/>
          </w:tcPr>
          <w:p>
            <w:r>
              <w:rPr>
                <w:rFonts w:ascii="Calibri" w:hAnsi="Calibri"/>
              </w:rPr>
            </w:r>
            <w:r>
              <w:rPr>
                <w:rFonts w:ascii="Calibri" w:hAnsi="Calibri"/>
                <w:sz w:val="18"/>
              </w:rPr>
              <w:t>89 783 USD (2024)</w:t>
            </w:r>
          </w:p>
        </w:tc>
        <w:tc>
          <w:tcPr>
            <w:tcW w:type="dxa" w:w="3135"/>
          </w:tcPr>
          <w:p>
            <w:r>
              <w:rPr>
                <w:rFonts w:ascii="Calibri" w:hAnsi="Calibri"/>
              </w:rPr>
            </w:r>
            <w:r>
              <w:rPr>
                <w:rFonts w:ascii="Calibri" w:hAnsi="Calibri"/>
                <w:sz w:val="18"/>
              </w:rPr>
              <w:t>Trading Economics / Worldometers</w:t>
            </w:r>
          </w:p>
        </w:tc>
      </w:tr>
      <w:tr>
        <w:tc>
          <w:tcPr>
            <w:tcW w:type="dxa" w:w="3135"/>
          </w:tcPr>
          <w:p>
            <w:r>
              <w:rPr>
                <w:rFonts w:ascii="Calibri" w:hAnsi="Calibri"/>
              </w:rPr>
            </w:r>
            <w:r>
              <w:rPr>
                <w:rFonts w:ascii="Calibri" w:hAnsi="Calibri"/>
                <w:sz w:val="18"/>
              </w:rPr>
              <w:t>Population</w:t>
            </w:r>
          </w:p>
        </w:tc>
        <w:tc>
          <w:tcPr>
            <w:tcW w:type="dxa" w:w="3135"/>
          </w:tcPr>
          <w:p>
            <w:r>
              <w:rPr>
                <w:rFonts w:ascii="Calibri" w:hAnsi="Calibri"/>
              </w:rPr>
            </w:r>
            <w:r>
              <w:rPr>
                <w:rFonts w:ascii="Calibri" w:hAnsi="Calibri"/>
                <w:sz w:val="18"/>
              </w:rPr>
              <w:t>8,9 M (2024) — 9,007 M (2026)</w:t>
            </w:r>
          </w:p>
        </w:tc>
        <w:tc>
          <w:tcPr>
            <w:tcW w:type="dxa" w:w="3135"/>
          </w:tcPr>
          <w:p>
            <w:r>
              <w:rPr>
                <w:rFonts w:ascii="Calibri" w:hAnsi="Calibri"/>
              </w:rPr>
            </w:r>
            <w:r>
              <w:rPr>
                <w:rFonts w:ascii="Calibri" w:hAnsi="Calibri"/>
                <w:sz w:val="18"/>
              </w:rPr>
              <w:t>OFS / Worldometers</w:t>
            </w:r>
          </w:p>
        </w:tc>
      </w:tr>
      <w:tr>
        <w:tc>
          <w:tcPr>
            <w:tcW w:type="dxa" w:w="3135"/>
          </w:tcPr>
          <w:p>
            <w:r>
              <w:rPr>
                <w:rFonts w:ascii="Calibri" w:hAnsi="Calibri"/>
              </w:rPr>
            </w:r>
            <w:r>
              <w:rPr>
                <w:rFonts w:ascii="Calibri" w:hAnsi="Calibri"/>
                <w:sz w:val="18"/>
              </w:rPr>
              <w:t>Urbanisation</w:t>
            </w:r>
          </w:p>
        </w:tc>
        <w:tc>
          <w:tcPr>
            <w:tcW w:type="dxa" w:w="3135"/>
          </w:tcPr>
          <w:p>
            <w:r>
              <w:rPr>
                <w:rFonts w:ascii="Calibri" w:hAnsi="Calibri"/>
              </w:rPr>
            </w:r>
            <w:r>
              <w:rPr>
                <w:rFonts w:ascii="Calibri" w:hAnsi="Calibri"/>
                <w:sz w:val="18"/>
              </w:rPr>
              <w:t>74% (52 agglomérations)</w:t>
            </w:r>
          </w:p>
        </w:tc>
        <w:tc>
          <w:tcPr>
            <w:tcW w:type="dxa" w:w="3135"/>
          </w:tcPr>
          <w:p>
            <w:r>
              <w:rPr>
                <w:rFonts w:ascii="Calibri" w:hAnsi="Calibri"/>
              </w:rPr>
            </w:r>
            <w:r>
              <w:rPr>
                <w:rFonts w:ascii="Calibri" w:hAnsi="Calibri"/>
                <w:sz w:val="18"/>
              </w:rPr>
              <w:t>Union villes suisses / OFS 2024</w:t>
            </w:r>
          </w:p>
        </w:tc>
      </w:tr>
      <w:tr>
        <w:tc>
          <w:tcPr>
            <w:tcW w:type="dxa" w:w="3135"/>
          </w:tcPr>
          <w:p>
            <w:r>
              <w:rPr>
                <w:rFonts w:ascii="Calibri" w:hAnsi="Calibri"/>
              </w:rPr>
            </w:r>
            <w:r>
              <w:rPr>
                <w:rFonts w:ascii="Calibri" w:hAnsi="Calibri"/>
                <w:sz w:val="18"/>
              </w:rPr>
              <w:t>Croissance PIB</w:t>
            </w:r>
          </w:p>
        </w:tc>
        <w:tc>
          <w:tcPr>
            <w:tcW w:type="dxa" w:w="3135"/>
          </w:tcPr>
          <w:p>
            <w:r>
              <w:rPr>
                <w:rFonts w:ascii="Calibri" w:hAnsi="Calibri"/>
              </w:rPr>
            </w:r>
            <w:r>
              <w:rPr>
                <w:rFonts w:ascii="Calibri" w:hAnsi="Calibri"/>
                <w:sz w:val="18"/>
              </w:rPr>
              <w:t>+1,4% (2024 et 2025 est.)</w:t>
            </w:r>
          </w:p>
        </w:tc>
        <w:tc>
          <w:tcPr>
            <w:tcW w:type="dxa" w:w="3135"/>
          </w:tcPr>
          <w:p>
            <w:r>
              <w:rPr>
                <w:rFonts w:ascii="Calibri" w:hAnsi="Calibri"/>
              </w:rPr>
            </w:r>
            <w:r>
              <w:rPr>
                <w:rFonts w:ascii="Calibri" w:hAnsi="Calibri"/>
                <w:sz w:val="18"/>
              </w:rPr>
              <w:t>SECO 2024-2025</w:t>
            </w:r>
          </w:p>
        </w:tc>
      </w:tr>
      <w:tr>
        <w:tc>
          <w:tcPr>
            <w:tcW w:type="dxa" w:w="3135"/>
          </w:tcPr>
          <w:p>
            <w:r>
              <w:rPr>
                <w:rFonts w:ascii="Calibri" w:hAnsi="Calibri"/>
              </w:rPr>
            </w:r>
            <w:r>
              <w:rPr>
                <w:rFonts w:ascii="Calibri" w:hAnsi="Calibri"/>
                <w:sz w:val="18"/>
              </w:rPr>
              <w:t>Inflation</w:t>
            </w:r>
          </w:p>
        </w:tc>
        <w:tc>
          <w:tcPr>
            <w:tcW w:type="dxa" w:w="3135"/>
          </w:tcPr>
          <w:p>
            <w:r>
              <w:rPr>
                <w:rFonts w:ascii="Calibri" w:hAnsi="Calibri"/>
              </w:rPr>
            </w:r>
            <w:r>
              <w:rPr>
                <w:rFonts w:ascii="Calibri" w:hAnsi="Calibri"/>
                <w:sz w:val="18"/>
              </w:rPr>
              <w:t>~1,1% (2024)</w:t>
            </w:r>
          </w:p>
        </w:tc>
        <w:tc>
          <w:tcPr>
            <w:tcW w:type="dxa" w:w="3135"/>
          </w:tcPr>
          <w:p>
            <w:r>
              <w:rPr>
                <w:rFonts w:ascii="Calibri" w:hAnsi="Calibri"/>
              </w:rPr>
            </w:r>
            <w:r>
              <w:rPr>
                <w:rFonts w:ascii="Calibri" w:hAnsi="Calibri"/>
                <w:sz w:val="18"/>
              </w:rPr>
              <w:t>OFS 2024</w:t>
            </w:r>
          </w:p>
        </w:tc>
      </w:tr>
      <w:tr>
        <w:tc>
          <w:tcPr>
            <w:tcW w:type="dxa" w:w="3135"/>
          </w:tcPr>
          <w:p>
            <w:r>
              <w:rPr>
                <w:rFonts w:ascii="Calibri" w:hAnsi="Calibri"/>
              </w:rPr>
            </w:r>
            <w:r>
              <w:rPr>
                <w:rFonts w:ascii="Calibri" w:hAnsi="Calibri"/>
                <w:sz w:val="18"/>
              </w:rPr>
              <w:t>Chômage</w:t>
            </w:r>
          </w:p>
        </w:tc>
        <w:tc>
          <w:tcPr>
            <w:tcW w:type="dxa" w:w="3135"/>
          </w:tcPr>
          <w:p>
            <w:r>
              <w:rPr>
                <w:rFonts w:ascii="Calibri" w:hAnsi="Calibri"/>
              </w:rPr>
            </w:r>
            <w:r>
              <w:rPr>
                <w:rFonts w:ascii="Calibri" w:hAnsi="Calibri"/>
                <w:sz w:val="18"/>
              </w:rPr>
              <w:t>2,3%</w:t>
            </w:r>
          </w:p>
        </w:tc>
        <w:tc>
          <w:tcPr>
            <w:tcW w:type="dxa" w:w="3135"/>
          </w:tcPr>
          <w:p>
            <w:r>
              <w:rPr>
                <w:rFonts w:ascii="Calibri" w:hAnsi="Calibri"/>
              </w:rPr>
            </w:r>
            <w:r>
              <w:rPr>
                <w:rFonts w:ascii="Calibri" w:hAnsi="Calibri"/>
                <w:sz w:val="18"/>
              </w:rPr>
              <w:t>SECO 2024</w:t>
            </w:r>
          </w:p>
        </w:tc>
      </w:tr>
      <w:tr>
        <w:tc>
          <w:tcPr>
            <w:tcW w:type="dxa" w:w="3135"/>
          </w:tcPr>
          <w:p>
            <w:r>
              <w:rPr>
                <w:rFonts w:ascii="Calibri" w:hAnsi="Calibri"/>
              </w:rPr>
            </w:r>
            <w:r>
              <w:rPr>
                <w:rFonts w:ascii="Calibri" w:hAnsi="Calibri"/>
                <w:sz w:val="18"/>
              </w:rPr>
              <w:t>Taux de change</w:t>
            </w:r>
          </w:p>
        </w:tc>
        <w:tc>
          <w:tcPr>
            <w:tcW w:type="dxa" w:w="3135"/>
          </w:tcPr>
          <w:p>
            <w:r>
              <w:rPr>
                <w:rFonts w:ascii="Calibri" w:hAnsi="Calibri"/>
              </w:rPr>
            </w:r>
            <w:r>
              <w:rPr>
                <w:rFonts w:ascii="Calibri" w:hAnsi="Calibri"/>
                <w:sz w:val="18"/>
              </w:rPr>
              <w:t>1 CHF = 1,05 EUR (moy. 2024)</w:t>
            </w:r>
          </w:p>
        </w:tc>
        <w:tc>
          <w:tcPr>
            <w:tcW w:type="dxa" w:w="3135"/>
          </w:tcPr>
          <w:p>
            <w:r>
              <w:rPr>
                <w:rFonts w:ascii="Calibri" w:hAnsi="Calibri"/>
              </w:rPr>
            </w:r>
            <w:r>
              <w:rPr>
                <w:rFonts w:ascii="Calibri" w:hAnsi="Calibri"/>
                <w:sz w:val="18"/>
              </w:rPr>
              <w:t>CDTF / Banque de France</w:t>
            </w:r>
          </w:p>
        </w:tc>
      </w:tr>
      <w:tr>
        <w:tc>
          <w:tcPr>
            <w:tcW w:type="dxa" w:w="3135"/>
          </w:tcPr>
          <w:p>
            <w:r>
              <w:rPr>
                <w:rFonts w:ascii="Calibri" w:hAnsi="Calibri"/>
              </w:rPr>
            </w:r>
            <w:r>
              <w:rPr>
                <w:rFonts w:ascii="Calibri" w:hAnsi="Calibri"/>
                <w:sz w:val="18"/>
              </w:rPr>
              <w:t>Population &gt;65 ans</w:t>
            </w:r>
          </w:p>
        </w:tc>
        <w:tc>
          <w:tcPr>
            <w:tcW w:type="dxa" w:w="3135"/>
          </w:tcPr>
          <w:p>
            <w:r>
              <w:rPr>
                <w:rFonts w:ascii="Calibri" w:hAnsi="Calibri"/>
              </w:rPr>
            </w:r>
            <w:r>
              <w:rPr>
                <w:rFonts w:ascii="Calibri" w:hAnsi="Calibri"/>
                <w:sz w:val="18"/>
              </w:rPr>
              <w:t>~19,5% (en hausse +1,2%/an)</w:t>
            </w:r>
          </w:p>
        </w:tc>
        <w:tc>
          <w:tcPr>
            <w:tcW w:type="dxa" w:w="3135"/>
          </w:tcPr>
          <w:p>
            <w:r>
              <w:rPr>
                <w:rFonts w:ascii="Calibri" w:hAnsi="Calibri"/>
              </w:rPr>
            </w:r>
            <w:r>
              <w:rPr>
                <w:rFonts w:ascii="Calibri" w:hAnsi="Calibri"/>
                <w:sz w:val="18"/>
              </w:rPr>
              <w:t>OFS 2024</w:t>
            </w:r>
          </w:p>
        </w:tc>
      </w:tr>
      <w:tr>
        <w:tc>
          <w:tcPr>
            <w:tcW w:type="dxa" w:w="3135"/>
          </w:tcPr>
          <w:p>
            <w:r>
              <w:rPr>
                <w:rFonts w:ascii="Calibri" w:hAnsi="Calibri"/>
              </w:rPr>
            </w:r>
            <w:r>
              <w:rPr>
                <w:rFonts w:ascii="Calibri" w:hAnsi="Calibri"/>
                <w:sz w:val="18"/>
              </w:rPr>
              <w:t>Rang innovation</w:t>
            </w:r>
          </w:p>
        </w:tc>
        <w:tc>
          <w:tcPr>
            <w:tcW w:type="dxa" w:w="3135"/>
          </w:tcPr>
          <w:p>
            <w:r>
              <w:rPr>
                <w:rFonts w:ascii="Calibri" w:hAnsi="Calibri"/>
              </w:rPr>
            </w:r>
            <w:r>
              <w:rPr>
                <w:rFonts w:ascii="Calibri" w:hAnsi="Calibri"/>
                <w:sz w:val="18"/>
              </w:rPr>
              <w:t>2e mondial (GII 2024)</w:t>
            </w:r>
          </w:p>
        </w:tc>
        <w:tc>
          <w:tcPr>
            <w:tcW w:type="dxa" w:w="3135"/>
          </w:tcPr>
          <w:p>
            <w:r>
              <w:rPr>
                <w:rFonts w:ascii="Calibri" w:hAnsi="Calibri"/>
              </w:rPr>
            </w:r>
            <w:r>
              <w:rPr>
                <w:rFonts w:ascii="Calibri" w:hAnsi="Calibri"/>
                <w:sz w:val="18"/>
              </w:rPr>
              <w:t>Global Innovation Index 2024</w:t>
            </w:r>
          </w:p>
        </w:tc>
      </w:tr>
    </w:tbl>
    <w:p>
      <w:pPr>
        <w:spacing w:before="80" w:after="80"/>
      </w:pPr>
    </w:p>
    <w:p>
      <w:pPr>
        <w:pStyle w:val="Heading2"/>
        <w:spacing w:before="280" w:after="120"/>
      </w:pPr>
      <w:r>
        <w:rPr>
          <w:rFonts w:ascii="Calibri" w:hAnsi="Calibri"/>
          <w:color w:val="595959"/>
        </w:rPr>
        <w:t>1.3 Relations commerciales France-Suisse</w:t>
      </w:r>
    </w:p>
    <w:p>
      <w:pPr>
        <w:pStyle w:val="ListBullet"/>
        <w:spacing w:before="80" w:after="80"/>
        <w:ind w:left="0"/>
      </w:pPr>
      <w:r>
        <w:rPr>
          <w:rFonts w:ascii="Calibri" w:hAnsi="Calibri"/>
          <w:b w:val="0"/>
          <w:i w:val="0"/>
          <w:sz w:val="20"/>
        </w:rPr>
        <w:t>Exports France → Suisse (biens hors or) : 19,8 Mds EUR (2024) → 22,6 Mds EUR (2025, +14%). Solde commercial France : +2,3 Mds EUR (2024) → +4,7 Mds EUR (2025). (Direction du Trésor, 2026)</w:t>
      </w:r>
    </w:p>
    <w:p>
      <w:pPr>
        <w:pStyle w:val="ListBullet"/>
        <w:spacing w:before="80" w:after="80"/>
        <w:ind w:left="0"/>
      </w:pPr>
      <w:r>
        <w:rPr>
          <w:rFonts w:ascii="Calibri" w:hAnsi="Calibri"/>
          <w:b w:val="0"/>
          <w:i w:val="0"/>
          <w:sz w:val="20"/>
        </w:rPr>
        <w:t>Suisse = 9e partenaire commercial de la France. France = 4e fournisseur de la Suisse (7,9% des imports hors or). (DG Trésor)</w:t>
      </w:r>
    </w:p>
    <w:p>
      <w:pPr>
        <w:pStyle w:val="ListBullet"/>
        <w:spacing w:before="80" w:after="80"/>
        <w:ind w:left="0"/>
      </w:pPr>
      <w:r>
        <w:rPr>
          <w:rFonts w:ascii="Calibri" w:hAnsi="Calibri"/>
          <w:b w:val="0"/>
          <w:i w:val="0"/>
          <w:sz w:val="20"/>
        </w:rPr>
        <w:t>Présence française en Suisse : 964 groupes via 1 706 filiales, ~76 755 emplois directs, IDE stock 48,2 Mds CHF. Grands employeurs : Bouygues (6 300 emp.), Vinci Energies (3 260 emp.), AXA, Saint-Gobain. (DG Trésor, données 2021)</w:t>
      </w:r>
    </w:p>
    <w:p>
      <w:pPr>
        <w:pStyle w:val="ListBullet"/>
        <w:spacing w:before="80" w:after="80"/>
        <w:ind w:left="0"/>
      </w:pPr>
      <w:r>
        <w:rPr>
          <w:rFonts w:ascii="Calibri" w:hAnsi="Calibri"/>
          <w:b w:val="0"/>
          <w:i w:val="0"/>
          <w:sz w:val="20"/>
        </w:rPr>
        <w:t>Atouts origine française : Suisse romande (26% population) = marché d'entrée francophone naturel. Image qualité France bien perçue. Accords bilatéraux CH-UE facilitent les échanges. Droits de douane HS 8481 supprimés depuis 2024.</w:t>
      </w:r>
    </w:p>
    <w:p>
      <w:pPr>
        <w:pStyle w:val="ListBullet"/>
        <w:spacing w:before="80" w:after="80"/>
        <w:ind w:left="0"/>
      </w:pPr>
      <w:r>
        <w:rPr>
          <w:rFonts w:ascii="Calibri" w:hAnsi="Calibri"/>
          <w:b w:val="0"/>
          <w:i w:val="0"/>
          <w:sz w:val="20"/>
        </w:rPr>
        <w:t>Presto en Suisse : quelques commerciaux terrain (pas de filiale constituée). Présence à structurer pour répondre à la demande ERP sur un marché très compétitif.</w:t>
      </w:r>
    </w:p>
    <w:p>
      <w:pPr>
        <w:pStyle w:val="ListBullet"/>
        <w:spacing w:before="80" w:after="80"/>
        <w:ind w:left="0"/>
      </w:pPr>
      <w:r>
        <w:rPr>
          <w:rFonts w:ascii="Calibri" w:hAnsi="Calibri"/>
          <w:b w:val="0"/>
          <w:i w:val="0"/>
          <w:sz w:val="20"/>
        </w:rPr>
        <w:t>Freins pour Presto : 3 langues de marché (FR + DE + IT). Concurrents locaux très forts (Geberit siège suisse ; Delabie-KWC fabrication locale post-acquisition 2025). Prix en CHF : tarification à adapter (marché premium). Certification SVGW à sécuriser si non encore obtenue.</w:t>
      </w:r>
    </w:p>
    <w:p>
      <w:pPr>
        <w:spacing w:before="80" w:after="80"/>
      </w:pPr>
    </w:p>
    <w:p>
      <w:pPr>
        <w:pStyle w:val="Heading2"/>
        <w:spacing w:before="280" w:after="120"/>
      </w:pPr>
      <w:r>
        <w:rPr>
          <w:rFonts w:ascii="Calibri" w:hAnsi="Calibri"/>
          <w:color w:val="595959"/>
        </w:rPr>
        <w:t>1.4 Tendances d'investissement — Programmes clés</w:t>
      </w:r>
    </w:p>
    <w:tbl>
      <w:tblPr>
        <w:tblStyle w:val="TableGrid"/>
        <w:tblW w:type="auto" w:w="0"/>
        <w:tblLook w:firstColumn="1" w:firstRow="1" w:lastColumn="0" w:lastRow="0" w:noHBand="0" w:noVBand="1" w:val="04A0"/>
      </w:tblPr>
      <w:tblGrid>
        <w:gridCol w:w="1568"/>
        <w:gridCol w:w="1568"/>
        <w:gridCol w:w="1568"/>
        <w:gridCol w:w="1568"/>
        <w:gridCol w:w="1568"/>
        <w:gridCol w:w="1568"/>
      </w:tblGrid>
      <w:tr>
        <w:tc>
          <w:tcPr>
            <w:tcW w:type="dxa" w:w="1568"/>
            <w:shd w:val="clear" w:color="auto" w:fill="EBEBEB"/>
          </w:tcPr>
          <w:p>
            <w:r>
              <w:rPr>
                <w:rFonts w:ascii="Calibri" w:hAnsi="Calibri"/>
              </w:rPr>
            </w:r>
            <w:r>
              <w:rPr>
                <w:rFonts w:ascii="Calibri" w:hAnsi="Calibri"/>
                <w:b/>
                <w:color w:val="595959"/>
                <w:sz w:val="16"/>
              </w:rPr>
              <w:t>Programme</w:t>
            </w:r>
          </w:p>
        </w:tc>
        <w:tc>
          <w:tcPr>
            <w:tcW w:type="dxa" w:w="1568"/>
            <w:shd w:val="clear" w:color="auto" w:fill="EBEBEB"/>
          </w:tcPr>
          <w:p>
            <w:r>
              <w:rPr>
                <w:rFonts w:ascii="Calibri" w:hAnsi="Calibri"/>
              </w:rPr>
            </w:r>
            <w:r>
              <w:rPr>
                <w:rFonts w:ascii="Calibri" w:hAnsi="Calibri"/>
                <w:b/>
                <w:color w:val="595959"/>
                <w:sz w:val="16"/>
              </w:rPr>
              <w:t>But global</w:t>
            </w:r>
          </w:p>
        </w:tc>
        <w:tc>
          <w:tcPr>
            <w:tcW w:type="dxa" w:w="1568"/>
            <w:shd w:val="clear" w:color="auto" w:fill="EBEBEB"/>
          </w:tcPr>
          <w:p>
            <w:r>
              <w:rPr>
                <w:rFonts w:ascii="Calibri" w:hAnsi="Calibri"/>
              </w:rPr>
            </w:r>
            <w:r>
              <w:rPr>
                <w:rFonts w:ascii="Calibri" w:hAnsi="Calibri"/>
                <w:b/>
                <w:color w:val="595959"/>
                <w:sz w:val="16"/>
              </w:rPr>
              <w:t>Secteur</w:t>
            </w:r>
          </w:p>
        </w:tc>
        <w:tc>
          <w:tcPr>
            <w:tcW w:type="dxa" w:w="1568"/>
            <w:shd w:val="clear" w:color="auto" w:fill="EBEBEB"/>
          </w:tcPr>
          <w:p>
            <w:r>
              <w:rPr>
                <w:rFonts w:ascii="Calibri" w:hAnsi="Calibri"/>
              </w:rPr>
            </w:r>
            <w:r>
              <w:rPr>
                <w:rFonts w:ascii="Calibri" w:hAnsi="Calibri"/>
                <w:b/>
                <w:color w:val="595959"/>
                <w:sz w:val="16"/>
              </w:rPr>
              <w:t>Budget</w:t>
            </w:r>
          </w:p>
        </w:tc>
        <w:tc>
          <w:tcPr>
            <w:tcW w:type="dxa" w:w="1568"/>
            <w:shd w:val="clear" w:color="auto" w:fill="EBEBEB"/>
          </w:tcPr>
          <w:p>
            <w:r>
              <w:rPr>
                <w:rFonts w:ascii="Calibri" w:hAnsi="Calibri"/>
              </w:rPr>
            </w:r>
            <w:r>
              <w:rPr>
                <w:rFonts w:ascii="Calibri" w:hAnsi="Calibri"/>
                <w:b/>
                <w:color w:val="595959"/>
                <w:sz w:val="16"/>
              </w:rPr>
              <w:t>Calendrier</w:t>
            </w:r>
          </w:p>
        </w:tc>
        <w:tc>
          <w:tcPr>
            <w:tcW w:type="dxa" w:w="1568"/>
            <w:shd w:val="clear" w:color="auto" w:fill="EBEBEB"/>
          </w:tcPr>
          <w:p>
            <w:r>
              <w:rPr>
                <w:rFonts w:ascii="Calibri" w:hAnsi="Calibri"/>
              </w:rPr>
            </w:r>
            <w:r>
              <w:rPr>
                <w:rFonts w:ascii="Calibri" w:hAnsi="Calibri"/>
                <w:b/>
                <w:color w:val="595959"/>
                <w:sz w:val="16"/>
              </w:rPr>
              <w:t>Opportunité Presto (types produits)</w:t>
            </w:r>
          </w:p>
        </w:tc>
      </w:tr>
      <w:tr>
        <w:tc>
          <w:tcPr>
            <w:tcW w:type="dxa" w:w="1568"/>
          </w:tcPr>
          <w:p>
            <w:r>
              <w:rPr>
                <w:rFonts w:ascii="Calibri" w:hAnsi="Calibri"/>
              </w:rPr>
            </w:r>
            <w:r>
              <w:rPr>
                <w:rFonts w:ascii="Calibri" w:hAnsi="Calibri"/>
                <w:sz w:val="16"/>
              </w:rPr>
              <w:t>Programme Bâtiments (rénovation énergétique)</w:t>
            </w:r>
          </w:p>
        </w:tc>
        <w:tc>
          <w:tcPr>
            <w:tcW w:type="dxa" w:w="1568"/>
          </w:tcPr>
          <w:p>
            <w:r>
              <w:rPr>
                <w:rFonts w:ascii="Calibri" w:hAnsi="Calibri"/>
              </w:rPr>
            </w:r>
            <w:r>
              <w:rPr>
                <w:rFonts w:ascii="Calibri" w:hAnsi="Calibri"/>
                <w:sz w:val="16"/>
              </w:rPr>
              <w:t>Réduction des émissions CO2 du parc bâti résidentiel et tertiaire suisse</w:t>
            </w:r>
          </w:p>
        </w:tc>
        <w:tc>
          <w:tcPr>
            <w:tcW w:type="dxa" w:w="1568"/>
          </w:tcPr>
          <w:p>
            <w:r>
              <w:rPr>
                <w:rFonts w:ascii="Calibri" w:hAnsi="Calibri"/>
              </w:rPr>
            </w:r>
            <w:r>
              <w:rPr>
                <w:rFonts w:ascii="Calibri" w:hAnsi="Calibri"/>
                <w:sz w:val="16"/>
              </w:rPr>
              <w:t>Tous bâtiments</w:t>
            </w:r>
          </w:p>
        </w:tc>
        <w:tc>
          <w:tcPr>
            <w:tcW w:type="dxa" w:w="1568"/>
          </w:tcPr>
          <w:p>
            <w:r>
              <w:rPr>
                <w:rFonts w:ascii="Calibri" w:hAnsi="Calibri"/>
              </w:rPr>
            </w:r>
            <w:r>
              <w:rPr>
                <w:rFonts w:ascii="Calibri" w:hAnsi="Calibri"/>
                <w:sz w:val="16"/>
              </w:rPr>
              <w:t>528 M CHF/an (247 M fédéral + 275 M cantons, 2024)</w:t>
            </w:r>
          </w:p>
        </w:tc>
        <w:tc>
          <w:tcPr>
            <w:tcW w:type="dxa" w:w="1568"/>
          </w:tcPr>
          <w:p>
            <w:r>
              <w:rPr>
                <w:rFonts w:ascii="Calibri" w:hAnsi="Calibri"/>
              </w:rPr>
            </w:r>
            <w:r>
              <w:rPr>
                <w:rFonts w:ascii="Calibri" w:hAnsi="Calibri"/>
                <w:sz w:val="16"/>
              </w:rPr>
              <w:t>Continu 2024-2030+</w:t>
            </w:r>
          </w:p>
        </w:tc>
        <w:tc>
          <w:tcPr>
            <w:tcW w:type="dxa" w:w="1568"/>
          </w:tcPr>
          <w:p>
            <w:r>
              <w:rPr>
                <w:rFonts w:ascii="Calibri" w:hAnsi="Calibri"/>
              </w:rPr>
            </w:r>
            <w:r>
              <w:rPr>
                <w:rFonts w:ascii="Calibri" w:hAnsi="Calibri"/>
                <w:sz w:val="16"/>
              </w:rPr>
              <w:t>Économiseurs d'eau, temporisateurs lors rénovations sanitaires</w:t>
            </w:r>
          </w:p>
        </w:tc>
      </w:tr>
      <w:tr>
        <w:tc>
          <w:tcPr>
            <w:tcW w:type="dxa" w:w="1568"/>
          </w:tcPr>
          <w:p>
            <w:r>
              <w:rPr>
                <w:rFonts w:ascii="Calibri" w:hAnsi="Calibri"/>
              </w:rPr>
            </w:r>
            <w:r>
              <w:rPr>
                <w:rFonts w:ascii="Calibri" w:hAnsi="Calibri"/>
                <w:sz w:val="16"/>
              </w:rPr>
              <w:t>Plan ferroviaire CFF 2035</w:t>
            </w:r>
          </w:p>
        </w:tc>
        <w:tc>
          <w:tcPr>
            <w:tcW w:type="dxa" w:w="1568"/>
          </w:tcPr>
          <w:p>
            <w:r>
              <w:rPr>
                <w:rFonts w:ascii="Calibri" w:hAnsi="Calibri"/>
              </w:rPr>
            </w:r>
            <w:r>
              <w:rPr>
                <w:rFonts w:ascii="Calibri" w:hAnsi="Calibri"/>
                <w:sz w:val="16"/>
              </w:rPr>
              <w:t>Extension de l'offre ferroviaire nationale ; +20% places assises sur 60 lignes</w:t>
            </w:r>
          </w:p>
        </w:tc>
        <w:tc>
          <w:tcPr>
            <w:tcW w:type="dxa" w:w="1568"/>
          </w:tcPr>
          <w:p>
            <w:r>
              <w:rPr>
                <w:rFonts w:ascii="Calibri" w:hAnsi="Calibri"/>
              </w:rPr>
            </w:r>
            <w:r>
              <w:rPr>
                <w:rFonts w:ascii="Calibri" w:hAnsi="Calibri"/>
                <w:sz w:val="16"/>
              </w:rPr>
              <w:t>Transports / gares</w:t>
            </w:r>
          </w:p>
        </w:tc>
        <w:tc>
          <w:tcPr>
            <w:tcW w:type="dxa" w:w="1568"/>
          </w:tcPr>
          <w:p>
            <w:r>
              <w:rPr>
                <w:rFonts w:ascii="Calibri" w:hAnsi="Calibri"/>
              </w:rPr>
            </w:r>
            <w:r>
              <w:rPr>
                <w:rFonts w:ascii="Calibri" w:hAnsi="Calibri"/>
                <w:sz w:val="16"/>
              </w:rPr>
              <w:t>8,5 Mds CHF</w:t>
            </w:r>
          </w:p>
        </w:tc>
        <w:tc>
          <w:tcPr>
            <w:tcW w:type="dxa" w:w="1568"/>
          </w:tcPr>
          <w:p>
            <w:r>
              <w:rPr>
                <w:rFonts w:ascii="Calibri" w:hAnsi="Calibri"/>
              </w:rPr>
            </w:r>
            <w:r>
              <w:rPr>
                <w:rFonts w:ascii="Calibri" w:hAnsi="Calibri"/>
                <w:sz w:val="16"/>
              </w:rPr>
              <w:t>2024-2035</w:t>
            </w:r>
          </w:p>
        </w:tc>
        <w:tc>
          <w:tcPr>
            <w:tcW w:type="dxa" w:w="1568"/>
          </w:tcPr>
          <w:p>
            <w:r>
              <w:rPr>
                <w:rFonts w:ascii="Calibri" w:hAnsi="Calibri"/>
              </w:rPr>
            </w:r>
            <w:r>
              <w:rPr>
                <w:rFonts w:ascii="Calibri" w:hAnsi="Calibri"/>
                <w:sz w:val="16"/>
              </w:rPr>
              <w:t>Robinetterie temporisée gares ; infrarouge ; PMR</w:t>
            </w:r>
          </w:p>
        </w:tc>
      </w:tr>
      <w:tr>
        <w:tc>
          <w:tcPr>
            <w:tcW w:type="dxa" w:w="1568"/>
          </w:tcPr>
          <w:p>
            <w:r>
              <w:rPr>
                <w:rFonts w:ascii="Calibri" w:hAnsi="Calibri"/>
              </w:rPr>
            </w:r>
            <w:r>
              <w:rPr>
                <w:rFonts w:ascii="Calibri" w:hAnsi="Calibri"/>
                <w:sz w:val="16"/>
              </w:rPr>
              <w:t>Programme accessibilité CFF (PMR)</w:t>
            </w:r>
          </w:p>
        </w:tc>
        <w:tc>
          <w:tcPr>
            <w:tcW w:type="dxa" w:w="1568"/>
          </w:tcPr>
          <w:p>
            <w:r>
              <w:rPr>
                <w:rFonts w:ascii="Calibri" w:hAnsi="Calibri"/>
              </w:rPr>
            </w:r>
            <w:r>
              <w:rPr>
                <w:rFonts w:ascii="Calibri" w:hAnsi="Calibri"/>
                <w:sz w:val="16"/>
              </w:rPr>
              <w:t>Adaptation des 764 gares aux normes d'accessibilité pour personnes à mobilité réduite</w:t>
            </w:r>
          </w:p>
        </w:tc>
        <w:tc>
          <w:tcPr>
            <w:tcW w:type="dxa" w:w="1568"/>
          </w:tcPr>
          <w:p>
            <w:r>
              <w:rPr>
                <w:rFonts w:ascii="Calibri" w:hAnsi="Calibri"/>
              </w:rPr>
            </w:r>
            <w:r>
              <w:rPr>
                <w:rFonts w:ascii="Calibri" w:hAnsi="Calibri"/>
                <w:sz w:val="16"/>
              </w:rPr>
              <w:t>Transports</w:t>
            </w:r>
          </w:p>
        </w:tc>
        <w:tc>
          <w:tcPr>
            <w:tcW w:type="dxa" w:w="1568"/>
          </w:tcPr>
          <w:p>
            <w:r>
              <w:rPr>
                <w:rFonts w:ascii="Calibri" w:hAnsi="Calibri"/>
              </w:rPr>
            </w:r>
            <w:r>
              <w:rPr>
                <w:rFonts w:ascii="Calibri" w:hAnsi="Calibri"/>
                <w:sz w:val="16"/>
              </w:rPr>
              <w:t>&gt;2,5 Mds CHF d'ici 2028</w:t>
            </w:r>
          </w:p>
        </w:tc>
        <w:tc>
          <w:tcPr>
            <w:tcW w:type="dxa" w:w="1568"/>
          </w:tcPr>
          <w:p>
            <w:r>
              <w:rPr>
                <w:rFonts w:ascii="Calibri" w:hAnsi="Calibri"/>
              </w:rPr>
            </w:r>
            <w:r>
              <w:rPr>
                <w:rFonts w:ascii="Calibri" w:hAnsi="Calibri"/>
                <w:sz w:val="16"/>
              </w:rPr>
              <w:t>2024-2028</w:t>
            </w:r>
          </w:p>
        </w:tc>
        <w:tc>
          <w:tcPr>
            <w:tcW w:type="dxa" w:w="1568"/>
          </w:tcPr>
          <w:p>
            <w:r>
              <w:rPr>
                <w:rFonts w:ascii="Calibri" w:hAnsi="Calibri"/>
              </w:rPr>
            </w:r>
            <w:r>
              <w:rPr>
                <w:rFonts w:ascii="Calibri" w:hAnsi="Calibri"/>
                <w:sz w:val="16"/>
              </w:rPr>
              <w:t>Robinetterie PMR, temporisée, infrarouge sans contact</w:t>
            </w:r>
          </w:p>
        </w:tc>
      </w:tr>
      <w:tr>
        <w:tc>
          <w:tcPr>
            <w:tcW w:type="dxa" w:w="1568"/>
          </w:tcPr>
          <w:p>
            <w:r>
              <w:rPr>
                <w:rFonts w:ascii="Calibri" w:hAnsi="Calibri"/>
              </w:rPr>
            </w:r>
            <w:r>
              <w:rPr>
                <w:rFonts w:ascii="Calibri" w:hAnsi="Calibri"/>
                <w:sz w:val="16"/>
              </w:rPr>
              <w:t>HUG Genève — rénovation et extension hospitalière</w:t>
            </w:r>
          </w:p>
        </w:tc>
        <w:tc>
          <w:tcPr>
            <w:tcW w:type="dxa" w:w="1568"/>
          </w:tcPr>
          <w:p>
            <w:r>
              <w:rPr>
                <w:rFonts w:ascii="Calibri" w:hAnsi="Calibri"/>
              </w:rPr>
            </w:r>
            <w:r>
              <w:rPr>
                <w:rFonts w:ascii="Calibri" w:hAnsi="Calibri"/>
                <w:sz w:val="16"/>
              </w:rPr>
              <w:t>Modernisation plateau technique, maternité, psychiatrie (EviPsy), hôpital des enfants</w:t>
            </w:r>
          </w:p>
        </w:tc>
        <w:tc>
          <w:tcPr>
            <w:tcW w:type="dxa" w:w="1568"/>
          </w:tcPr>
          <w:p>
            <w:r>
              <w:rPr>
                <w:rFonts w:ascii="Calibri" w:hAnsi="Calibri"/>
              </w:rPr>
            </w:r>
            <w:r>
              <w:rPr>
                <w:rFonts w:ascii="Calibri" w:hAnsi="Calibri"/>
                <w:sz w:val="16"/>
              </w:rPr>
              <w:t>Santé</w:t>
            </w:r>
          </w:p>
        </w:tc>
        <w:tc>
          <w:tcPr>
            <w:tcW w:type="dxa" w:w="1568"/>
          </w:tcPr>
          <w:p>
            <w:r>
              <w:rPr>
                <w:rFonts w:ascii="Calibri" w:hAnsi="Calibri"/>
              </w:rPr>
            </w:r>
            <w:r>
              <w:rPr>
                <w:rFonts w:ascii="Calibri" w:hAnsi="Calibri"/>
                <w:sz w:val="16"/>
              </w:rPr>
              <w:t>&gt;58,5 M CHF/an ; 1,5 Mds CHF HUG+CHUV</w:t>
            </w:r>
          </w:p>
        </w:tc>
        <w:tc>
          <w:tcPr>
            <w:tcW w:type="dxa" w:w="1568"/>
          </w:tcPr>
          <w:p>
            <w:r>
              <w:rPr>
                <w:rFonts w:ascii="Calibri" w:hAnsi="Calibri"/>
              </w:rPr>
            </w:r>
            <w:r>
              <w:rPr>
                <w:rFonts w:ascii="Calibri" w:hAnsi="Calibri"/>
                <w:sz w:val="16"/>
              </w:rPr>
              <w:t>2024-2031</w:t>
            </w:r>
          </w:p>
        </w:tc>
        <w:tc>
          <w:tcPr>
            <w:tcW w:type="dxa" w:w="1568"/>
          </w:tcPr>
          <w:p>
            <w:r>
              <w:rPr>
                <w:rFonts w:ascii="Calibri" w:hAnsi="Calibri"/>
              </w:rPr>
            </w:r>
            <w:r>
              <w:rPr>
                <w:rFonts w:ascii="Calibri" w:hAnsi="Calibri"/>
                <w:sz w:val="16"/>
              </w:rPr>
              <w:t>Temporisée hospitalière, infrarouge, anti-brûlure, PMR, anti-arrachement psychiatrie</w:t>
            </w:r>
          </w:p>
        </w:tc>
      </w:tr>
      <w:tr>
        <w:tc>
          <w:tcPr>
            <w:tcW w:type="dxa" w:w="1568"/>
          </w:tcPr>
          <w:p>
            <w:r>
              <w:rPr>
                <w:rFonts w:ascii="Calibri" w:hAnsi="Calibri"/>
              </w:rPr>
            </w:r>
            <w:r>
              <w:rPr>
                <w:rFonts w:ascii="Calibri" w:hAnsi="Calibri"/>
                <w:sz w:val="16"/>
              </w:rPr>
              <w:t>CAP2030 — Aéroport Genève</w:t>
            </w:r>
          </w:p>
        </w:tc>
        <w:tc>
          <w:tcPr>
            <w:tcW w:type="dxa" w:w="1568"/>
          </w:tcPr>
          <w:p>
            <w:r>
              <w:rPr>
                <w:rFonts w:ascii="Calibri" w:hAnsi="Calibri"/>
              </w:rPr>
            </w:r>
            <w:r>
              <w:rPr>
                <w:rFonts w:ascii="Calibri" w:hAnsi="Calibri"/>
                <w:sz w:val="16"/>
              </w:rPr>
              <w:t>Rénovation du terminal principal et construction du Satellite 10</w:t>
            </w:r>
          </w:p>
        </w:tc>
        <w:tc>
          <w:tcPr>
            <w:tcW w:type="dxa" w:w="1568"/>
          </w:tcPr>
          <w:p>
            <w:r>
              <w:rPr>
                <w:rFonts w:ascii="Calibri" w:hAnsi="Calibri"/>
              </w:rPr>
            </w:r>
            <w:r>
              <w:rPr>
                <w:rFonts w:ascii="Calibri" w:hAnsi="Calibri"/>
                <w:sz w:val="16"/>
              </w:rPr>
              <w:t>Transports</w:t>
            </w:r>
          </w:p>
        </w:tc>
        <w:tc>
          <w:tcPr>
            <w:tcW w:type="dxa" w:w="1568"/>
          </w:tcPr>
          <w:p>
            <w:r>
              <w:rPr>
                <w:rFonts w:ascii="Calibri" w:hAnsi="Calibri"/>
              </w:rPr>
            </w:r>
            <w:r>
              <w:rPr>
                <w:rFonts w:ascii="Calibri" w:hAnsi="Calibri"/>
                <w:sz w:val="16"/>
              </w:rPr>
              <w:t>560 M CHF 2023-2032</w:t>
            </w:r>
          </w:p>
        </w:tc>
        <w:tc>
          <w:tcPr>
            <w:tcW w:type="dxa" w:w="1568"/>
          </w:tcPr>
          <w:p>
            <w:r>
              <w:rPr>
                <w:rFonts w:ascii="Calibri" w:hAnsi="Calibri"/>
              </w:rPr>
            </w:r>
            <w:r>
              <w:rPr>
                <w:rFonts w:ascii="Calibri" w:hAnsi="Calibri"/>
                <w:sz w:val="16"/>
              </w:rPr>
              <w:t>2025-2032</w:t>
            </w:r>
          </w:p>
        </w:tc>
        <w:tc>
          <w:tcPr>
            <w:tcW w:type="dxa" w:w="1568"/>
          </w:tcPr>
          <w:p>
            <w:r>
              <w:rPr>
                <w:rFonts w:ascii="Calibri" w:hAnsi="Calibri"/>
              </w:rPr>
            </w:r>
            <w:r>
              <w:rPr>
                <w:rFonts w:ascii="Calibri" w:hAnsi="Calibri"/>
                <w:sz w:val="16"/>
              </w:rPr>
              <w:t>Temporisée, infrarouge, économiseurs eau, PMR aéroport</w:t>
            </w:r>
          </w:p>
        </w:tc>
      </w:tr>
      <w:tr>
        <w:tc>
          <w:tcPr>
            <w:tcW w:type="dxa" w:w="1568"/>
          </w:tcPr>
          <w:p>
            <w:r>
              <w:rPr>
                <w:rFonts w:ascii="Calibri" w:hAnsi="Calibri"/>
              </w:rPr>
            </w:r>
            <w:r>
              <w:rPr>
                <w:rFonts w:ascii="Calibri" w:hAnsi="Calibri"/>
                <w:sz w:val="16"/>
              </w:rPr>
              <w:t>FORTA (fonds routes nationales)</w:t>
            </w:r>
          </w:p>
        </w:tc>
        <w:tc>
          <w:tcPr>
            <w:tcW w:type="dxa" w:w="1568"/>
          </w:tcPr>
          <w:p>
            <w:r>
              <w:rPr>
                <w:rFonts w:ascii="Calibri" w:hAnsi="Calibri"/>
              </w:rPr>
            </w:r>
            <w:r>
              <w:rPr>
                <w:rFonts w:ascii="Calibri" w:hAnsi="Calibri"/>
                <w:sz w:val="16"/>
              </w:rPr>
              <w:t>Entretien et développement du réseau routier national et des agglomérations</w:t>
            </w:r>
          </w:p>
        </w:tc>
        <w:tc>
          <w:tcPr>
            <w:tcW w:type="dxa" w:w="1568"/>
          </w:tcPr>
          <w:p>
            <w:r>
              <w:rPr>
                <w:rFonts w:ascii="Calibri" w:hAnsi="Calibri"/>
              </w:rPr>
            </w:r>
            <w:r>
              <w:rPr>
                <w:rFonts w:ascii="Calibri" w:hAnsi="Calibri"/>
                <w:sz w:val="16"/>
              </w:rPr>
              <w:t>Infrastructures / aires de repos</w:t>
            </w:r>
          </w:p>
        </w:tc>
        <w:tc>
          <w:tcPr>
            <w:tcW w:type="dxa" w:w="1568"/>
          </w:tcPr>
          <w:p>
            <w:r>
              <w:rPr>
                <w:rFonts w:ascii="Calibri" w:hAnsi="Calibri"/>
              </w:rPr>
            </w:r>
            <w:r>
              <w:rPr>
                <w:rFonts w:ascii="Calibri" w:hAnsi="Calibri"/>
                <w:sz w:val="16"/>
              </w:rPr>
              <w:t>~3 Mds CHF/an ; 11,6 Mds CHF à 2030</w:t>
            </w:r>
          </w:p>
        </w:tc>
        <w:tc>
          <w:tcPr>
            <w:tcW w:type="dxa" w:w="1568"/>
          </w:tcPr>
          <w:p>
            <w:r>
              <w:rPr>
                <w:rFonts w:ascii="Calibri" w:hAnsi="Calibri"/>
              </w:rPr>
            </w:r>
            <w:r>
              <w:rPr>
                <w:rFonts w:ascii="Calibri" w:hAnsi="Calibri"/>
                <w:sz w:val="16"/>
              </w:rPr>
              <w:t>Continu</w:t>
            </w:r>
          </w:p>
        </w:tc>
        <w:tc>
          <w:tcPr>
            <w:tcW w:type="dxa" w:w="1568"/>
          </w:tcPr>
          <w:p>
            <w:r>
              <w:rPr>
                <w:rFonts w:ascii="Calibri" w:hAnsi="Calibri"/>
              </w:rPr>
            </w:r>
            <w:r>
              <w:rPr>
                <w:rFonts w:ascii="Calibri" w:hAnsi="Calibri"/>
                <w:sz w:val="16"/>
              </w:rPr>
              <w:t>Temporisée aires de repos et stations-service</w:t>
            </w:r>
          </w:p>
        </w:tc>
      </w:tr>
      <w:tr>
        <w:tc>
          <w:tcPr>
            <w:tcW w:type="dxa" w:w="1568"/>
          </w:tcPr>
          <w:p>
            <w:r>
              <w:rPr>
                <w:rFonts w:ascii="Calibri" w:hAnsi="Calibri"/>
              </w:rPr>
            </w:r>
            <w:r>
              <w:rPr>
                <w:rFonts w:ascii="Calibri" w:hAnsi="Calibri"/>
                <w:sz w:val="16"/>
              </w:rPr>
              <w:t>Budget FRI 2025-2028 (formation-recherche)</w:t>
            </w:r>
          </w:p>
        </w:tc>
        <w:tc>
          <w:tcPr>
            <w:tcW w:type="dxa" w:w="1568"/>
          </w:tcPr>
          <w:p>
            <w:r>
              <w:rPr>
                <w:rFonts w:ascii="Calibri" w:hAnsi="Calibri"/>
              </w:rPr>
            </w:r>
            <w:r>
              <w:rPr>
                <w:rFonts w:ascii="Calibri" w:hAnsi="Calibri"/>
                <w:sz w:val="16"/>
              </w:rPr>
              <w:t>Financement des EPF, universités et HES suisses</w:t>
            </w:r>
          </w:p>
        </w:tc>
        <w:tc>
          <w:tcPr>
            <w:tcW w:type="dxa" w:w="1568"/>
          </w:tcPr>
          <w:p>
            <w:r>
              <w:rPr>
                <w:rFonts w:ascii="Calibri" w:hAnsi="Calibri"/>
              </w:rPr>
            </w:r>
            <w:r>
              <w:rPr>
                <w:rFonts w:ascii="Calibri" w:hAnsi="Calibri"/>
                <w:sz w:val="16"/>
              </w:rPr>
              <w:t>Éducation</w:t>
            </w:r>
          </w:p>
        </w:tc>
        <w:tc>
          <w:tcPr>
            <w:tcW w:type="dxa" w:w="1568"/>
          </w:tcPr>
          <w:p>
            <w:r>
              <w:rPr>
                <w:rFonts w:ascii="Calibri" w:hAnsi="Calibri"/>
              </w:rPr>
            </w:r>
            <w:r>
              <w:rPr>
                <w:rFonts w:ascii="Calibri" w:hAnsi="Calibri"/>
                <w:sz w:val="16"/>
              </w:rPr>
              <w:t>29,2 Mds CHF (coupes 460 M CHF/an)</w:t>
            </w:r>
          </w:p>
        </w:tc>
        <w:tc>
          <w:tcPr>
            <w:tcW w:type="dxa" w:w="1568"/>
          </w:tcPr>
          <w:p>
            <w:r>
              <w:rPr>
                <w:rFonts w:ascii="Calibri" w:hAnsi="Calibri"/>
              </w:rPr>
            </w:r>
            <w:r>
              <w:rPr>
                <w:rFonts w:ascii="Calibri" w:hAnsi="Calibri"/>
                <w:sz w:val="16"/>
              </w:rPr>
              <w:t>2025-2028</w:t>
            </w:r>
          </w:p>
        </w:tc>
        <w:tc>
          <w:tcPr>
            <w:tcW w:type="dxa" w:w="1568"/>
          </w:tcPr>
          <w:p>
            <w:r>
              <w:rPr>
                <w:rFonts w:ascii="Calibri" w:hAnsi="Calibri"/>
              </w:rPr>
            </w:r>
            <w:r>
              <w:rPr>
                <w:rFonts w:ascii="Calibri" w:hAnsi="Calibri"/>
                <w:sz w:val="16"/>
              </w:rPr>
              <w:t>Robinetterie établissements académiques, résidences étudiantes, infrarouge</w:t>
            </w:r>
          </w:p>
        </w:tc>
      </w:tr>
    </w:tbl>
    <w:p>
      <w:pPr>
        <w:spacing w:before="80" w:after="80"/>
      </w:pPr>
    </w:p>
    <w:p>
      <w:pPr>
        <w:pStyle w:val="Heading1"/>
        <w:pageBreakBefore/>
        <w:spacing w:before="280" w:after="120"/>
      </w:pPr>
      <w:r>
        <w:rPr>
          <w:rFonts w:ascii="Calibri" w:hAnsi="Calibri"/>
          <w:color w:val="595959"/>
        </w:rPr>
        <w:t>PARTIE 2 — MARCHÉ DE LA CONSTRUCTION</w:t>
      </w:r>
    </w:p>
    <w:p>
      <w:pPr>
        <w:pStyle w:val="Heading2"/>
        <w:spacing w:before="280" w:after="120"/>
      </w:pPr>
      <w:r>
        <w:rPr>
          <w:rFonts w:ascii="Calibri" w:hAnsi="Calibri"/>
          <w:color w:val="595959"/>
        </w:rPr>
        <w:t>2.1 État et taille du marché</w:t>
      </w:r>
    </w:p>
    <w:p>
      <w:pPr>
        <w:pStyle w:val="ListBullet"/>
        <w:spacing w:before="80" w:after="80"/>
        <w:ind w:left="0"/>
      </w:pPr>
      <w:r>
        <w:rPr>
          <w:rFonts w:ascii="Calibri" w:hAnsi="Calibri"/>
          <w:b w:val="0"/>
          <w:i w:val="0"/>
          <w:sz w:val="20"/>
        </w:rPr>
        <w:t>Investissement total construction Suisse 2024 : CHF 68,9 Mds (+1,8% YoY), soit ~9,5% du PIB. (Eminence.ch, Swiss Construction Insights 2025)</w:t>
      </w:r>
    </w:p>
    <w:p>
      <w:pPr>
        <w:pStyle w:val="ListBullet"/>
        <w:spacing w:before="80" w:after="80"/>
        <w:ind w:left="0"/>
      </w:pPr>
      <w:r>
        <w:rPr>
          <w:rFonts w:ascii="Calibri" w:hAnsi="Calibri"/>
          <w:b w:val="0"/>
          <w:i w:val="0"/>
          <w:sz w:val="20"/>
        </w:rPr>
        <w:t>CA secteur principal (entrepreneurs) : CHF 23,4 Mds en 2024. Prévisions : CHF 23,9 Mds (+2,1% en 2025) et CHF 24,4 Mds (+1,9% en 2026). (SSE / Baumeister.swiss)</w:t>
      </w:r>
    </w:p>
    <w:p>
      <w:pPr>
        <w:pStyle w:val="ListBullet"/>
        <w:spacing w:before="80" w:after="80"/>
        <w:ind w:left="0"/>
      </w:pPr>
      <w:r>
        <w:rPr>
          <w:rFonts w:ascii="Calibri" w:hAnsi="Calibri"/>
          <w:b w:val="0"/>
          <w:i w:val="0"/>
          <w:sz w:val="20"/>
        </w:rPr>
        <w:t>Carnets de commandes : 7,4 mois de travail assuré fin 2024 — niveau le plus élevé depuis 6 ans. (SIA Q4 2024)</w:t>
      </w:r>
    </w:p>
    <w:p>
      <w:pPr>
        <w:pStyle w:val="ListBullet"/>
        <w:spacing w:before="80" w:after="80"/>
        <w:ind w:left="0"/>
      </w:pPr>
      <w:r>
        <w:rPr>
          <w:rFonts w:ascii="Calibri" w:hAnsi="Calibri"/>
          <w:b w:val="0"/>
          <w:i w:val="0"/>
          <w:sz w:val="20"/>
        </w:rPr>
        <w:t>Emplois secteur : 352 000 personnes (8,1% du travail national). (Eminence.ch)</w:t>
      </w:r>
    </w:p>
    <w:p>
      <w:pPr>
        <w:pStyle w:val="ListBullet"/>
        <w:spacing w:before="80" w:after="80"/>
        <w:ind w:left="0"/>
      </w:pPr>
      <w:r>
        <w:rPr>
          <w:rFonts w:ascii="Calibri" w:hAnsi="Calibri"/>
          <w:b w:val="0"/>
          <w:i w:val="0"/>
          <w:sz w:val="20"/>
        </w:rPr>
        <w:t>Marché robuste, bonne résilience face aux turbulences européennes. Croissance progressive sans surchauffe. (Source interne EMAE, 2025)</w:t>
      </w:r>
    </w:p>
    <w:p>
      <w:pPr>
        <w:pStyle w:val="Heading2"/>
        <w:spacing w:before="280" w:after="120"/>
      </w:pPr>
      <w:r>
        <w:rPr>
          <w:rFonts w:ascii="Calibri" w:hAnsi="Calibri"/>
          <w:color w:val="595959"/>
        </w:rPr>
        <w:t>2.2 Dynamique Neuf vs Rénovation</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EBEBEB"/>
          </w:tcPr>
          <w:p>
            <w:r>
              <w:rPr>
                <w:rFonts w:ascii="Calibri" w:hAnsi="Calibri"/>
              </w:rPr>
            </w:r>
            <w:r>
              <w:rPr>
                <w:rFonts w:ascii="Calibri" w:hAnsi="Calibri"/>
                <w:b/>
                <w:color w:val="595959"/>
                <w:sz w:val="18"/>
              </w:rPr>
              <w:t>Segment</w:t>
            </w:r>
          </w:p>
        </w:tc>
        <w:tc>
          <w:tcPr>
            <w:tcW w:type="dxa" w:w="2351"/>
            <w:shd w:val="clear" w:color="auto" w:fill="EBEBEB"/>
          </w:tcPr>
          <w:p>
            <w:r>
              <w:rPr>
                <w:rFonts w:ascii="Calibri" w:hAnsi="Calibri"/>
              </w:rPr>
            </w:r>
            <w:r>
              <w:rPr>
                <w:rFonts w:ascii="Calibri" w:hAnsi="Calibri"/>
                <w:b/>
                <w:color w:val="595959"/>
                <w:sz w:val="18"/>
              </w:rPr>
              <w:t>Poids estimé</w:t>
            </w:r>
          </w:p>
        </w:tc>
        <w:tc>
          <w:tcPr>
            <w:tcW w:type="dxa" w:w="2351"/>
            <w:shd w:val="clear" w:color="auto" w:fill="EBEBEB"/>
          </w:tcPr>
          <w:p>
            <w:r>
              <w:rPr>
                <w:rFonts w:ascii="Calibri" w:hAnsi="Calibri"/>
              </w:rPr>
            </w:r>
            <w:r>
              <w:rPr>
                <w:rFonts w:ascii="Calibri" w:hAnsi="Calibri"/>
                <w:b/>
                <w:color w:val="595959"/>
                <w:sz w:val="18"/>
              </w:rPr>
              <w:t>Dynamique 2025</w:t>
            </w:r>
          </w:p>
        </w:tc>
        <w:tc>
          <w:tcPr>
            <w:tcW w:type="dxa" w:w="2351"/>
            <w:shd w:val="clear" w:color="auto" w:fill="EBEBEB"/>
          </w:tcPr>
          <w:p>
            <w:r>
              <w:rPr>
                <w:rFonts w:ascii="Calibri" w:hAnsi="Calibri"/>
              </w:rPr>
            </w:r>
            <w:r>
              <w:rPr>
                <w:rFonts w:ascii="Calibri" w:hAnsi="Calibri"/>
                <w:b/>
                <w:color w:val="595959"/>
                <w:sz w:val="18"/>
              </w:rPr>
              <w:t>Source</w:t>
            </w:r>
          </w:p>
        </w:tc>
      </w:tr>
      <w:tr>
        <w:tc>
          <w:tcPr>
            <w:tcW w:type="dxa" w:w="2351"/>
          </w:tcPr>
          <w:p>
            <w:r>
              <w:rPr>
                <w:rFonts w:ascii="Calibri" w:hAnsi="Calibri"/>
              </w:rPr>
            </w:r>
            <w:r>
              <w:rPr>
                <w:rFonts w:ascii="Calibri" w:hAnsi="Calibri"/>
                <w:sz w:val="18"/>
              </w:rPr>
              <w:t>Neuf résidentiel</w:t>
            </w:r>
          </w:p>
        </w:tc>
        <w:tc>
          <w:tcPr>
            <w:tcW w:type="dxa" w:w="2351"/>
          </w:tcPr>
          <w:p>
            <w:r>
              <w:rPr>
                <w:rFonts w:ascii="Calibri" w:hAnsi="Calibri"/>
              </w:rPr>
            </w:r>
            <w:r>
              <w:rPr>
                <w:rFonts w:ascii="Calibri" w:hAnsi="Calibri"/>
                <w:sz w:val="18"/>
              </w:rPr>
              <w:t>~38% du total</w:t>
            </w:r>
          </w:p>
        </w:tc>
        <w:tc>
          <w:tcPr>
            <w:tcW w:type="dxa" w:w="2351"/>
          </w:tcPr>
          <w:p>
            <w:r>
              <w:rPr>
                <w:rFonts w:ascii="Calibri" w:hAnsi="Calibri"/>
              </w:rPr>
            </w:r>
            <w:r>
              <w:rPr>
                <w:rFonts w:ascii="Calibri" w:hAnsi="Calibri"/>
                <w:sz w:val="18"/>
              </w:rPr>
              <w:t>+4,8% (2025)</w:t>
            </w:r>
          </w:p>
        </w:tc>
        <w:tc>
          <w:tcPr>
            <w:tcW w:type="dxa" w:w="2351"/>
          </w:tcPr>
          <w:p>
            <w:r>
              <w:rPr>
                <w:rFonts w:ascii="Calibri" w:hAnsi="Calibri"/>
              </w:rPr>
            </w:r>
            <w:r>
              <w:rPr>
                <w:rFonts w:ascii="Calibri" w:hAnsi="Calibri"/>
                <w:sz w:val="18"/>
              </w:rPr>
              <w:t>EMAE / Eminence.ch 2025</w:t>
            </w:r>
          </w:p>
        </w:tc>
      </w:tr>
      <w:tr>
        <w:tc>
          <w:tcPr>
            <w:tcW w:type="dxa" w:w="2351"/>
          </w:tcPr>
          <w:p>
            <w:r>
              <w:rPr>
                <w:rFonts w:ascii="Calibri" w:hAnsi="Calibri"/>
              </w:rPr>
            </w:r>
            <w:r>
              <w:rPr>
                <w:rFonts w:ascii="Calibri" w:hAnsi="Calibri"/>
                <w:sz w:val="18"/>
              </w:rPr>
              <w:t>Rénovation résidentielle (énergie)</w:t>
            </w:r>
          </w:p>
        </w:tc>
        <w:tc>
          <w:tcPr>
            <w:tcW w:type="dxa" w:w="2351"/>
          </w:tcPr>
          <w:p>
            <w:r>
              <w:rPr>
                <w:rFonts w:ascii="Calibri" w:hAnsi="Calibri"/>
              </w:rPr>
            </w:r>
            <w:r>
              <w:rPr>
                <w:rFonts w:ascii="Calibri" w:hAnsi="Calibri"/>
                <w:sz w:val="18"/>
              </w:rPr>
              <w:t>~19% du total</w:t>
            </w:r>
          </w:p>
        </w:tc>
        <w:tc>
          <w:tcPr>
            <w:tcW w:type="dxa" w:w="2351"/>
          </w:tcPr>
          <w:p>
            <w:r>
              <w:rPr>
                <w:rFonts w:ascii="Calibri" w:hAnsi="Calibri"/>
              </w:rPr>
            </w:r>
            <w:r>
              <w:rPr>
                <w:rFonts w:ascii="Calibri" w:hAnsi="Calibri"/>
                <w:sz w:val="18"/>
              </w:rPr>
              <w:t>Forte hausse (soutien réglementaire)</w:t>
            </w:r>
          </w:p>
        </w:tc>
        <w:tc>
          <w:tcPr>
            <w:tcW w:type="dxa" w:w="2351"/>
          </w:tcPr>
          <w:p>
            <w:r>
              <w:rPr>
                <w:rFonts w:ascii="Calibri" w:hAnsi="Calibri"/>
              </w:rPr>
            </w:r>
            <w:r>
              <w:rPr>
                <w:rFonts w:ascii="Calibri" w:hAnsi="Calibri"/>
                <w:sz w:val="18"/>
              </w:rPr>
              <w:t>news.admin.ch / Programme Bâtiments</w:t>
            </w:r>
          </w:p>
        </w:tc>
      </w:tr>
      <w:tr>
        <w:tc>
          <w:tcPr>
            <w:tcW w:type="dxa" w:w="2351"/>
          </w:tcPr>
          <w:p>
            <w:r>
              <w:rPr>
                <w:rFonts w:ascii="Calibri" w:hAnsi="Calibri"/>
              </w:rPr>
            </w:r>
            <w:r>
              <w:rPr>
                <w:rFonts w:ascii="Calibri" w:hAnsi="Calibri"/>
                <w:sz w:val="18"/>
              </w:rPr>
              <w:t>Non-résidentiel (neuf + rénov.)</w:t>
            </w:r>
          </w:p>
        </w:tc>
        <w:tc>
          <w:tcPr>
            <w:tcW w:type="dxa" w:w="2351"/>
          </w:tcPr>
          <w:p>
            <w:r>
              <w:rPr>
                <w:rFonts w:ascii="Calibri" w:hAnsi="Calibri"/>
              </w:rPr>
            </w:r>
            <w:r>
              <w:rPr>
                <w:rFonts w:ascii="Calibri" w:hAnsi="Calibri"/>
                <w:sz w:val="18"/>
              </w:rPr>
              <w:t>~25-30% du total</w:t>
            </w:r>
          </w:p>
        </w:tc>
        <w:tc>
          <w:tcPr>
            <w:tcW w:type="dxa" w:w="2351"/>
          </w:tcPr>
          <w:p>
            <w:r>
              <w:rPr>
                <w:rFonts w:ascii="Calibri" w:hAnsi="Calibri"/>
              </w:rPr>
            </w:r>
            <w:r>
              <w:rPr>
                <w:rFonts w:ascii="Calibri" w:hAnsi="Calibri"/>
                <w:sz w:val="18"/>
              </w:rPr>
              <w:t>Stable — pas de croissance attendue</w:t>
            </w:r>
          </w:p>
        </w:tc>
        <w:tc>
          <w:tcPr>
            <w:tcW w:type="dxa" w:w="2351"/>
          </w:tcPr>
          <w:p>
            <w:r>
              <w:rPr>
                <w:rFonts w:ascii="Calibri" w:hAnsi="Calibri"/>
              </w:rPr>
            </w:r>
            <w:r>
              <w:rPr>
                <w:rFonts w:ascii="Calibri" w:hAnsi="Calibri"/>
                <w:sz w:val="18"/>
              </w:rPr>
              <w:t>EMAE / Eminence.ch 2025</w:t>
            </w:r>
          </w:p>
        </w:tc>
      </w:tr>
      <w:tr>
        <w:tc>
          <w:tcPr>
            <w:tcW w:type="dxa" w:w="2351"/>
          </w:tcPr>
          <w:p>
            <w:r>
              <w:rPr>
                <w:rFonts w:ascii="Calibri" w:hAnsi="Calibri"/>
              </w:rPr>
            </w:r>
            <w:r>
              <w:rPr>
                <w:rFonts w:ascii="Calibri" w:hAnsi="Calibri"/>
                <w:sz w:val="18"/>
              </w:rPr>
              <w:t>Génie civil / Infrastructures</w:t>
            </w:r>
          </w:p>
        </w:tc>
        <w:tc>
          <w:tcPr>
            <w:tcW w:type="dxa" w:w="2351"/>
          </w:tcPr>
          <w:p>
            <w:r>
              <w:rPr>
                <w:rFonts w:ascii="Calibri" w:hAnsi="Calibri"/>
              </w:rPr>
            </w:r>
            <w:r>
              <w:rPr>
                <w:rFonts w:ascii="Calibri" w:hAnsi="Calibri"/>
                <w:sz w:val="18"/>
              </w:rPr>
              <w:t>~15-20% du total</w:t>
            </w:r>
          </w:p>
        </w:tc>
        <w:tc>
          <w:tcPr>
            <w:tcW w:type="dxa" w:w="2351"/>
          </w:tcPr>
          <w:p>
            <w:r>
              <w:rPr>
                <w:rFonts w:ascii="Calibri" w:hAnsi="Calibri"/>
              </w:rPr>
            </w:r>
            <w:r>
              <w:rPr>
                <w:rFonts w:ascii="Calibri" w:hAnsi="Calibri"/>
                <w:sz w:val="18"/>
              </w:rPr>
              <w:t>Stable (investissements fédéraux CFF/FORTA)</w:t>
            </w:r>
          </w:p>
        </w:tc>
        <w:tc>
          <w:tcPr>
            <w:tcW w:type="dxa" w:w="2351"/>
          </w:tcPr>
          <w:p>
            <w:r>
              <w:rPr>
                <w:rFonts w:ascii="Calibri" w:hAnsi="Calibri"/>
              </w:rPr>
            </w:r>
            <w:r>
              <w:rPr>
                <w:rFonts w:ascii="Calibri" w:hAnsi="Calibri"/>
                <w:sz w:val="18"/>
              </w:rPr>
              <w:t>EMAE 2025</w:t>
            </w:r>
          </w:p>
        </w:tc>
      </w:tr>
    </w:tbl>
    <w:p>
      <w:pPr>
        <w:spacing w:before="80" w:after="80"/>
      </w:pPr>
      <w:r>
        <w:rPr>
          <w:rFonts w:ascii="Calibri" w:hAnsi="Calibri"/>
          <w:b w:val="0"/>
          <w:i/>
          <w:color w:val="595959"/>
          <w:sz w:val="18"/>
        </w:rPr>
        <w:t>⚠ Estimation — répartition neuf/réno basée sur EMAE (source interne, 2025) et Eminence.ch. La rénovation atteint 57% du total (CHF 39,2 Mds vs CHF 29,3 Mds neuf). Décomposition sous-segments à confirmer via OFS (bfs.admin.ch).</w:t>
      </w:r>
    </w:p>
    <w:p>
      <w:pPr>
        <w:spacing w:before="80" w:after="80"/>
      </w:pPr>
    </w:p>
    <w:p>
      <w:pPr>
        <w:pStyle w:val="ListBullet"/>
        <w:spacing w:before="80" w:after="80"/>
        <w:ind w:left="0"/>
      </w:pPr>
      <w:r>
        <w:rPr>
          <w:rFonts w:ascii="Calibri" w:hAnsi="Calibri"/>
          <w:b w:val="0"/>
          <w:i w:val="0"/>
          <w:sz w:val="20"/>
        </w:rPr>
        <w:t>Rénovation = 57% de l'investissement total (CHF 39,2 Mds) vs neuf 43% (CHF 29,3 Mds) — la rénovation dépasse le neuf pour la première fois. 59% du parc résidentiel date d'avant 1980. (Eminence.ch 2024)</w:t>
      </w:r>
    </w:p>
    <w:p>
      <w:pPr>
        <w:pStyle w:val="ListBullet"/>
        <w:spacing w:before="80" w:after="80"/>
        <w:ind w:left="0"/>
      </w:pPr>
      <w:r>
        <w:rPr>
          <w:rFonts w:ascii="Calibri" w:hAnsi="Calibri"/>
          <w:b w:val="0"/>
          <w:i w:val="0"/>
          <w:sz w:val="20"/>
        </w:rPr>
        <w:t>Résidentiel neuf : +4,8% en 2025, moteur principal. 50 000 logements/an nécessaires vs 42 000-45 000 construits réellement. 82% des projets = logements collectifs. Pénurie structurelle persistante. (EMAE 2025)</w:t>
      </w:r>
    </w:p>
    <w:p>
      <w:pPr>
        <w:pStyle w:val="ListBullet"/>
        <w:spacing w:before="80" w:after="80"/>
        <w:ind w:left="0"/>
      </w:pPr>
      <w:r>
        <w:rPr>
          <w:rFonts w:ascii="Calibri" w:hAnsi="Calibri"/>
          <w:b w:val="0"/>
          <w:i w:val="0"/>
          <w:sz w:val="20"/>
        </w:rPr>
        <w:t>Rénovation énergétique : forte hausse, 2e pilier de croissance. Taux actuel 1,4%/an, objectif net zéro 2050 = 3%/an. Programme Bâtiments : 528 M CHF versés en 2024. (news.admin.ch)</w:t>
      </w:r>
    </w:p>
    <w:p>
      <w:pPr>
        <w:pStyle w:val="ListBullet"/>
        <w:spacing w:before="80" w:after="80"/>
        <w:ind w:left="0"/>
      </w:pPr>
      <w:r>
        <w:rPr>
          <w:rFonts w:ascii="Calibri" w:hAnsi="Calibri"/>
          <w:b w:val="0"/>
          <w:i w:val="0"/>
          <w:sz w:val="20"/>
        </w:rPr>
        <w:t>Régions dynamiques : Zurich, Suisse centrale, Lac Léman. Bâle : accent rénovation et modernisation énergétique. (EMAE 2025)</w:t>
      </w:r>
    </w:p>
    <w:p>
      <w:pPr>
        <w:pStyle w:val="Heading2"/>
        <w:spacing w:before="280" w:after="120"/>
      </w:pPr>
      <w:r>
        <w:rPr>
          <w:rFonts w:ascii="Calibri" w:hAnsi="Calibri"/>
          <w:color w:val="595959"/>
        </w:rPr>
        <w:t>2.3 Perspectives 2025-2030</w:t>
      </w:r>
    </w:p>
    <w:p>
      <w:pPr>
        <w:pStyle w:val="ListBullet"/>
        <w:spacing w:before="80" w:after="80"/>
        <w:ind w:left="0"/>
      </w:pPr>
      <w:r>
        <w:rPr>
          <w:rFonts w:ascii="Calibri" w:hAnsi="Calibri"/>
          <w:b w:val="0"/>
          <w:i w:val="0"/>
          <w:sz w:val="20"/>
        </w:rPr>
        <w:t>Croissance construction attendue : +1,9% (2026) puis ~+2%/an selon SSE. Marché robuste, résilient, sans surchauffe malgré turbulences européennes. (SSE 2025)</w:t>
      </w:r>
    </w:p>
    <w:p>
      <w:pPr>
        <w:pStyle w:val="ListBullet"/>
        <w:spacing w:before="80" w:after="80"/>
        <w:ind w:left="0"/>
      </w:pPr>
      <w:r>
        <w:rPr>
          <w:rFonts w:ascii="Calibri" w:hAnsi="Calibri"/>
          <w:b w:val="0"/>
          <w:i w:val="0"/>
          <w:sz w:val="20"/>
        </w:rPr>
        <w:t>Résidentiel : pénurie structurelle (50 000 logements/an nécessaires, ~42 000 construits) → moteur de croissance durable à horizon 2030. 82% logements collectifs = marchés robinetterie collective par projet.</w:t>
      </w:r>
    </w:p>
    <w:p>
      <w:pPr>
        <w:pStyle w:val="ListBullet"/>
        <w:spacing w:before="80" w:after="80"/>
        <w:ind w:left="0"/>
      </w:pPr>
      <w:r>
        <w:rPr>
          <w:rFonts w:ascii="Calibri" w:hAnsi="Calibri"/>
          <w:b w:val="0"/>
          <w:i w:val="0"/>
          <w:sz w:val="20"/>
        </w:rPr>
        <w:t>Rénovation énergétique : tendance lourde irréversible. Stratégie énergie 2050 génère un cycle de rénovation du parc bâti sur 25 ans. Objectif : 3%/an vs 1,4% actuel → potentiel de multiplication ×2 du rythme. (news.admin.ch)</w:t>
      </w:r>
    </w:p>
    <w:p>
      <w:pPr>
        <w:pStyle w:val="ListBullet"/>
        <w:spacing w:before="80" w:after="80"/>
        <w:ind w:left="0"/>
      </w:pPr>
      <w:r>
        <w:rPr>
          <w:rFonts w:ascii="Calibri" w:hAnsi="Calibri"/>
          <w:b w:val="0"/>
          <w:i w:val="0"/>
          <w:sz w:val="20"/>
        </w:rPr>
        <w:t>BIM : 62% d'adoption (Eminence.ch 2025) → prescripteurs (architectes, ingénieurs SIA) très influents dans le choix des équipements sanitaires. Référencement BIM de Presto à développer.</w:t>
      </w:r>
    </w:p>
    <w:p>
      <w:pPr>
        <w:pStyle w:val="ListBullet"/>
        <w:spacing w:before="80" w:after="80"/>
        <w:ind w:left="0"/>
      </w:pPr>
      <w:r>
        <w:rPr>
          <w:rFonts w:ascii="Calibri" w:hAnsi="Calibri"/>
          <w:b w:val="0"/>
          <w:i w:val="0"/>
          <w:sz w:val="20"/>
        </w:rPr>
        <w:t>Smart building et robinetterie connectée : marché existant CHF 1,35 Md, en croissance → robinetterie infrarouge et économiseurs eau avec comptage connecté favorisés dans les ERP neufs.</w:t>
      </w:r>
    </w:p>
    <w:p>
      <w:pPr>
        <w:pStyle w:val="ListBullet"/>
        <w:spacing w:before="80" w:after="80"/>
        <w:ind w:left="0"/>
      </w:pPr>
      <w:r>
        <w:rPr>
          <w:rFonts w:ascii="Calibri" w:hAnsi="Calibri"/>
          <w:b w:val="0"/>
          <w:i w:val="0"/>
          <w:sz w:val="20"/>
        </w:rPr>
        <w:t>Non-résidentiel : prudence maintenue, rénovation prime sur neuf. Bureaux en légère surcapacité (5% vacance). Pipelines publics (santé, éducation, transports) sécurisent la demande ERP.</w:t>
      </w:r>
    </w:p>
    <w:p>
      <w:pPr>
        <w:pStyle w:val="ListBullet"/>
        <w:spacing w:before="80" w:after="80"/>
        <w:ind w:left="0"/>
      </w:pPr>
      <w:r>
        <w:rPr>
          <w:rFonts w:ascii="Calibri" w:hAnsi="Calibri"/>
          <w:b w:val="0"/>
          <w:i w:val="0"/>
          <w:sz w:val="20"/>
        </w:rPr>
        <w:t>Risques : pression sur les coûts (main-d'œuvre, matériaux), CHF fort pouvant pénaliser la compétitivité, investissements non-résidentiels reportés (EMAE 2025).</w:t>
      </w:r>
    </w:p>
    <w:p>
      <w:pPr>
        <w:spacing w:before="80" w:after="80"/>
      </w:pPr>
    </w:p>
    <w:p>
      <w:pPr>
        <w:pStyle w:val="Heading1"/>
        <w:pageBreakBefore/>
        <w:spacing w:before="280" w:after="120"/>
      </w:pPr>
      <w:r>
        <w:rPr>
          <w:rFonts w:ascii="Calibri" w:hAnsi="Calibri"/>
          <w:color w:val="595959"/>
        </w:rPr>
        <w:t>PARTIE 3 — CONSTRUCTION NON-RÉSIDENTIELLE</w:t>
      </w:r>
    </w:p>
    <w:p>
      <w:pPr>
        <w:pStyle w:val="Heading2"/>
        <w:spacing w:before="280" w:after="120"/>
      </w:pPr>
      <w:r>
        <w:rPr>
          <w:rFonts w:ascii="Calibri" w:hAnsi="Calibri"/>
          <w:color w:val="595959"/>
        </w:rPr>
        <w:t>3.1 État actuel</w:t>
      </w:r>
    </w:p>
    <w:p>
      <w:pPr>
        <w:pStyle w:val="ListBullet"/>
        <w:spacing w:before="80" w:after="80"/>
        <w:ind w:left="0"/>
      </w:pPr>
      <w:r>
        <w:rPr>
          <w:rFonts w:ascii="Calibri" w:hAnsi="Calibri"/>
          <w:b w:val="0"/>
          <w:i w:val="0"/>
          <w:sz w:val="20"/>
        </w:rPr>
        <w:t>Non-résidentiel Suisse : estimé à 25-30% de l'investissement total = CHF 17-21 Mds (2024). (Estimation — décomposition exacte à confirmer via OFS bfs.admin.ch)</w:t>
      </w:r>
    </w:p>
    <w:p>
      <w:pPr>
        <w:pStyle w:val="ListBullet"/>
        <w:spacing w:before="80" w:after="80"/>
        <w:ind w:left="0"/>
      </w:pPr>
      <w:r>
        <w:rPr>
          <w:rFonts w:ascii="Calibri" w:hAnsi="Calibri"/>
          <w:b w:val="0"/>
          <w:i w:val="0"/>
          <w:sz w:val="20"/>
        </w:rPr>
        <w:t>Pas de croissance attendue en 2025 ; investissements non-résidentiels reportés dus à la pression des coûts. (EMAE / Eminence.ch 2025)</w:t>
      </w:r>
    </w:p>
    <w:p>
      <w:pPr>
        <w:pStyle w:val="ListBullet"/>
        <w:spacing w:before="80" w:after="80"/>
        <w:ind w:left="0"/>
      </w:pPr>
      <w:r>
        <w:rPr>
          <w:rFonts w:ascii="Calibri" w:hAnsi="Calibri"/>
          <w:b w:val="0"/>
          <w:i w:val="0"/>
          <w:sz w:val="20"/>
        </w:rPr>
        <w:t>Bureaux (5 grandes villes) : 995 500 m² disponibles fin 2024, taux de vacance 5,0% (+0,9 pt YoY). Légère surcapacité → rénovation prioritaire sur neuf. (CBRE / immoday.ch 2024)</w:t>
      </w:r>
    </w:p>
    <w:p>
      <w:pPr>
        <w:pStyle w:val="ListBullet"/>
        <w:spacing w:before="80" w:after="80"/>
        <w:ind w:left="0"/>
      </w:pPr>
      <w:r>
        <w:rPr>
          <w:rFonts w:ascii="Calibri" w:hAnsi="Calibri"/>
          <w:b w:val="0"/>
          <w:i w:val="0"/>
          <w:sz w:val="20"/>
        </w:rPr>
        <w:t>Santé : CHF 58,5 M investis aux HUG seuls en 2024 ; programme HUG+CHUV &gt;1,5 Mds CHF engagés sur 2024-2031. (hug.ch)</w:t>
      </w:r>
    </w:p>
    <w:p>
      <w:pPr>
        <w:pStyle w:val="ListBullet"/>
        <w:spacing w:before="80" w:after="80"/>
        <w:ind w:left="0"/>
      </w:pPr>
      <w:r>
        <w:rPr>
          <w:rFonts w:ascii="Calibri" w:hAnsi="Calibri"/>
          <w:b w:val="0"/>
          <w:i w:val="0"/>
          <w:sz w:val="20"/>
        </w:rPr>
        <w:t>[DONNÉE NON DISPONIBLE — part exacte non-résidentiel en valeur CHF/EUR 2024 — à sourcer via OFS bfs.admin.ch/statistiques/construction-logement]</w:t>
      </w:r>
    </w:p>
    <w:p>
      <w:pPr>
        <w:pStyle w:val="Heading2"/>
        <w:spacing w:before="280" w:after="120"/>
      </w:pPr>
      <w:r>
        <w:rPr>
          <w:rFonts w:ascii="Calibri" w:hAnsi="Calibri"/>
          <w:color w:val="595959"/>
        </w:rPr>
        <w:t>3.2 Dynamique Neuf vs Rénovation — non-résidentiel</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EBEBEB"/>
          </w:tcPr>
          <w:p>
            <w:r>
              <w:rPr>
                <w:rFonts w:ascii="Calibri" w:hAnsi="Calibri"/>
              </w:rPr>
            </w:r>
            <w:r>
              <w:rPr>
                <w:rFonts w:ascii="Calibri" w:hAnsi="Calibri"/>
                <w:b/>
                <w:color w:val="595959"/>
                <w:sz w:val="18"/>
              </w:rPr>
              <w:t>Sous-segment</w:t>
            </w:r>
          </w:p>
        </w:tc>
        <w:tc>
          <w:tcPr>
            <w:tcW w:type="dxa" w:w="3135"/>
            <w:shd w:val="clear" w:color="auto" w:fill="EBEBEB"/>
          </w:tcPr>
          <w:p>
            <w:r>
              <w:rPr>
                <w:rFonts w:ascii="Calibri" w:hAnsi="Calibri"/>
              </w:rPr>
            </w:r>
            <w:r>
              <w:rPr>
                <w:rFonts w:ascii="Calibri" w:hAnsi="Calibri"/>
                <w:b/>
                <w:color w:val="595959"/>
                <w:sz w:val="18"/>
              </w:rPr>
              <w:t>Dynamique</w:t>
            </w:r>
          </w:p>
        </w:tc>
        <w:tc>
          <w:tcPr>
            <w:tcW w:type="dxa" w:w="3135"/>
            <w:shd w:val="clear" w:color="auto" w:fill="EBEBEB"/>
          </w:tcPr>
          <w:p>
            <w:r>
              <w:rPr>
                <w:rFonts w:ascii="Calibri" w:hAnsi="Calibri"/>
              </w:rPr>
            </w:r>
            <w:r>
              <w:rPr>
                <w:rFonts w:ascii="Calibri" w:hAnsi="Calibri"/>
                <w:b/>
                <w:color w:val="595959"/>
                <w:sz w:val="18"/>
              </w:rPr>
              <w:t>Remarque</w:t>
            </w:r>
          </w:p>
        </w:tc>
      </w:tr>
      <w:tr>
        <w:tc>
          <w:tcPr>
            <w:tcW w:type="dxa" w:w="3135"/>
          </w:tcPr>
          <w:p>
            <w:r>
              <w:rPr>
                <w:rFonts w:ascii="Calibri" w:hAnsi="Calibri"/>
              </w:rPr>
            </w:r>
            <w:r>
              <w:rPr>
                <w:rFonts w:ascii="Calibri" w:hAnsi="Calibri"/>
                <w:sz w:val="18"/>
              </w:rPr>
              <w:t>Bureaux / tertiaire neuf</w:t>
            </w:r>
          </w:p>
        </w:tc>
        <w:tc>
          <w:tcPr>
            <w:tcW w:type="dxa" w:w="3135"/>
          </w:tcPr>
          <w:p>
            <w:r>
              <w:rPr>
                <w:rFonts w:ascii="Calibri" w:hAnsi="Calibri"/>
              </w:rPr>
            </w:r>
            <w:r>
              <w:rPr>
                <w:rFonts w:ascii="Calibri" w:hAnsi="Calibri"/>
                <w:sz w:val="18"/>
              </w:rPr>
              <w:t>Stable-décroissant (vacance 5%)</w:t>
            </w:r>
          </w:p>
        </w:tc>
        <w:tc>
          <w:tcPr>
            <w:tcW w:type="dxa" w:w="3135"/>
          </w:tcPr>
          <w:p>
            <w:r>
              <w:rPr>
                <w:rFonts w:ascii="Calibri" w:hAnsi="Calibri"/>
              </w:rPr>
            </w:r>
            <w:r>
              <w:rPr>
                <w:rFonts w:ascii="Calibri" w:hAnsi="Calibri"/>
                <w:sz w:val="18"/>
              </w:rPr>
              <w:t>Légère surcapacité → rénovation prime</w:t>
            </w:r>
          </w:p>
        </w:tc>
      </w:tr>
      <w:tr>
        <w:tc>
          <w:tcPr>
            <w:tcW w:type="dxa" w:w="3135"/>
          </w:tcPr>
          <w:p>
            <w:r>
              <w:rPr>
                <w:rFonts w:ascii="Calibri" w:hAnsi="Calibri"/>
              </w:rPr>
            </w:r>
            <w:r>
              <w:rPr>
                <w:rFonts w:ascii="Calibri" w:hAnsi="Calibri"/>
                <w:sz w:val="18"/>
              </w:rPr>
              <w:t>Santé (hôpitaux, EMS)</w:t>
            </w:r>
          </w:p>
        </w:tc>
        <w:tc>
          <w:tcPr>
            <w:tcW w:type="dxa" w:w="3135"/>
          </w:tcPr>
          <w:p>
            <w:r>
              <w:rPr>
                <w:rFonts w:ascii="Calibri" w:hAnsi="Calibri"/>
              </w:rPr>
            </w:r>
            <w:r>
              <w:rPr>
                <w:rFonts w:ascii="Calibri" w:hAnsi="Calibri"/>
                <w:sz w:val="18"/>
              </w:rPr>
              <w:t>Croissance soutenue</w:t>
            </w:r>
          </w:p>
        </w:tc>
        <w:tc>
          <w:tcPr>
            <w:tcW w:type="dxa" w:w="3135"/>
          </w:tcPr>
          <w:p>
            <w:r>
              <w:rPr>
                <w:rFonts w:ascii="Calibri" w:hAnsi="Calibri"/>
              </w:rPr>
            </w:r>
            <w:r>
              <w:rPr>
                <w:rFonts w:ascii="Calibri" w:hAnsi="Calibri"/>
                <w:sz w:val="18"/>
              </w:rPr>
              <w:t>Vieillissement démographique + pipelines HUG/CHUV</w:t>
            </w:r>
          </w:p>
        </w:tc>
      </w:tr>
      <w:tr>
        <w:tc>
          <w:tcPr>
            <w:tcW w:type="dxa" w:w="3135"/>
          </w:tcPr>
          <w:p>
            <w:r>
              <w:rPr>
                <w:rFonts w:ascii="Calibri" w:hAnsi="Calibri"/>
              </w:rPr>
            </w:r>
            <w:r>
              <w:rPr>
                <w:rFonts w:ascii="Calibri" w:hAnsi="Calibri"/>
                <w:sz w:val="18"/>
              </w:rPr>
              <w:t>Éducation (universités, EPF, HES)</w:t>
            </w:r>
          </w:p>
        </w:tc>
        <w:tc>
          <w:tcPr>
            <w:tcW w:type="dxa" w:w="3135"/>
          </w:tcPr>
          <w:p>
            <w:r>
              <w:rPr>
                <w:rFonts w:ascii="Calibri" w:hAnsi="Calibri"/>
              </w:rPr>
            </w:r>
            <w:r>
              <w:rPr>
                <w:rFonts w:ascii="Calibri" w:hAnsi="Calibri"/>
                <w:sz w:val="18"/>
              </w:rPr>
              <w:t>Stable (coupes FRI 460 M CHF/an)</w:t>
            </w:r>
          </w:p>
        </w:tc>
        <w:tc>
          <w:tcPr>
            <w:tcW w:type="dxa" w:w="3135"/>
          </w:tcPr>
          <w:p>
            <w:r>
              <w:rPr>
                <w:rFonts w:ascii="Calibri" w:hAnsi="Calibri"/>
              </w:rPr>
            </w:r>
            <w:r>
              <w:rPr>
                <w:rFonts w:ascii="Calibri" w:hAnsi="Calibri"/>
                <w:sz w:val="18"/>
              </w:rPr>
              <w:t>Rénovation primaire ; neuf résidences étudiantes</w:t>
            </w:r>
          </w:p>
        </w:tc>
      </w:tr>
      <w:tr>
        <w:tc>
          <w:tcPr>
            <w:tcW w:type="dxa" w:w="3135"/>
          </w:tcPr>
          <w:p>
            <w:r>
              <w:rPr>
                <w:rFonts w:ascii="Calibri" w:hAnsi="Calibri"/>
              </w:rPr>
            </w:r>
            <w:r>
              <w:rPr>
                <w:rFonts w:ascii="Calibri" w:hAnsi="Calibri"/>
                <w:sz w:val="18"/>
              </w:rPr>
              <w:t>Industrie / logistique</w:t>
            </w:r>
          </w:p>
        </w:tc>
        <w:tc>
          <w:tcPr>
            <w:tcW w:type="dxa" w:w="3135"/>
          </w:tcPr>
          <w:p>
            <w:r>
              <w:rPr>
                <w:rFonts w:ascii="Calibri" w:hAnsi="Calibri"/>
              </w:rPr>
            </w:r>
            <w:r>
              <w:rPr>
                <w:rFonts w:ascii="Calibri" w:hAnsi="Calibri"/>
                <w:sz w:val="18"/>
              </w:rPr>
              <w:t>Faible croissance</w:t>
            </w:r>
          </w:p>
        </w:tc>
        <w:tc>
          <w:tcPr>
            <w:tcW w:type="dxa" w:w="3135"/>
          </w:tcPr>
          <w:p>
            <w:r>
              <w:rPr>
                <w:rFonts w:ascii="Calibri" w:hAnsi="Calibri"/>
              </w:rPr>
            </w:r>
            <w:r>
              <w:rPr>
                <w:rFonts w:ascii="Calibri" w:hAnsi="Calibri"/>
                <w:sz w:val="18"/>
              </w:rPr>
              <w:t>Pharma (Bâle), horlogerie (Jura/Neuchâtel)</w:t>
            </w:r>
          </w:p>
        </w:tc>
      </w:tr>
      <w:tr>
        <w:tc>
          <w:tcPr>
            <w:tcW w:type="dxa" w:w="3135"/>
          </w:tcPr>
          <w:p>
            <w:r>
              <w:rPr>
                <w:rFonts w:ascii="Calibri" w:hAnsi="Calibri"/>
              </w:rPr>
            </w:r>
            <w:r>
              <w:rPr>
                <w:rFonts w:ascii="Calibri" w:hAnsi="Calibri"/>
                <w:sz w:val="18"/>
              </w:rPr>
              <w:t>Transports (gares, aéroports)</w:t>
            </w:r>
          </w:p>
        </w:tc>
        <w:tc>
          <w:tcPr>
            <w:tcW w:type="dxa" w:w="3135"/>
          </w:tcPr>
          <w:p>
            <w:r>
              <w:rPr>
                <w:rFonts w:ascii="Calibri" w:hAnsi="Calibri"/>
              </w:rPr>
            </w:r>
            <w:r>
              <w:rPr>
                <w:rFonts w:ascii="Calibri" w:hAnsi="Calibri"/>
                <w:sz w:val="18"/>
              </w:rPr>
              <w:t>Forte croissance (pipelines engagés)</w:t>
            </w:r>
          </w:p>
        </w:tc>
        <w:tc>
          <w:tcPr>
            <w:tcW w:type="dxa" w:w="3135"/>
          </w:tcPr>
          <w:p>
            <w:r>
              <w:rPr>
                <w:rFonts w:ascii="Calibri" w:hAnsi="Calibri"/>
              </w:rPr>
            </w:r>
            <w:r>
              <w:rPr>
                <w:rFonts w:ascii="Calibri" w:hAnsi="Calibri"/>
                <w:sz w:val="18"/>
              </w:rPr>
              <w:t>CFF 8,5 Mds CHF ; CAP2030 Genève 560 M CHF</w:t>
            </w:r>
          </w:p>
        </w:tc>
      </w:tr>
    </w:tbl>
    <w:p>
      <w:pPr>
        <w:spacing w:before="80" w:after="80"/>
      </w:pPr>
      <w:r>
        <w:rPr>
          <w:rFonts w:ascii="Calibri" w:hAnsi="Calibri"/>
          <w:b w:val="0"/>
          <w:i/>
          <w:color w:val="595959"/>
          <w:sz w:val="18"/>
        </w:rPr>
        <w:t>⚠ Estimation dynamique neuf/rénov. non-résidentiel basée sur sources EMAE, CBRE, hug.ch — à confirmer via OFS.</w:t>
      </w:r>
    </w:p>
    <w:p>
      <w:pPr>
        <w:spacing w:before="80" w:after="80"/>
      </w:pPr>
    </w:p>
    <w:p>
      <w:pPr>
        <w:pStyle w:val="Heading2"/>
        <w:spacing w:before="280" w:after="120"/>
      </w:pPr>
      <w:r>
        <w:rPr>
          <w:rFonts w:ascii="Calibri" w:hAnsi="Calibri"/>
          <w:color w:val="595959"/>
        </w:rPr>
        <w:t>3.3 Segments dominants du non-résidentiel</w:t>
      </w:r>
    </w:p>
    <w:p>
      <w:pPr>
        <w:pStyle w:val="ListBullet"/>
        <w:spacing w:before="80" w:after="80"/>
        <w:ind w:left="0"/>
      </w:pPr>
      <w:r>
        <w:rPr>
          <w:rFonts w:ascii="Calibri" w:hAnsi="Calibri"/>
          <w:b w:val="0"/>
          <w:i w:val="0"/>
          <w:sz w:val="20"/>
        </w:rPr>
        <w:t>Santé et EMS : 1er segment non-résidentiel par dynamique. 278 hôpitaux (OFS 2022), 1 465 EMS/100 540 places (OFS SOMED 2023). Vieillissement démographique → +1,2%/an de personnes âgées. Pipeline HUG+CHUV &gt;1,5 Mds CHF. Rénovation très majoritaire (parc hospitalier ancien).</w:t>
      </w:r>
    </w:p>
    <w:p>
      <w:pPr>
        <w:pStyle w:val="ListBullet"/>
        <w:spacing w:before="80" w:after="80"/>
        <w:ind w:left="0"/>
      </w:pPr>
      <w:r>
        <w:rPr>
          <w:rFonts w:ascii="Calibri" w:hAnsi="Calibri"/>
          <w:b w:val="0"/>
          <w:i w:val="0"/>
          <w:sz w:val="20"/>
        </w:rPr>
        <w:t>Transports : 2e segment par budget engagé. CFF : 764 gares, 8,5 Mds CHF plan 2035, programme accessibilité PMR &gt;2,5 Mds CHF. Aéroport Genève : CAP2030 560 M CHF 2025-2032. (CFF / newsroom.gva.ch)</w:t>
      </w:r>
    </w:p>
    <w:p>
      <w:pPr>
        <w:pStyle w:val="ListBullet"/>
        <w:spacing w:before="80" w:after="80"/>
        <w:ind w:left="0"/>
      </w:pPr>
      <w:r>
        <w:rPr>
          <w:rFonts w:ascii="Calibri" w:hAnsi="Calibri"/>
          <w:b w:val="0"/>
          <w:i w:val="0"/>
          <w:sz w:val="20"/>
        </w:rPr>
        <w:t>Tertiaire / Bureaux : 3e segment. 5 grandes villes actives mais légère surcapacité (5% vacance). Demande rénovation dominante. Niche premium : sièges de multinationales (Nestlé, Novartis, ABB, Roche).</w:t>
      </w:r>
    </w:p>
    <w:p>
      <w:pPr>
        <w:pStyle w:val="ListBullet"/>
        <w:spacing w:before="80" w:after="80"/>
        <w:ind w:left="0"/>
      </w:pPr>
      <w:r>
        <w:rPr>
          <w:rFonts w:ascii="Calibri" w:hAnsi="Calibri"/>
          <w:b w:val="0"/>
          <w:i w:val="0"/>
          <w:sz w:val="20"/>
        </w:rPr>
        <w:t>Éducation : segment stable, rénovation principale. ETH Zurich, EPFL, 37 HES + universités cantonales. ~11 700 établissements scolaires (données 2017/18 — à actualiser OFS).</w:t>
      </w:r>
    </w:p>
    <w:p>
      <w:pPr>
        <w:pStyle w:val="ListBullet"/>
        <w:spacing w:before="80" w:after="80"/>
        <w:ind w:left="0"/>
      </w:pPr>
      <w:r>
        <w:rPr>
          <w:rFonts w:ascii="Calibri" w:hAnsi="Calibri"/>
          <w:b w:val="0"/>
          <w:i w:val="0"/>
          <w:sz w:val="20"/>
        </w:rPr>
        <w:t>Industrie : pharma (Bâle), horlogerie (Jura, Neuchâtel). Sanitaires vestiaires/cantines — segment secondaire pour Presto.</w:t>
      </w:r>
    </w:p>
    <w:p>
      <w:pPr>
        <w:pStyle w:val="Heading2"/>
        <w:spacing w:before="280" w:after="120"/>
      </w:pPr>
      <w:r>
        <w:rPr>
          <w:rFonts w:ascii="Calibri" w:hAnsi="Calibri"/>
          <w:color w:val="595959"/>
        </w:rPr>
        <w:t>3.4 Perspectives 2025-2030</w:t>
      </w:r>
    </w:p>
    <w:p>
      <w:pPr>
        <w:pStyle w:val="ListBullet"/>
        <w:spacing w:before="80" w:after="80"/>
        <w:ind w:left="0"/>
      </w:pPr>
      <w:r>
        <w:rPr>
          <w:rFonts w:ascii="Calibri" w:hAnsi="Calibri"/>
          <w:b w:val="0"/>
          <w:i w:val="0"/>
          <w:sz w:val="20"/>
        </w:rPr>
        <w:t>Santé et EMS : croissance structurelle portée par vieillissement démographique. EFAS 2028 (nouveau mode financement soins) à surveiller. Pressions sur capacité : 97% des prisons et saturation EMS prévisible horizon 2030-2035.</w:t>
      </w:r>
    </w:p>
    <w:p>
      <w:pPr>
        <w:pStyle w:val="ListBullet"/>
        <w:spacing w:before="80" w:after="80"/>
        <w:ind w:left="0"/>
      </w:pPr>
      <w:r>
        <w:rPr>
          <w:rFonts w:ascii="Calibri" w:hAnsi="Calibri"/>
          <w:b w:val="0"/>
          <w:i w:val="0"/>
          <w:sz w:val="20"/>
        </w:rPr>
        <w:t>Transports : pipelines CFF et aéroports = visibilité 2025-2035. Lots sanitaires gares CFF incluent systématiquement robinetterie temporisée/PMR/infrarouge lors rénovations.</w:t>
      </w:r>
    </w:p>
    <w:p>
      <w:pPr>
        <w:pStyle w:val="ListBullet"/>
        <w:spacing w:before="80" w:after="80"/>
        <w:ind w:left="0"/>
      </w:pPr>
      <w:r>
        <w:rPr>
          <w:rFonts w:ascii="Calibri" w:hAnsi="Calibri"/>
          <w:b w:val="0"/>
          <w:i w:val="0"/>
          <w:sz w:val="20"/>
        </w:rPr>
        <w:t>Éducation : budget FRI 2025-2028 (29,2 Mds CHF) mais coupes 460 M CHF/an → croissance limitée sur constructions neuves. Rénovation reste active.</w:t>
      </w:r>
    </w:p>
    <w:p>
      <w:pPr>
        <w:pStyle w:val="ListBullet"/>
        <w:spacing w:before="80" w:after="80"/>
        <w:ind w:left="0"/>
      </w:pPr>
      <w:r>
        <w:rPr>
          <w:rFonts w:ascii="Calibri" w:hAnsi="Calibri"/>
          <w:b w:val="0"/>
          <w:i w:val="0"/>
          <w:sz w:val="20"/>
        </w:rPr>
        <w:t>Rénovation énergétique non-résidentiel : Programme Bâtiments inclut le tertiaire → vague de rénovation sanitaire lors des travaux énergétiques à horizon 2025-2030.</w:t>
      </w:r>
    </w:p>
    <w:p>
      <w:pPr>
        <w:pStyle w:val="ListBullet"/>
        <w:spacing w:before="80" w:after="80"/>
        <w:ind w:left="0"/>
      </w:pPr>
      <w:r>
        <w:rPr>
          <w:rFonts w:ascii="Calibri" w:hAnsi="Calibri"/>
          <w:b w:val="0"/>
          <w:i w:val="0"/>
          <w:sz w:val="20"/>
        </w:rPr>
        <w:t>Smart building : 62% d'adoption BIM — les maîtres d'ouvrage intègrent des critères de performance eau dans les ERP. Robinetterie infrarouge et connectée favorisée.</w:t>
      </w:r>
    </w:p>
    <w:p>
      <w:pPr>
        <w:pStyle w:val="ListBullet"/>
        <w:spacing w:before="80" w:after="80"/>
        <w:ind w:left="0"/>
      </w:pPr>
      <w:r>
        <w:rPr>
          <w:rFonts w:ascii="Calibri" w:hAnsi="Calibri"/>
          <w:b w:val="0"/>
          <w:i w:val="0"/>
          <w:sz w:val="20"/>
        </w:rPr>
        <w:t>[DONNÉE NON DISPONIBLE — CAGR non-résidentiel Suisse 2025-2030 — aucune source directe identifiée]</w:t>
      </w:r>
    </w:p>
    <w:p>
      <w:pPr>
        <w:spacing w:before="80" w:after="80"/>
      </w:pPr>
    </w:p>
    <w:p>
      <w:pPr>
        <w:pStyle w:val="Heading1"/>
        <w:pageBreakBefore/>
        <w:spacing w:before="280" w:after="120"/>
      </w:pPr>
      <w:r>
        <w:rPr>
          <w:rFonts w:ascii="Calibri" w:hAnsi="Calibri"/>
          <w:color w:val="595959"/>
        </w:rPr>
        <w:t>PARTIE 4 — POIDS DES SEGMENTS ERP</w:t>
      </w:r>
    </w:p>
    <w:p>
      <w:pPr>
        <w:pStyle w:val="Heading2"/>
        <w:spacing w:before="280" w:after="120"/>
      </w:pPr>
      <w:r>
        <w:rPr>
          <w:rFonts w:ascii="Calibri" w:hAnsi="Calibri"/>
          <w:color w:val="595959"/>
        </w:rPr>
        <w:t>4.0 Contexte général et synthèse ERP Suisse</w:t>
      </w:r>
    </w:p>
    <w:p>
      <w:pPr>
        <w:spacing w:before="80" w:after="80"/>
      </w:pPr>
      <w:r>
        <w:rPr>
          <w:rFonts w:ascii="Calibri" w:hAnsi="Calibri"/>
          <w:b w:val="0"/>
          <w:i w:val="0"/>
          <w:sz w:val="20"/>
        </w:rPr>
        <w:t>La Suisse dispose d'un parc ERP de haute qualité, dont la majorité a été construite avant 1980 et nécessite une rénovation sanitaire. Le marché est caractérisé par des exigences techniques très élevées, des budgets publics stables et une culture de l'entretien rigoureux.</w:t>
      </w:r>
    </w:p>
    <w:p>
      <w:pPr>
        <w:pStyle w:val="ListBullet"/>
        <w:spacing w:before="80" w:after="80"/>
        <w:ind w:left="0"/>
      </w:pPr>
      <w:r>
        <w:rPr>
          <w:rFonts w:ascii="Calibri" w:hAnsi="Calibri"/>
          <w:b w:val="0"/>
          <w:i w:val="0"/>
          <w:sz w:val="20"/>
        </w:rPr>
        <w:t>Parc ERP ancien : 59% du bâti construit avant 1980 (Eminence.ch) → cycle de rénovation sanitaire important et structurel.</w:t>
      </w:r>
    </w:p>
    <w:p>
      <w:pPr>
        <w:pStyle w:val="ListBullet"/>
        <w:spacing w:before="80" w:after="80"/>
        <w:ind w:left="0"/>
      </w:pPr>
      <w:r>
        <w:rPr>
          <w:rFonts w:ascii="Calibri" w:hAnsi="Calibri"/>
          <w:b w:val="0"/>
          <w:i w:val="0"/>
          <w:sz w:val="20"/>
        </w:rPr>
        <w:t>Exigences qualité premium : le cahier des charges ERP suisse impose en règle générale des produits haut de gamme. Durabilité, économie eau et accessibilité PMR sont des critères standard.</w:t>
      </w:r>
    </w:p>
    <w:p>
      <w:pPr>
        <w:pStyle w:val="ListBullet"/>
        <w:spacing w:before="80" w:after="80"/>
        <w:ind w:left="0"/>
      </w:pPr>
      <w:r>
        <w:rPr>
          <w:rFonts w:ascii="Calibri" w:hAnsi="Calibri"/>
          <w:b w:val="0"/>
          <w:i w:val="0"/>
          <w:sz w:val="20"/>
        </w:rPr>
        <w:t>Vieillissement démographique : +1,2%/an de personnes âgées → pression sur EMS et hôpitaux à horizon 2030-2040.</w:t>
      </w:r>
    </w:p>
    <w:p>
      <w:pPr>
        <w:pStyle w:val="ListBullet"/>
        <w:spacing w:before="80" w:after="80"/>
        <w:ind w:left="0"/>
      </w:pPr>
      <w:r>
        <w:rPr>
          <w:rFonts w:ascii="Calibri" w:hAnsi="Calibri"/>
          <w:b w:val="0"/>
          <w:i w:val="0"/>
          <w:sz w:val="20"/>
        </w:rPr>
        <w:t>Pipelines publics sécurisés : CFF, HUG/CHUV, Programme Bâtiments — visibilité d'investissement sur 5-10 ans.</w:t>
      </w:r>
    </w:p>
    <w:p>
      <w:pPr>
        <w:spacing w:before="80" w:after="80"/>
      </w:pP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EBEBEB"/>
          </w:tcPr>
          <w:p>
            <w:r>
              <w:rPr>
                <w:rFonts w:ascii="Calibri" w:hAnsi="Calibri"/>
              </w:rPr>
            </w:r>
            <w:r>
              <w:rPr>
                <w:rFonts w:ascii="Calibri" w:hAnsi="Calibri"/>
                <w:b/>
                <w:color w:val="595959"/>
                <w:sz w:val="18"/>
              </w:rPr>
              <w:t>Segment ERP</w:t>
            </w:r>
          </w:p>
        </w:tc>
        <w:tc>
          <w:tcPr>
            <w:tcW w:type="dxa" w:w="2351"/>
            <w:shd w:val="clear" w:color="auto" w:fill="EBEBEB"/>
          </w:tcPr>
          <w:p>
            <w:r>
              <w:rPr>
                <w:rFonts w:ascii="Calibri" w:hAnsi="Calibri"/>
              </w:rPr>
            </w:r>
            <w:r>
              <w:rPr>
                <w:rFonts w:ascii="Calibri" w:hAnsi="Calibri"/>
                <w:b/>
                <w:color w:val="595959"/>
                <w:sz w:val="18"/>
              </w:rPr>
              <w:t>Score Presto</w:t>
            </w:r>
          </w:p>
        </w:tc>
        <w:tc>
          <w:tcPr>
            <w:tcW w:type="dxa" w:w="2351"/>
            <w:shd w:val="clear" w:color="auto" w:fill="EBEBEB"/>
          </w:tcPr>
          <w:p>
            <w:r>
              <w:rPr>
                <w:rFonts w:ascii="Calibri" w:hAnsi="Calibri"/>
              </w:rPr>
            </w:r>
            <w:r>
              <w:rPr>
                <w:rFonts w:ascii="Calibri" w:hAnsi="Calibri"/>
                <w:b/>
                <w:color w:val="595959"/>
                <w:sz w:val="18"/>
              </w:rPr>
              <w:t>Taille / Signal</w:t>
            </w:r>
          </w:p>
        </w:tc>
        <w:tc>
          <w:tcPr>
            <w:tcW w:type="dxa" w:w="2351"/>
            <w:shd w:val="clear" w:color="auto" w:fill="EBEBEB"/>
          </w:tcPr>
          <w:p>
            <w:r>
              <w:rPr>
                <w:rFonts w:ascii="Calibri" w:hAnsi="Calibri"/>
              </w:rPr>
            </w:r>
            <w:r>
              <w:rPr>
                <w:rFonts w:ascii="Calibri" w:hAnsi="Calibri"/>
                <w:b/>
                <w:color w:val="595959"/>
                <w:sz w:val="18"/>
              </w:rPr>
              <w:t>Priorité</w:t>
            </w:r>
          </w:p>
        </w:tc>
      </w:tr>
      <w:tr>
        <w:tc>
          <w:tcPr>
            <w:tcW w:type="dxa" w:w="2351"/>
          </w:tcPr>
          <w:p>
            <w:r>
              <w:rPr>
                <w:rFonts w:ascii="Calibri" w:hAnsi="Calibri"/>
              </w:rPr>
            </w:r>
            <w:r>
              <w:rPr>
                <w:rFonts w:ascii="Calibri" w:hAnsi="Calibri"/>
                <w:sz w:val="18"/>
              </w:rPr>
              <w:t>4.2 Santé / Hôpitaux / EMS</w:t>
            </w:r>
          </w:p>
        </w:tc>
        <w:tc>
          <w:tcPr>
            <w:tcW w:type="dxa" w:w="2351"/>
          </w:tcPr>
          <w:p>
            <w:r>
              <w:rPr>
                <w:rFonts w:ascii="Calibri" w:hAnsi="Calibri"/>
              </w:rPr>
            </w:r>
            <w:r>
              <w:rPr>
                <w:rFonts w:ascii="Calibri" w:hAnsi="Calibri"/>
                <w:sz w:val="18"/>
              </w:rPr>
              <w:t>5/5</w:t>
            </w:r>
          </w:p>
        </w:tc>
        <w:tc>
          <w:tcPr>
            <w:tcW w:type="dxa" w:w="2351"/>
          </w:tcPr>
          <w:p>
            <w:r>
              <w:rPr>
                <w:rFonts w:ascii="Calibri" w:hAnsi="Calibri"/>
              </w:rPr>
            </w:r>
            <w:r>
              <w:rPr>
                <w:rFonts w:ascii="Calibri" w:hAnsi="Calibri"/>
                <w:sz w:val="18"/>
              </w:rPr>
              <w:t>278 hôpitaux + 1 465 EMS + pipeline HUG+CHUV &gt;1,5 Mds CHF</w:t>
            </w:r>
          </w:p>
        </w:tc>
        <w:tc>
          <w:tcPr>
            <w:tcW w:type="dxa" w:w="2351"/>
          </w:tcPr>
          <w:p>
            <w:r>
              <w:rPr>
                <w:rFonts w:ascii="Calibri" w:hAnsi="Calibri"/>
              </w:rPr>
            </w:r>
            <w:r>
              <w:rPr>
                <w:rFonts w:ascii="Calibri" w:hAnsi="Calibri"/>
                <w:sz w:val="18"/>
              </w:rPr>
              <w:t>PRIORITÉ ABSOLUE</w:t>
            </w:r>
          </w:p>
        </w:tc>
      </w:tr>
      <w:tr>
        <w:tc>
          <w:tcPr>
            <w:tcW w:type="dxa" w:w="2351"/>
          </w:tcPr>
          <w:p>
            <w:r>
              <w:rPr>
                <w:rFonts w:ascii="Calibri" w:hAnsi="Calibri"/>
              </w:rPr>
            </w:r>
            <w:r>
              <w:rPr>
                <w:rFonts w:ascii="Calibri" w:hAnsi="Calibri"/>
                <w:sz w:val="18"/>
              </w:rPr>
              <w:t>4.11 Transports</w:t>
            </w:r>
          </w:p>
        </w:tc>
        <w:tc>
          <w:tcPr>
            <w:tcW w:type="dxa" w:w="2351"/>
          </w:tcPr>
          <w:p>
            <w:r>
              <w:rPr>
                <w:rFonts w:ascii="Calibri" w:hAnsi="Calibri"/>
              </w:rPr>
            </w:r>
            <w:r>
              <w:rPr>
                <w:rFonts w:ascii="Calibri" w:hAnsi="Calibri"/>
                <w:sz w:val="18"/>
              </w:rPr>
              <w:t>5/5</w:t>
            </w:r>
          </w:p>
        </w:tc>
        <w:tc>
          <w:tcPr>
            <w:tcW w:type="dxa" w:w="2351"/>
          </w:tcPr>
          <w:p>
            <w:r>
              <w:rPr>
                <w:rFonts w:ascii="Calibri" w:hAnsi="Calibri"/>
              </w:rPr>
            </w:r>
            <w:r>
              <w:rPr>
                <w:rFonts w:ascii="Calibri" w:hAnsi="Calibri"/>
                <w:sz w:val="18"/>
              </w:rPr>
              <w:t>764 gares CFF + CAP2030 Genève 560 M CHF + PMR 2,5 Mds CHF</w:t>
            </w:r>
          </w:p>
        </w:tc>
        <w:tc>
          <w:tcPr>
            <w:tcW w:type="dxa" w:w="2351"/>
          </w:tcPr>
          <w:p>
            <w:r>
              <w:rPr>
                <w:rFonts w:ascii="Calibri" w:hAnsi="Calibri"/>
              </w:rPr>
            </w:r>
            <w:r>
              <w:rPr>
                <w:rFonts w:ascii="Calibri" w:hAnsi="Calibri"/>
                <w:sz w:val="18"/>
              </w:rPr>
              <w:t>PRIORITÉ ABSOLUE</w:t>
            </w:r>
          </w:p>
        </w:tc>
      </w:tr>
      <w:tr>
        <w:tc>
          <w:tcPr>
            <w:tcW w:type="dxa" w:w="2351"/>
          </w:tcPr>
          <w:p>
            <w:r>
              <w:rPr>
                <w:rFonts w:ascii="Calibri" w:hAnsi="Calibri"/>
              </w:rPr>
            </w:r>
            <w:r>
              <w:rPr>
                <w:rFonts w:ascii="Calibri" w:hAnsi="Calibri"/>
                <w:sz w:val="18"/>
              </w:rPr>
              <w:t>4.5 CHR / Hôtels</w:t>
            </w:r>
          </w:p>
        </w:tc>
        <w:tc>
          <w:tcPr>
            <w:tcW w:type="dxa" w:w="2351"/>
          </w:tcPr>
          <w:p>
            <w:r>
              <w:rPr>
                <w:rFonts w:ascii="Calibri" w:hAnsi="Calibri"/>
              </w:rPr>
            </w:r>
            <w:r>
              <w:rPr>
                <w:rFonts w:ascii="Calibri" w:hAnsi="Calibri"/>
                <w:sz w:val="18"/>
              </w:rPr>
              <w:t>4/5</w:t>
            </w:r>
          </w:p>
        </w:tc>
        <w:tc>
          <w:tcPr>
            <w:tcW w:type="dxa" w:w="2351"/>
          </w:tcPr>
          <w:p>
            <w:r>
              <w:rPr>
                <w:rFonts w:ascii="Calibri" w:hAnsi="Calibri"/>
              </w:rPr>
            </w:r>
            <w:r>
              <w:rPr>
                <w:rFonts w:ascii="Calibri" w:hAnsi="Calibri"/>
                <w:sz w:val="18"/>
              </w:rPr>
              <w:t>42,8 M nuitées 2024 (record) ; ~5 000 établissements</w:t>
            </w:r>
          </w:p>
        </w:tc>
        <w:tc>
          <w:tcPr>
            <w:tcW w:type="dxa" w:w="2351"/>
          </w:tcPr>
          <w:p>
            <w:r>
              <w:rPr>
                <w:rFonts w:ascii="Calibri" w:hAnsi="Calibri"/>
              </w:rPr>
            </w:r>
            <w:r>
              <w:rPr>
                <w:rFonts w:ascii="Calibri" w:hAnsi="Calibri"/>
                <w:sz w:val="18"/>
              </w:rPr>
              <w:t>PRIORITÉ HAUTE</w:t>
            </w:r>
          </w:p>
        </w:tc>
      </w:tr>
      <w:tr>
        <w:tc>
          <w:tcPr>
            <w:tcW w:type="dxa" w:w="2351"/>
          </w:tcPr>
          <w:p>
            <w:r>
              <w:rPr>
                <w:rFonts w:ascii="Calibri" w:hAnsi="Calibri"/>
              </w:rPr>
            </w:r>
            <w:r>
              <w:rPr>
                <w:rFonts w:ascii="Calibri" w:hAnsi="Calibri"/>
                <w:sz w:val="18"/>
              </w:rPr>
              <w:t>4.1 Éducation</w:t>
            </w:r>
          </w:p>
        </w:tc>
        <w:tc>
          <w:tcPr>
            <w:tcW w:type="dxa" w:w="2351"/>
          </w:tcPr>
          <w:p>
            <w:r>
              <w:rPr>
                <w:rFonts w:ascii="Calibri" w:hAnsi="Calibri"/>
              </w:rPr>
            </w:r>
            <w:r>
              <w:rPr>
                <w:rFonts w:ascii="Calibri" w:hAnsi="Calibri"/>
                <w:sz w:val="18"/>
              </w:rPr>
              <w:t>4/5</w:t>
            </w:r>
          </w:p>
        </w:tc>
        <w:tc>
          <w:tcPr>
            <w:tcW w:type="dxa" w:w="2351"/>
          </w:tcPr>
          <w:p>
            <w:r>
              <w:rPr>
                <w:rFonts w:ascii="Calibri" w:hAnsi="Calibri"/>
              </w:rPr>
            </w:r>
            <w:r>
              <w:rPr>
                <w:rFonts w:ascii="Calibri" w:hAnsi="Calibri"/>
                <w:sz w:val="18"/>
              </w:rPr>
              <w:t>ETH + EPFL + 37 HES + ~11 700 établissements</w:t>
            </w:r>
          </w:p>
        </w:tc>
        <w:tc>
          <w:tcPr>
            <w:tcW w:type="dxa" w:w="2351"/>
          </w:tcPr>
          <w:p>
            <w:r>
              <w:rPr>
                <w:rFonts w:ascii="Calibri" w:hAnsi="Calibri"/>
              </w:rPr>
            </w:r>
            <w:r>
              <w:rPr>
                <w:rFonts w:ascii="Calibri" w:hAnsi="Calibri"/>
                <w:sz w:val="18"/>
              </w:rPr>
              <w:t>PRIORITÉ HAUTE</w:t>
            </w:r>
          </w:p>
        </w:tc>
      </w:tr>
      <w:tr>
        <w:tc>
          <w:tcPr>
            <w:tcW w:type="dxa" w:w="2351"/>
          </w:tcPr>
          <w:p>
            <w:r>
              <w:rPr>
                <w:rFonts w:ascii="Calibri" w:hAnsi="Calibri"/>
              </w:rPr>
            </w:r>
            <w:r>
              <w:rPr>
                <w:rFonts w:ascii="Calibri" w:hAnsi="Calibri"/>
                <w:sz w:val="18"/>
              </w:rPr>
              <w:t>4.7 Sport &amp; Loisirs</w:t>
            </w:r>
          </w:p>
        </w:tc>
        <w:tc>
          <w:tcPr>
            <w:tcW w:type="dxa" w:w="2351"/>
          </w:tcPr>
          <w:p>
            <w:r>
              <w:rPr>
                <w:rFonts w:ascii="Calibri" w:hAnsi="Calibri"/>
              </w:rPr>
            </w:r>
            <w:r>
              <w:rPr>
                <w:rFonts w:ascii="Calibri" w:hAnsi="Calibri"/>
                <w:sz w:val="18"/>
              </w:rPr>
              <w:t>3/5</w:t>
            </w:r>
          </w:p>
        </w:tc>
        <w:tc>
          <w:tcPr>
            <w:tcW w:type="dxa" w:w="2351"/>
          </w:tcPr>
          <w:p>
            <w:r>
              <w:rPr>
                <w:rFonts w:ascii="Calibri" w:hAnsi="Calibri"/>
              </w:rPr>
            </w:r>
            <w:r>
              <w:rPr>
                <w:rFonts w:ascii="Calibri" w:hAnsi="Calibri"/>
                <w:sz w:val="18"/>
              </w:rPr>
              <w:t>32 000 installations ; ~1 000 centres fitness</w:t>
            </w:r>
          </w:p>
        </w:tc>
        <w:tc>
          <w:tcPr>
            <w:tcW w:type="dxa" w:w="2351"/>
          </w:tcPr>
          <w:p>
            <w:r>
              <w:rPr>
                <w:rFonts w:ascii="Calibri" w:hAnsi="Calibri"/>
              </w:rPr>
            </w:r>
            <w:r>
              <w:rPr>
                <w:rFonts w:ascii="Calibri" w:hAnsi="Calibri"/>
                <w:sz w:val="18"/>
              </w:rPr>
              <w:t>SECONDAIRE</w:t>
            </w:r>
          </w:p>
        </w:tc>
      </w:tr>
      <w:tr>
        <w:tc>
          <w:tcPr>
            <w:tcW w:type="dxa" w:w="2351"/>
          </w:tcPr>
          <w:p>
            <w:r>
              <w:rPr>
                <w:rFonts w:ascii="Calibri" w:hAnsi="Calibri"/>
              </w:rPr>
            </w:r>
            <w:r>
              <w:rPr>
                <w:rFonts w:ascii="Calibri" w:hAnsi="Calibri"/>
                <w:sz w:val="18"/>
              </w:rPr>
              <w:t>4.3 Tertiaire / Bureaux</w:t>
            </w:r>
          </w:p>
        </w:tc>
        <w:tc>
          <w:tcPr>
            <w:tcW w:type="dxa" w:w="2351"/>
          </w:tcPr>
          <w:p>
            <w:r>
              <w:rPr>
                <w:rFonts w:ascii="Calibri" w:hAnsi="Calibri"/>
              </w:rPr>
            </w:r>
            <w:r>
              <w:rPr>
                <w:rFonts w:ascii="Calibri" w:hAnsi="Calibri"/>
                <w:sz w:val="18"/>
              </w:rPr>
              <w:t>3/5</w:t>
            </w:r>
          </w:p>
        </w:tc>
        <w:tc>
          <w:tcPr>
            <w:tcW w:type="dxa" w:w="2351"/>
          </w:tcPr>
          <w:p>
            <w:r>
              <w:rPr>
                <w:rFonts w:ascii="Calibri" w:hAnsi="Calibri"/>
              </w:rPr>
            </w:r>
            <w:r>
              <w:rPr>
                <w:rFonts w:ascii="Calibri" w:hAnsi="Calibri"/>
                <w:sz w:val="18"/>
              </w:rPr>
              <w:t>Stable ; niche premium multinationales</w:t>
            </w:r>
          </w:p>
        </w:tc>
        <w:tc>
          <w:tcPr>
            <w:tcW w:type="dxa" w:w="2351"/>
          </w:tcPr>
          <w:p>
            <w:r>
              <w:rPr>
                <w:rFonts w:ascii="Calibri" w:hAnsi="Calibri"/>
              </w:rPr>
            </w:r>
            <w:r>
              <w:rPr>
                <w:rFonts w:ascii="Calibri" w:hAnsi="Calibri"/>
                <w:sz w:val="18"/>
              </w:rPr>
              <w:t>SECONDAIRE</w:t>
            </w:r>
          </w:p>
        </w:tc>
      </w:tr>
      <w:tr>
        <w:tc>
          <w:tcPr>
            <w:tcW w:type="dxa" w:w="2351"/>
          </w:tcPr>
          <w:p>
            <w:r>
              <w:rPr>
                <w:rFonts w:ascii="Calibri" w:hAnsi="Calibri"/>
              </w:rPr>
            </w:r>
            <w:r>
              <w:rPr>
                <w:rFonts w:ascii="Calibri" w:hAnsi="Calibri"/>
                <w:sz w:val="18"/>
              </w:rPr>
              <w:t>4.8 Pénitentiaire</w:t>
            </w:r>
          </w:p>
        </w:tc>
        <w:tc>
          <w:tcPr>
            <w:tcW w:type="dxa" w:w="2351"/>
          </w:tcPr>
          <w:p>
            <w:r>
              <w:rPr>
                <w:rFonts w:ascii="Calibri" w:hAnsi="Calibri"/>
              </w:rPr>
            </w:r>
            <w:r>
              <w:rPr>
                <w:rFonts w:ascii="Calibri" w:hAnsi="Calibri"/>
                <w:sz w:val="18"/>
              </w:rPr>
              <w:t>3/5</w:t>
            </w:r>
          </w:p>
        </w:tc>
        <w:tc>
          <w:tcPr>
            <w:tcW w:type="dxa" w:w="2351"/>
          </w:tcPr>
          <w:p>
            <w:r>
              <w:rPr>
                <w:rFonts w:ascii="Calibri" w:hAnsi="Calibri"/>
              </w:rPr>
            </w:r>
            <w:r>
              <w:rPr>
                <w:rFonts w:ascii="Calibri" w:hAnsi="Calibri"/>
                <w:sz w:val="18"/>
              </w:rPr>
              <w:t>90 prisons ; 97% occupation ; besoin rénov./construction</w:t>
            </w:r>
          </w:p>
        </w:tc>
        <w:tc>
          <w:tcPr>
            <w:tcW w:type="dxa" w:w="2351"/>
          </w:tcPr>
          <w:p>
            <w:r>
              <w:rPr>
                <w:rFonts w:ascii="Calibri" w:hAnsi="Calibri"/>
              </w:rPr>
            </w:r>
            <w:r>
              <w:rPr>
                <w:rFonts w:ascii="Calibri" w:hAnsi="Calibri"/>
                <w:sz w:val="18"/>
              </w:rPr>
              <w:t>SECONDAIRE</w:t>
            </w:r>
          </w:p>
        </w:tc>
      </w:tr>
      <w:tr>
        <w:tc>
          <w:tcPr>
            <w:tcW w:type="dxa" w:w="2351"/>
          </w:tcPr>
          <w:p>
            <w:r>
              <w:rPr>
                <w:rFonts w:ascii="Calibri" w:hAnsi="Calibri"/>
              </w:rPr>
            </w:r>
            <w:r>
              <w:rPr>
                <w:rFonts w:ascii="Calibri" w:hAnsi="Calibri"/>
                <w:sz w:val="18"/>
              </w:rPr>
              <w:t>4.4 Industrie</w:t>
            </w:r>
          </w:p>
        </w:tc>
        <w:tc>
          <w:tcPr>
            <w:tcW w:type="dxa" w:w="2351"/>
          </w:tcPr>
          <w:p>
            <w:r>
              <w:rPr>
                <w:rFonts w:ascii="Calibri" w:hAnsi="Calibri"/>
              </w:rPr>
            </w:r>
            <w:r>
              <w:rPr>
                <w:rFonts w:ascii="Calibri" w:hAnsi="Calibri"/>
                <w:sz w:val="18"/>
              </w:rPr>
              <w:t>2/5</w:t>
            </w:r>
          </w:p>
        </w:tc>
        <w:tc>
          <w:tcPr>
            <w:tcW w:type="dxa" w:w="2351"/>
          </w:tcPr>
          <w:p>
            <w:r>
              <w:rPr>
                <w:rFonts w:ascii="Calibri" w:hAnsi="Calibri"/>
              </w:rPr>
            </w:r>
            <w:r>
              <w:rPr>
                <w:rFonts w:ascii="Calibri" w:hAnsi="Calibri"/>
                <w:sz w:val="18"/>
              </w:rPr>
              <w:t>Pharma/horlogerie ; vestiaires/cantines</w:t>
            </w:r>
          </w:p>
        </w:tc>
        <w:tc>
          <w:tcPr>
            <w:tcW w:type="dxa" w:w="2351"/>
          </w:tcPr>
          <w:p>
            <w:r>
              <w:rPr>
                <w:rFonts w:ascii="Calibri" w:hAnsi="Calibri"/>
              </w:rPr>
            </w:r>
            <w:r>
              <w:rPr>
                <w:rFonts w:ascii="Calibri" w:hAnsi="Calibri"/>
                <w:sz w:val="18"/>
              </w:rPr>
              <w:t>OPPORTUNISTE</w:t>
            </w:r>
          </w:p>
        </w:tc>
      </w:tr>
      <w:tr>
        <w:tc>
          <w:tcPr>
            <w:tcW w:type="dxa" w:w="2351"/>
          </w:tcPr>
          <w:p>
            <w:r>
              <w:rPr>
                <w:rFonts w:ascii="Calibri" w:hAnsi="Calibri"/>
              </w:rPr>
            </w:r>
            <w:r>
              <w:rPr>
                <w:rFonts w:ascii="Calibri" w:hAnsi="Calibri"/>
                <w:sz w:val="18"/>
              </w:rPr>
              <w:t>4.6 HPA (campings)</w:t>
            </w:r>
          </w:p>
        </w:tc>
        <w:tc>
          <w:tcPr>
            <w:tcW w:type="dxa" w:w="2351"/>
          </w:tcPr>
          <w:p>
            <w:r>
              <w:rPr>
                <w:rFonts w:ascii="Calibri" w:hAnsi="Calibri"/>
              </w:rPr>
            </w:r>
            <w:r>
              <w:rPr>
                <w:rFonts w:ascii="Calibri" w:hAnsi="Calibri"/>
                <w:sz w:val="18"/>
              </w:rPr>
              <w:t>2/5</w:t>
            </w:r>
          </w:p>
        </w:tc>
        <w:tc>
          <w:tcPr>
            <w:tcW w:type="dxa" w:w="2351"/>
          </w:tcPr>
          <w:p>
            <w:r>
              <w:rPr>
                <w:rFonts w:ascii="Calibri" w:hAnsi="Calibri"/>
              </w:rPr>
            </w:r>
            <w:r>
              <w:rPr>
                <w:rFonts w:ascii="Calibri" w:hAnsi="Calibri"/>
                <w:sz w:val="18"/>
              </w:rPr>
              <w:t>Données insuffisantes ; tourisme montagne</w:t>
            </w:r>
          </w:p>
        </w:tc>
        <w:tc>
          <w:tcPr>
            <w:tcW w:type="dxa" w:w="2351"/>
          </w:tcPr>
          <w:p>
            <w:r>
              <w:rPr>
                <w:rFonts w:ascii="Calibri" w:hAnsi="Calibri"/>
              </w:rPr>
            </w:r>
            <w:r>
              <w:rPr>
                <w:rFonts w:ascii="Calibri" w:hAnsi="Calibri"/>
                <w:sz w:val="18"/>
              </w:rPr>
              <w:t>OPPORTUNISTE</w:t>
            </w:r>
          </w:p>
        </w:tc>
      </w:tr>
      <w:tr>
        <w:tc>
          <w:tcPr>
            <w:tcW w:type="dxa" w:w="2351"/>
          </w:tcPr>
          <w:p>
            <w:r>
              <w:rPr>
                <w:rFonts w:ascii="Calibri" w:hAnsi="Calibri"/>
              </w:rPr>
            </w:r>
            <w:r>
              <w:rPr>
                <w:rFonts w:ascii="Calibri" w:hAnsi="Calibri"/>
                <w:sz w:val="18"/>
              </w:rPr>
              <w:t>4.9 Culturel</w:t>
            </w:r>
          </w:p>
        </w:tc>
        <w:tc>
          <w:tcPr>
            <w:tcW w:type="dxa" w:w="2351"/>
          </w:tcPr>
          <w:p>
            <w:r>
              <w:rPr>
                <w:rFonts w:ascii="Calibri" w:hAnsi="Calibri"/>
              </w:rPr>
            </w:r>
            <w:r>
              <w:rPr>
                <w:rFonts w:ascii="Calibri" w:hAnsi="Calibri"/>
                <w:sz w:val="18"/>
              </w:rPr>
              <w:t>2/5</w:t>
            </w:r>
          </w:p>
        </w:tc>
        <w:tc>
          <w:tcPr>
            <w:tcW w:type="dxa" w:w="2351"/>
          </w:tcPr>
          <w:p>
            <w:r>
              <w:rPr>
                <w:rFonts w:ascii="Calibri" w:hAnsi="Calibri"/>
              </w:rPr>
            </w:r>
            <w:r>
              <w:rPr>
                <w:rFonts w:ascii="Calibri" w:hAnsi="Calibri"/>
                <w:sz w:val="18"/>
              </w:rPr>
              <w:t>Musées réputés mais dispersés</w:t>
            </w:r>
          </w:p>
        </w:tc>
        <w:tc>
          <w:tcPr>
            <w:tcW w:type="dxa" w:w="2351"/>
          </w:tcPr>
          <w:p>
            <w:r>
              <w:rPr>
                <w:rFonts w:ascii="Calibri" w:hAnsi="Calibri"/>
              </w:rPr>
            </w:r>
            <w:r>
              <w:rPr>
                <w:rFonts w:ascii="Calibri" w:hAnsi="Calibri"/>
                <w:sz w:val="18"/>
              </w:rPr>
              <w:t>OPPORTUNISTE</w:t>
            </w:r>
          </w:p>
        </w:tc>
      </w:tr>
      <w:tr>
        <w:tc>
          <w:tcPr>
            <w:tcW w:type="dxa" w:w="2351"/>
          </w:tcPr>
          <w:p>
            <w:r>
              <w:rPr>
                <w:rFonts w:ascii="Calibri" w:hAnsi="Calibri"/>
              </w:rPr>
            </w:r>
            <w:r>
              <w:rPr>
                <w:rFonts w:ascii="Calibri" w:hAnsi="Calibri"/>
                <w:sz w:val="18"/>
              </w:rPr>
              <w:t>4.10 Lieux de culte</w:t>
            </w:r>
          </w:p>
        </w:tc>
        <w:tc>
          <w:tcPr>
            <w:tcW w:type="dxa" w:w="2351"/>
          </w:tcPr>
          <w:p>
            <w:r>
              <w:rPr>
                <w:rFonts w:ascii="Calibri" w:hAnsi="Calibri"/>
              </w:rPr>
            </w:r>
            <w:r>
              <w:rPr>
                <w:rFonts w:ascii="Calibri" w:hAnsi="Calibri"/>
                <w:sz w:val="18"/>
              </w:rPr>
              <w:t>1/5</w:t>
            </w:r>
          </w:p>
        </w:tc>
        <w:tc>
          <w:tcPr>
            <w:tcW w:type="dxa" w:w="2351"/>
          </w:tcPr>
          <w:p>
            <w:r>
              <w:rPr>
                <w:rFonts w:ascii="Calibri" w:hAnsi="Calibri"/>
              </w:rPr>
            </w:r>
            <w:r>
              <w:rPr>
                <w:rFonts w:ascii="Calibri" w:hAnsi="Calibri"/>
                <w:sz w:val="18"/>
              </w:rPr>
              <w:t>Sécularisation accélérée ; -7% groupes depuis 2008</w:t>
            </w:r>
          </w:p>
        </w:tc>
        <w:tc>
          <w:tcPr>
            <w:tcW w:type="dxa" w:w="2351"/>
          </w:tcPr>
          <w:p>
            <w:r>
              <w:rPr>
                <w:rFonts w:ascii="Calibri" w:hAnsi="Calibri"/>
              </w:rPr>
            </w:r>
            <w:r>
              <w:rPr>
                <w:rFonts w:ascii="Calibri" w:hAnsi="Calibri"/>
                <w:sz w:val="18"/>
              </w:rPr>
              <w:t>NON PRIORITAIRE</w:t>
            </w:r>
          </w:p>
        </w:tc>
      </w:tr>
    </w:tbl>
    <w:p>
      <w:pPr>
        <w:spacing w:before="80" w:after="80"/>
      </w:pPr>
    </w:p>
    <w:p>
      <w:pPr>
        <w:pStyle w:val="Heading2"/>
        <w:spacing w:before="280" w:after="120"/>
      </w:pPr>
      <w:r>
        <w:rPr>
          <w:rFonts w:ascii="Calibri" w:hAnsi="Calibri"/>
          <w:color w:val="595959"/>
        </w:rPr>
        <w:t>4.1 Éducation</w:t>
      </w:r>
    </w:p>
    <w:p>
      <w:pPr>
        <w:pStyle w:val="ListBullet"/>
        <w:spacing w:before="80" w:after="80"/>
        <w:ind w:left="0"/>
      </w:pPr>
      <w:r>
        <w:rPr>
          <w:rFonts w:ascii="Calibri" w:hAnsi="Calibri"/>
          <w:b w:val="0"/>
          <w:i w:val="0"/>
          <w:sz w:val="20"/>
        </w:rPr>
        <w:t>~11 700 établissements scolaires (primaire + secondaire I, données OFS 2017/18 — à actualiser). 10 universités cantonales + ETH Zurich (23 500 étudiants) + EPFL (12 000 étudiants) + 37 HES. (OFS 2024 / ETH / EPFL)</w:t>
      </w:r>
    </w:p>
    <w:p>
      <w:pPr>
        <w:pStyle w:val="ListBullet"/>
        <w:spacing w:before="80" w:after="80"/>
        <w:ind w:left="0"/>
      </w:pPr>
      <w:r>
        <w:rPr>
          <w:rFonts w:ascii="Calibri" w:hAnsi="Calibri"/>
          <w:b w:val="0"/>
          <w:i w:val="0"/>
          <w:sz w:val="20"/>
        </w:rPr>
        <w:t>Taux scolarisation ~99% → parc établissements stable en volume mais rénovation active. Budget FRI 2025-2028 : 29,2 Mds CHF mais coupes de 460 M CHF/an (Conseil fédéral).</w:t>
      </w:r>
    </w:p>
    <w:p>
      <w:pPr>
        <w:pStyle w:val="ListBullet"/>
        <w:spacing w:before="80" w:after="80"/>
        <w:ind w:left="0"/>
      </w:pPr>
      <w:r>
        <w:rPr>
          <w:rFonts w:ascii="Calibri" w:hAnsi="Calibri"/>
          <w:b w:val="0"/>
          <w:i w:val="0"/>
          <w:sz w:val="20"/>
        </w:rPr>
        <w:t>Résidences étudiantes : développement actif (Lausanne/EPFL, projets privés) → segment croissant. Dynamique : rénovation &gt; neuf pour primaire/secondaire.</w:t>
      </w:r>
    </w:p>
    <w:p>
      <w:pPr>
        <w:pStyle w:val="ListBullet"/>
        <w:spacing w:before="80" w:after="80"/>
        <w:ind w:left="0"/>
      </w:pPr>
      <w:r>
        <w:rPr>
          <w:rFonts w:ascii="Calibri" w:hAnsi="Calibri"/>
          <w:b w:val="0"/>
          <w:i w:val="0"/>
          <w:sz w:val="20"/>
        </w:rPr>
        <w:t>[DONNÉE NON DISPONIBLE — volume marché robinetterie éducation/an en Suisse]</w:t>
      </w:r>
    </w:p>
    <w:p>
      <w:pPr>
        <w:pStyle w:val="Heading2"/>
        <w:spacing w:before="280" w:after="120"/>
      </w:pPr>
      <w:r>
        <w:rPr>
          <w:rFonts w:ascii="Calibri" w:hAnsi="Calibri"/>
          <w:color w:val="595959"/>
        </w:rPr>
        <w:t>4.2 Santé / Hôpitaux / EMS</w:t>
      </w:r>
    </w:p>
    <w:p>
      <w:pPr>
        <w:pStyle w:val="ListBullet"/>
        <w:spacing w:before="80" w:after="80"/>
        <w:ind w:left="0"/>
      </w:pPr>
      <w:r>
        <w:rPr>
          <w:rFonts w:ascii="Calibri" w:hAnsi="Calibri"/>
          <w:b w:val="0"/>
          <w:i w:val="0"/>
          <w:sz w:val="20"/>
        </w:rPr>
        <w:t>Hôpitaux : 278 établissements (264 hôpitaux + 14 maternités). Lits totaux : ~37 925-38 000 (OFS 2023). Lits/1 000 hab : 4,4-4,6 (OCDE) vs France 5,9. Facteur santé = 4,5/5,9 = 0,76. (OFS 2022-2023 / OCDE)</w:t>
      </w:r>
    </w:p>
    <w:p>
      <w:pPr>
        <w:pStyle w:val="ListBullet"/>
        <w:spacing w:before="80" w:after="80"/>
        <w:ind w:left="0"/>
      </w:pPr>
      <w:r>
        <w:rPr>
          <w:rFonts w:ascii="Calibri" w:hAnsi="Calibri"/>
          <w:b w:val="0"/>
          <w:i w:val="0"/>
          <w:sz w:val="20"/>
        </w:rPr>
        <w:t>EMS (établissements médico-sociaux) : 1 465 établissements ; 100 540 places ; 170 211 résidents ; coûts 11,65 Mds CHF. (OFS SOMED 2023 / Senesuisse)</w:t>
      </w:r>
    </w:p>
    <w:p>
      <w:pPr>
        <w:pStyle w:val="ListBullet"/>
        <w:spacing w:before="80" w:after="80"/>
        <w:ind w:left="0"/>
      </w:pPr>
      <w:r>
        <w:rPr>
          <w:rFonts w:ascii="Calibri" w:hAnsi="Calibri"/>
          <w:b w:val="0"/>
          <w:i w:val="0"/>
          <w:sz w:val="20"/>
        </w:rPr>
        <w:t>Pipeline HUG Genève : rénovation maternité 2024-2030, nouvel hôpital psychiatrique (EviPsy), hôpital des enfants → CHF 58,5 M investis en 2024. (hug.ch)</w:t>
      </w:r>
    </w:p>
    <w:p>
      <w:pPr>
        <w:pStyle w:val="ListBullet"/>
        <w:spacing w:before="80" w:after="80"/>
        <w:ind w:left="0"/>
      </w:pPr>
      <w:r>
        <w:rPr>
          <w:rFonts w:ascii="Calibri" w:hAnsi="Calibri"/>
          <w:b w:val="0"/>
          <w:i w:val="0"/>
          <w:sz w:val="20"/>
        </w:rPr>
        <w:t>Vieillissement démographique → fort accroissement demande EMS à horizon 2030-2040. EFAS 2028 = nouveau système financement hospitalier-ambulatoire à surveiller.</w:t>
      </w:r>
    </w:p>
    <w:p>
      <w:pPr>
        <w:pStyle w:val="ListBullet"/>
        <w:spacing w:before="80" w:after="80"/>
        <w:ind w:left="0"/>
      </w:pPr>
      <w:r>
        <w:rPr>
          <w:rFonts w:ascii="Calibri" w:hAnsi="Calibri"/>
          <w:b w:val="0"/>
          <w:i w:val="0"/>
          <w:sz w:val="20"/>
        </w:rPr>
        <w:t>Neuf : nouveaux hôpitaux rares (HUG Psychiatrie EviPsy). Rénovation : très majoritaire sur parc existant.</w:t>
      </w:r>
    </w:p>
    <w:p>
      <w:pPr>
        <w:pStyle w:val="Heading2"/>
        <w:spacing w:before="280" w:after="120"/>
      </w:pPr>
      <w:r>
        <w:rPr>
          <w:rFonts w:ascii="Calibri" w:hAnsi="Calibri"/>
          <w:color w:val="595959"/>
        </w:rPr>
        <w:t>4.3 Bâtiments tertiaires (Bureaux)</w:t>
      </w:r>
    </w:p>
    <w:p>
      <w:pPr>
        <w:pStyle w:val="ListBullet"/>
        <w:spacing w:before="80" w:after="80"/>
        <w:ind w:left="0"/>
      </w:pPr>
      <w:r>
        <w:rPr>
          <w:rFonts w:ascii="Calibri" w:hAnsi="Calibri"/>
          <w:b w:val="0"/>
          <w:i w:val="0"/>
          <w:sz w:val="20"/>
        </w:rPr>
        <w:t>995 500 m² disponibles (5 grandes villes) fin 2024, taux vacance 5,0% (CBRE / immoday.ch 2024). Légère surcapacité → rénovation prioritaire sur neuf.</w:t>
      </w:r>
    </w:p>
    <w:p>
      <w:pPr>
        <w:pStyle w:val="ListBullet"/>
        <w:spacing w:before="80" w:after="80"/>
        <w:ind w:left="0"/>
      </w:pPr>
      <w:r>
        <w:rPr>
          <w:rFonts w:ascii="Calibri" w:hAnsi="Calibri"/>
          <w:b w:val="0"/>
          <w:i w:val="0"/>
          <w:sz w:val="20"/>
        </w:rPr>
        <w:t>Niche premium : sièges de multinationales (Nestlé, Novartis, ABB, Roche) = cahiers des charges exigeants. Canaux de prescription : architectes + BET.</w:t>
      </w:r>
    </w:p>
    <w:p>
      <w:pPr>
        <w:pStyle w:val="ListBullet"/>
        <w:spacing w:before="80" w:after="80"/>
        <w:ind w:left="0"/>
      </w:pPr>
      <w:r>
        <w:rPr>
          <w:rFonts w:ascii="Calibri" w:hAnsi="Calibri"/>
          <w:b w:val="0"/>
          <w:i w:val="0"/>
          <w:sz w:val="20"/>
        </w:rPr>
        <w:t>[DONNÉE NON DISPONIBLE — volume marché robinetterie tertiaire/an]</w:t>
      </w:r>
    </w:p>
    <w:p>
      <w:pPr>
        <w:pStyle w:val="Heading2"/>
        <w:spacing w:before="280" w:after="120"/>
      </w:pPr>
      <w:r>
        <w:rPr>
          <w:rFonts w:ascii="Calibri" w:hAnsi="Calibri"/>
          <w:color w:val="595959"/>
        </w:rPr>
        <w:t>4.4 Bâtiments industriels</w:t>
      </w:r>
    </w:p>
    <w:p>
      <w:pPr>
        <w:pStyle w:val="ListBullet"/>
        <w:spacing w:before="80" w:after="80"/>
        <w:ind w:left="0"/>
      </w:pPr>
      <w:r>
        <w:rPr>
          <w:rFonts w:ascii="Calibri" w:hAnsi="Calibri"/>
          <w:b w:val="0"/>
          <w:i w:val="0"/>
          <w:sz w:val="20"/>
        </w:rPr>
        <w:t>Secteurs clés : pharma (Bâle — Novartis, Roche), horlogerie (Jura, Neuchâtel, Vallée de Joux), machines-outils, medtech.</w:t>
      </w:r>
    </w:p>
    <w:p>
      <w:pPr>
        <w:pStyle w:val="ListBullet"/>
        <w:spacing w:before="80" w:after="80"/>
        <w:ind w:left="0"/>
      </w:pPr>
      <w:r>
        <w:rPr>
          <w:rFonts w:ascii="Calibri" w:hAnsi="Calibri"/>
          <w:b w:val="0"/>
          <w:i w:val="0"/>
          <w:sz w:val="20"/>
        </w:rPr>
        <w:t>Sanitaires vestiaires, cantines, salles blanches pharma (exigences hygiéniques très élevées). Segment secondaire pour Presto en volume, mais valeur unitaire élevée.</w:t>
      </w:r>
    </w:p>
    <w:p>
      <w:pPr>
        <w:pStyle w:val="ListBullet"/>
        <w:spacing w:before="80" w:after="80"/>
        <w:ind w:left="0"/>
      </w:pPr>
      <w:r>
        <w:rPr>
          <w:rFonts w:ascii="Calibri" w:hAnsi="Calibri"/>
          <w:b w:val="0"/>
          <w:i w:val="0"/>
          <w:sz w:val="20"/>
        </w:rPr>
        <w:t>[DONNÉE NON DISPONIBLE — nombre établissements industriels, volume robinetterie/an]</w:t>
      </w:r>
    </w:p>
    <w:p>
      <w:pPr>
        <w:pStyle w:val="Heading2"/>
        <w:spacing w:before="280" w:after="120"/>
      </w:pPr>
      <w:r>
        <w:rPr>
          <w:rFonts w:ascii="Calibri" w:hAnsi="Calibri"/>
          <w:color w:val="595959"/>
        </w:rPr>
        <w:t>4.5 CHR — Cafés, Hôtels, Restaurants</w:t>
      </w:r>
    </w:p>
    <w:p>
      <w:pPr>
        <w:pStyle w:val="ListBullet"/>
        <w:spacing w:before="80" w:after="80"/>
        <w:ind w:left="0"/>
      </w:pPr>
      <w:r>
        <w:rPr>
          <w:rFonts w:ascii="Calibri" w:hAnsi="Calibri"/>
          <w:b w:val="0"/>
          <w:i w:val="0"/>
          <w:sz w:val="20"/>
        </w:rPr>
        <w:t>~5 000 hôtels et établissements (OFS / HotellerieSuisse 2024). 42,8 millions nuitées hôtelières 2024 (+2,6% vs 2023) — record absolu. 22,0 millions nuitées étrangères (+5,1%). (OFS 2024)</w:t>
      </w:r>
    </w:p>
    <w:p>
      <w:pPr>
        <w:pStyle w:val="ListBullet"/>
        <w:spacing w:before="80" w:after="80"/>
        <w:ind w:left="0"/>
      </w:pPr>
      <w:r>
        <w:rPr>
          <w:rFonts w:ascii="Calibri" w:hAnsi="Calibri"/>
          <w:b w:val="0"/>
          <w:i w:val="0"/>
          <w:sz w:val="20"/>
        </w:rPr>
        <w:t>Recettes touristiques : 20,33 Mds EUR (Fédération suisse du tourisme 2024). Exigences qualité premium → robinetterie design, durabilité, anti-calcaire. Marché très favorable aux produits haut de gamme.</w:t>
      </w:r>
    </w:p>
    <w:p>
      <w:pPr>
        <w:pStyle w:val="ListBullet"/>
        <w:spacing w:before="80" w:after="80"/>
        <w:ind w:left="0"/>
      </w:pPr>
      <w:r>
        <w:rPr>
          <w:rFonts w:ascii="Calibri" w:hAnsi="Calibri"/>
          <w:b w:val="0"/>
          <w:i w:val="0"/>
          <w:sz w:val="20"/>
        </w:rPr>
        <w:t>Facteur CHR = 22 M nuitées étrangères CH / 102 M arrivées France ≈ 0,216. Estimation marché CHR corrigée de ce facteur par rapport à la France.</w:t>
      </w:r>
    </w:p>
    <w:p>
      <w:pPr>
        <w:pStyle w:val="Heading2"/>
        <w:spacing w:before="280" w:after="120"/>
      </w:pPr>
      <w:r>
        <w:rPr>
          <w:rFonts w:ascii="Calibri" w:hAnsi="Calibri"/>
          <w:color w:val="595959"/>
        </w:rPr>
        <w:t>4.6 HPA — Hôtellerie Plein Air, Campings</w:t>
      </w:r>
    </w:p>
    <w:p>
      <w:pPr>
        <w:pStyle w:val="ListBullet"/>
        <w:spacing w:before="80" w:after="80"/>
        <w:ind w:left="0"/>
      </w:pPr>
      <w:r>
        <w:rPr>
          <w:rFonts w:ascii="Calibri" w:hAnsi="Calibri"/>
          <w:b w:val="0"/>
          <w:i w:val="0"/>
          <w:sz w:val="20"/>
        </w:rPr>
        <w:t>[DONNÉE NON DISPONIBLE — nombre campings / HPA Suisse non identifié. TCS gère un réseau de campings suisses avec sanitaires modernisés.]</w:t>
      </w:r>
    </w:p>
    <w:p>
      <w:pPr>
        <w:pStyle w:val="ListBullet"/>
        <w:spacing w:before="80" w:after="80"/>
        <w:ind w:left="0"/>
      </w:pPr>
      <w:r>
        <w:rPr>
          <w:rFonts w:ascii="Calibri" w:hAnsi="Calibri"/>
          <w:b w:val="0"/>
          <w:i w:val="0"/>
          <w:sz w:val="20"/>
        </w:rPr>
        <w:t>Segment de taille limitée mais qualité sanitaires attendue élevée (marché suisse premium). Tourisme montagne = clientèle internationale exigeante.</w:t>
      </w:r>
    </w:p>
    <w:p>
      <w:pPr>
        <w:pStyle w:val="Heading2"/>
        <w:spacing w:before="280" w:after="120"/>
      </w:pPr>
      <w:r>
        <w:rPr>
          <w:rFonts w:ascii="Calibri" w:hAnsi="Calibri"/>
          <w:color w:val="595959"/>
        </w:rPr>
        <w:t>4.7 Centres Sport &amp; Loisirs</w:t>
      </w:r>
    </w:p>
    <w:p>
      <w:pPr>
        <w:pStyle w:val="ListBullet"/>
        <w:spacing w:before="80" w:after="80"/>
        <w:ind w:left="0"/>
      </w:pPr>
      <w:r>
        <w:rPr>
          <w:rFonts w:ascii="Calibri" w:hAnsi="Calibri"/>
          <w:b w:val="0"/>
          <w:i w:val="0"/>
          <w:sz w:val="20"/>
        </w:rPr>
        <w:t>32 000 installations sportives en Suisse (EDA / aboutswitzerland.eda.admin.ch). ~980-1 000 centres de fitness ; CA CHF 1,3 Md en 2024 (+7,6%) ; 1,37 million de membres. (LFM / Watson.ch 2024)</w:t>
      </w:r>
    </w:p>
    <w:p>
      <w:pPr>
        <w:pStyle w:val="ListBullet"/>
        <w:spacing w:before="80" w:after="80"/>
        <w:ind w:left="0"/>
      </w:pPr>
      <w:r>
        <w:rPr>
          <w:rFonts w:ascii="Calibri" w:hAnsi="Calibri"/>
          <w:b w:val="0"/>
          <w:i w:val="0"/>
          <w:sz w:val="20"/>
        </w:rPr>
        <w:t>75% de la population pratique le sport régulièrement (EDA). Stades, piscines cantonales, gymnases communaux.</w:t>
      </w:r>
    </w:p>
    <w:p>
      <w:pPr>
        <w:pStyle w:val="ListBullet"/>
        <w:spacing w:before="80" w:after="80"/>
        <w:ind w:left="0"/>
      </w:pPr>
      <w:r>
        <w:rPr>
          <w:rFonts w:ascii="Calibri" w:hAnsi="Calibri"/>
          <w:b w:val="0"/>
          <w:i w:val="0"/>
          <w:sz w:val="20"/>
        </w:rPr>
        <w:t>[DONNÉE NON DISPONIBLE — dépenses publiques sport % PIB Suisse (Eurostat ne couvre pas CH)]</w:t>
      </w:r>
    </w:p>
    <w:p>
      <w:pPr>
        <w:pStyle w:val="Heading2"/>
        <w:spacing w:before="280" w:after="120"/>
      </w:pPr>
      <w:r>
        <w:rPr>
          <w:rFonts w:ascii="Calibri" w:hAnsi="Calibri"/>
          <w:color w:val="595959"/>
        </w:rPr>
        <w:t>4.8 Établissements à sécurité renforcée — Pénitentiaire</w:t>
      </w:r>
    </w:p>
    <w:p>
      <w:pPr>
        <w:pStyle w:val="ListBullet"/>
        <w:spacing w:before="80" w:after="80"/>
        <w:ind w:left="0"/>
      </w:pPr>
      <w:r>
        <w:rPr>
          <w:rFonts w:ascii="Calibri" w:hAnsi="Calibri"/>
          <w:b w:val="0"/>
          <w:i w:val="0"/>
          <w:sz w:val="20"/>
        </w:rPr>
        <w:t>90 établissements pénitentiaires ; 7 373 places déclarées. 6 881 détenus au 31/01/2024 ; 7 119 début 2026 — record depuis 1988. Taux d'occupation : 97% (2026). (Prison Insider / RTS 2024)</w:t>
      </w:r>
    </w:p>
    <w:p>
      <w:pPr>
        <w:pStyle w:val="ListBullet"/>
        <w:spacing w:before="80" w:after="80"/>
        <w:ind w:left="0"/>
      </w:pPr>
      <w:r>
        <w:rPr>
          <w:rFonts w:ascii="Calibri" w:hAnsi="Calibri"/>
          <w:b w:val="0"/>
          <w:i w:val="0"/>
          <w:sz w:val="20"/>
        </w:rPr>
        <w:t>Taux incarcération : 78/100 000 hab (vs France 111/100 000). Facteur pénitentiaire = 78/111 = 0,70. 72% de détenus étrangers → spécificité suisse.</w:t>
      </w:r>
    </w:p>
    <w:p>
      <w:pPr>
        <w:pStyle w:val="ListBullet"/>
        <w:spacing w:before="80" w:after="80"/>
        <w:ind w:left="0"/>
      </w:pPr>
      <w:r>
        <w:rPr>
          <w:rFonts w:ascii="Calibri" w:hAnsi="Calibri"/>
          <w:b w:val="0"/>
          <w:i w:val="0"/>
          <w:sz w:val="20"/>
        </w:rPr>
        <w:t>Saturation → besoin de construction/rénovation mais décisions politiques complexes (vote populaire possible). Hôpitaux psychiatriques (EviPsy HUG) = segment additionnel anti-arrachement.</w:t>
      </w:r>
    </w:p>
    <w:p>
      <w:pPr>
        <w:pStyle w:val="Heading2"/>
        <w:spacing w:before="280" w:after="120"/>
      </w:pPr>
      <w:r>
        <w:rPr>
          <w:rFonts w:ascii="Calibri" w:hAnsi="Calibri"/>
          <w:color w:val="595959"/>
        </w:rPr>
        <w:t>4.9 Bâtiments culturels</w:t>
      </w:r>
    </w:p>
    <w:p>
      <w:pPr>
        <w:pStyle w:val="ListBullet"/>
        <w:spacing w:before="80" w:after="80"/>
        <w:ind w:left="0"/>
      </w:pPr>
      <w:r>
        <w:rPr>
          <w:rFonts w:ascii="Calibri" w:hAnsi="Calibri"/>
          <w:b w:val="0"/>
          <w:i w:val="0"/>
          <w:sz w:val="20"/>
        </w:rPr>
        <w:t>[DONNÉE NON DISPONIBLE — nombre cinémas, théâtres, musées Suisse non disponible via recherches]</w:t>
      </w:r>
    </w:p>
    <w:p>
      <w:pPr>
        <w:pStyle w:val="ListBullet"/>
        <w:spacing w:before="80" w:after="80"/>
        <w:ind w:left="0"/>
      </w:pPr>
      <w:r>
        <w:rPr>
          <w:rFonts w:ascii="Calibri" w:hAnsi="Calibri"/>
          <w:b w:val="0"/>
          <w:i w:val="0"/>
          <w:sz w:val="20"/>
        </w:rPr>
        <w:t>Musées réputés : Kunsthaus Zurich (rénové 2021), fondations Lausanne, musées cantonaux. Segment dispersé, commandes ponctuelles.</w:t>
      </w:r>
    </w:p>
    <w:p>
      <w:pPr>
        <w:pStyle w:val="Heading2"/>
        <w:spacing w:before="280" w:after="120"/>
      </w:pPr>
      <w:r>
        <w:rPr>
          <w:rFonts w:ascii="Calibri" w:hAnsi="Calibri"/>
          <w:color w:val="595959"/>
        </w:rPr>
        <w:t>4.10 Lieux de culte</w:t>
      </w:r>
    </w:p>
    <w:p>
      <w:pPr>
        <w:pStyle w:val="ListBullet"/>
        <w:spacing w:before="80" w:after="80"/>
        <w:ind w:left="0"/>
      </w:pPr>
      <w:r>
        <w:rPr>
          <w:rFonts w:ascii="Calibri" w:hAnsi="Calibri"/>
          <w:b w:val="0"/>
          <w:i w:val="0"/>
          <w:sz w:val="20"/>
        </w:rPr>
        <w:t>1 599 paroisses catholiques (OFS / ciao.ch 2022). ~200 mosquées (OFS 2022). ~40 synagogues. 5 883 groupes religieux locaux en 2022 (-7,2% vs 2008). (Kirchenstatistik)</w:t>
      </w:r>
    </w:p>
    <w:p>
      <w:pPr>
        <w:pStyle w:val="ListBullet"/>
        <w:spacing w:before="80" w:after="80"/>
        <w:ind w:left="0"/>
      </w:pPr>
      <w:r>
        <w:rPr>
          <w:rFonts w:ascii="Calibri" w:hAnsi="Calibri"/>
          <w:b w:val="0"/>
          <w:i w:val="0"/>
          <w:sz w:val="20"/>
        </w:rPr>
        <w:t>Sécularisation accélérée : 36,8% sans religion en 2024 → reconversions lieux de culte croissantes (RTS 2024). Segment résiduel pour Presto.</w:t>
      </w:r>
    </w:p>
    <w:p>
      <w:pPr>
        <w:pStyle w:val="Heading2"/>
        <w:spacing w:before="280" w:after="120"/>
      </w:pPr>
      <w:r>
        <w:rPr>
          <w:rFonts w:ascii="Calibri" w:hAnsi="Calibri"/>
          <w:color w:val="595959"/>
        </w:rPr>
        <w:t>4.11 Transports</w:t>
      </w:r>
    </w:p>
    <w:p>
      <w:pPr>
        <w:pStyle w:val="ListBullet"/>
        <w:spacing w:before="80" w:after="80"/>
        <w:ind w:left="0"/>
      </w:pPr>
      <w:r>
        <w:rPr>
          <w:rFonts w:ascii="Calibri" w:hAnsi="Calibri"/>
          <w:b w:val="0"/>
          <w:i w:val="0"/>
          <w:sz w:val="20"/>
        </w:rPr>
        <w:t>Aéroport Genève : 17,8 M passagers 2024. Programme CAP2030 : 560 M CHF (rénovation terminal + Satellite 10, 2025-2032). (newsroom.gva.ch)</w:t>
      </w:r>
    </w:p>
    <w:p>
      <w:pPr>
        <w:pStyle w:val="ListBullet"/>
        <w:spacing w:before="80" w:after="80"/>
        <w:ind w:left="0"/>
      </w:pPr>
      <w:r>
        <w:rPr>
          <w:rFonts w:ascii="Calibri" w:hAnsi="Calibri"/>
          <w:b w:val="0"/>
          <w:i w:val="0"/>
          <w:sz w:val="20"/>
        </w:rPr>
        <w:t>CFF : 764 gares. Plan ferroviaire 2035 : 8,5 Mds CHF. Programme accessibilité PMR : &gt;2,5 Mds CHF d'ici 2028. Gare Lausanne en travaux 2024-2030 (550 M CHF réseau romand). (CFF / news.sbb.ch)</w:t>
      </w:r>
    </w:p>
    <w:p>
      <w:pPr>
        <w:pStyle w:val="ListBullet"/>
        <w:spacing w:before="80" w:after="80"/>
        <w:ind w:left="0"/>
      </w:pPr>
      <w:r>
        <w:rPr>
          <w:rFonts w:ascii="Calibri" w:hAnsi="Calibri"/>
          <w:b w:val="0"/>
          <w:i w:val="0"/>
          <w:sz w:val="20"/>
        </w:rPr>
        <w:t>Aéroports ZRH (Zurich) et BSL (Bâle-Mulhouse) : [DONNÉE NON DISPONIBLE — projets spécifiques]. Autoroutes / aires de repos : FORTA (CHF 3 Mds/an).</w:t>
      </w:r>
    </w:p>
    <w:p>
      <w:pPr>
        <w:pStyle w:val="Heading2"/>
        <w:spacing w:before="280" w:after="120"/>
      </w:pPr>
      <w:r>
        <w:rPr>
          <w:rFonts w:ascii="Calibri" w:hAnsi="Calibri"/>
          <w:color w:val="595959"/>
        </w:rPr>
        <w:t>4.12 Opportunités Presto par segment — Synthèse</w:t>
      </w:r>
    </w:p>
    <w:p>
      <w:pPr>
        <w:spacing w:before="80" w:after="80"/>
      </w:pPr>
      <w:r>
        <w:rPr>
          <w:rFonts w:ascii="Calibri" w:hAnsi="Calibri"/>
          <w:b w:val="0"/>
          <w:i/>
          <w:color w:val="595959"/>
          <w:sz w:val="18"/>
        </w:rPr>
        <w:t>⚠ Classement par potentiel décroissant. Score 1 (très faible) à 5 (très fort).</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val="clear" w:color="auto" w:fill="EBEBEB"/>
          </w:tcPr>
          <w:p>
            <w:r>
              <w:rPr>
                <w:rFonts w:ascii="Calibri" w:hAnsi="Calibri"/>
              </w:rPr>
            </w:r>
            <w:r>
              <w:rPr>
                <w:rFonts w:ascii="Calibri" w:hAnsi="Calibri"/>
                <w:b/>
                <w:color w:val="595959"/>
                <w:sz w:val="16"/>
              </w:rPr>
              <w:t>Segment</w:t>
            </w:r>
          </w:p>
        </w:tc>
        <w:tc>
          <w:tcPr>
            <w:tcW w:type="dxa" w:w="1881"/>
            <w:shd w:val="clear" w:color="auto" w:fill="EBEBEB"/>
          </w:tcPr>
          <w:p>
            <w:r>
              <w:rPr>
                <w:rFonts w:ascii="Calibri" w:hAnsi="Calibri"/>
              </w:rPr>
            </w:r>
            <w:r>
              <w:rPr>
                <w:rFonts w:ascii="Calibri" w:hAnsi="Calibri"/>
                <w:b/>
                <w:color w:val="595959"/>
                <w:sz w:val="16"/>
              </w:rPr>
              <w:t>Score</w:t>
            </w:r>
          </w:p>
        </w:tc>
        <w:tc>
          <w:tcPr>
            <w:tcW w:type="dxa" w:w="1881"/>
            <w:shd w:val="clear" w:color="auto" w:fill="EBEBEB"/>
          </w:tcPr>
          <w:p>
            <w:r>
              <w:rPr>
                <w:rFonts w:ascii="Calibri" w:hAnsi="Calibri"/>
              </w:rPr>
            </w:r>
            <w:r>
              <w:rPr>
                <w:rFonts w:ascii="Calibri" w:hAnsi="Calibri"/>
                <w:b/>
                <w:color w:val="595959"/>
                <w:sz w:val="16"/>
              </w:rPr>
              <w:t>Types de produits Presto</w:t>
            </w:r>
          </w:p>
        </w:tc>
        <w:tc>
          <w:tcPr>
            <w:tcW w:type="dxa" w:w="1881"/>
            <w:shd w:val="clear" w:color="auto" w:fill="EBEBEB"/>
          </w:tcPr>
          <w:p>
            <w:r>
              <w:rPr>
                <w:rFonts w:ascii="Calibri" w:hAnsi="Calibri"/>
              </w:rPr>
            </w:r>
            <w:r>
              <w:rPr>
                <w:rFonts w:ascii="Calibri" w:hAnsi="Calibri"/>
                <w:b/>
                <w:color w:val="595959"/>
                <w:sz w:val="16"/>
              </w:rPr>
              <w:t>Arguments clés</w:t>
            </w:r>
          </w:p>
        </w:tc>
        <w:tc>
          <w:tcPr>
            <w:tcW w:type="dxa" w:w="1881"/>
            <w:shd w:val="clear" w:color="auto" w:fill="EBEBEB"/>
          </w:tcPr>
          <w:p>
            <w:r>
              <w:rPr>
                <w:rFonts w:ascii="Calibri" w:hAnsi="Calibri"/>
              </w:rPr>
            </w:r>
            <w:r>
              <w:rPr>
                <w:rFonts w:ascii="Calibri" w:hAnsi="Calibri"/>
                <w:b/>
                <w:color w:val="595959"/>
                <w:sz w:val="16"/>
              </w:rPr>
              <w:t>Canal prioritaire</w:t>
            </w:r>
          </w:p>
        </w:tc>
      </w:tr>
      <w:tr>
        <w:tc>
          <w:tcPr>
            <w:tcW w:type="dxa" w:w="1881"/>
          </w:tcPr>
          <w:p>
            <w:r>
              <w:rPr>
                <w:rFonts w:ascii="Calibri" w:hAnsi="Calibri"/>
              </w:rPr>
            </w:r>
            <w:r>
              <w:rPr>
                <w:rFonts w:ascii="Calibri" w:hAnsi="Calibri"/>
                <w:sz w:val="16"/>
              </w:rPr>
              <w:t>4.2 Santé / EMS</w:t>
            </w:r>
          </w:p>
        </w:tc>
        <w:tc>
          <w:tcPr>
            <w:tcW w:type="dxa" w:w="1881"/>
          </w:tcPr>
          <w:p>
            <w:r>
              <w:rPr>
                <w:rFonts w:ascii="Calibri" w:hAnsi="Calibri"/>
              </w:rPr>
            </w:r>
            <w:r>
              <w:rPr>
                <w:rFonts w:ascii="Calibri" w:hAnsi="Calibri"/>
                <w:sz w:val="16"/>
              </w:rPr>
              <w:t>5/5</w:t>
            </w:r>
          </w:p>
        </w:tc>
        <w:tc>
          <w:tcPr>
            <w:tcW w:type="dxa" w:w="1881"/>
          </w:tcPr>
          <w:p>
            <w:r>
              <w:rPr>
                <w:rFonts w:ascii="Calibri" w:hAnsi="Calibri"/>
              </w:rPr>
            </w:r>
            <w:r>
              <w:rPr>
                <w:rFonts w:ascii="Calibri" w:hAnsi="Calibri"/>
                <w:sz w:val="16"/>
              </w:rPr>
              <w:t>Temporisée hospitalière, infrarouge, anti-brûlure, PMR, anti-arrachement psychiatrie</w:t>
            </w:r>
          </w:p>
        </w:tc>
        <w:tc>
          <w:tcPr>
            <w:tcW w:type="dxa" w:w="1881"/>
          </w:tcPr>
          <w:p>
            <w:r>
              <w:rPr>
                <w:rFonts w:ascii="Calibri" w:hAnsi="Calibri"/>
              </w:rPr>
            </w:r>
            <w:r>
              <w:rPr>
                <w:rFonts w:ascii="Calibri" w:hAnsi="Calibri"/>
                <w:sz w:val="16"/>
              </w:rPr>
              <w:t>Hygiène anti-legionella, exigences techniques élevées, pipelines pluriannuels</w:t>
            </w:r>
          </w:p>
        </w:tc>
        <w:tc>
          <w:tcPr>
            <w:tcW w:type="dxa" w:w="1881"/>
          </w:tcPr>
          <w:p>
            <w:r>
              <w:rPr>
                <w:rFonts w:ascii="Calibri" w:hAnsi="Calibri"/>
              </w:rPr>
            </w:r>
            <w:r>
              <w:rPr>
                <w:rFonts w:ascii="Calibri" w:hAnsi="Calibri"/>
                <w:sz w:val="16"/>
              </w:rPr>
              <w:t>Prescription BET santé, marchés cantonaux (simap.ch)</w:t>
            </w:r>
          </w:p>
        </w:tc>
      </w:tr>
      <w:tr>
        <w:tc>
          <w:tcPr>
            <w:tcW w:type="dxa" w:w="1881"/>
          </w:tcPr>
          <w:p>
            <w:r>
              <w:rPr>
                <w:rFonts w:ascii="Calibri" w:hAnsi="Calibri"/>
              </w:rPr>
            </w:r>
            <w:r>
              <w:rPr>
                <w:rFonts w:ascii="Calibri" w:hAnsi="Calibri"/>
                <w:sz w:val="16"/>
              </w:rPr>
              <w:t>4.11 Transports</w:t>
            </w:r>
          </w:p>
        </w:tc>
        <w:tc>
          <w:tcPr>
            <w:tcW w:type="dxa" w:w="1881"/>
          </w:tcPr>
          <w:p>
            <w:r>
              <w:rPr>
                <w:rFonts w:ascii="Calibri" w:hAnsi="Calibri"/>
              </w:rPr>
            </w:r>
            <w:r>
              <w:rPr>
                <w:rFonts w:ascii="Calibri" w:hAnsi="Calibri"/>
                <w:sz w:val="16"/>
              </w:rPr>
              <w:t>5/5</w:t>
            </w:r>
          </w:p>
        </w:tc>
        <w:tc>
          <w:tcPr>
            <w:tcW w:type="dxa" w:w="1881"/>
          </w:tcPr>
          <w:p>
            <w:r>
              <w:rPr>
                <w:rFonts w:ascii="Calibri" w:hAnsi="Calibri"/>
              </w:rPr>
            </w:r>
            <w:r>
              <w:rPr>
                <w:rFonts w:ascii="Calibri" w:hAnsi="Calibri"/>
                <w:sz w:val="16"/>
              </w:rPr>
              <w:t>Temporisée haute durabilité, infrarouge, PMR, économiseurs eau</w:t>
            </w:r>
          </w:p>
        </w:tc>
        <w:tc>
          <w:tcPr>
            <w:tcW w:type="dxa" w:w="1881"/>
          </w:tcPr>
          <w:p>
            <w:r>
              <w:rPr>
                <w:rFonts w:ascii="Calibri" w:hAnsi="Calibri"/>
              </w:rPr>
            </w:r>
            <w:r>
              <w:rPr>
                <w:rFonts w:ascii="Calibri" w:hAnsi="Calibri"/>
                <w:sz w:val="16"/>
              </w:rPr>
              <w:t>Fréquentation 24h/24, accessibilité obligatoire CFF, robustesse</w:t>
            </w:r>
          </w:p>
        </w:tc>
        <w:tc>
          <w:tcPr>
            <w:tcW w:type="dxa" w:w="1881"/>
          </w:tcPr>
          <w:p>
            <w:r>
              <w:rPr>
                <w:rFonts w:ascii="Calibri" w:hAnsi="Calibri"/>
              </w:rPr>
            </w:r>
            <w:r>
              <w:rPr>
                <w:rFonts w:ascii="Calibri" w:hAnsi="Calibri"/>
                <w:sz w:val="16"/>
              </w:rPr>
              <w:t>CFF marchés publics, GVA CAP2030 (simap.ch)</w:t>
            </w:r>
          </w:p>
        </w:tc>
      </w:tr>
      <w:tr>
        <w:tc>
          <w:tcPr>
            <w:tcW w:type="dxa" w:w="1881"/>
          </w:tcPr>
          <w:p>
            <w:r>
              <w:rPr>
                <w:rFonts w:ascii="Calibri" w:hAnsi="Calibri"/>
              </w:rPr>
            </w:r>
            <w:r>
              <w:rPr>
                <w:rFonts w:ascii="Calibri" w:hAnsi="Calibri"/>
                <w:sz w:val="16"/>
              </w:rPr>
              <w:t>4.5 CHR</w:t>
            </w:r>
          </w:p>
        </w:tc>
        <w:tc>
          <w:tcPr>
            <w:tcW w:type="dxa" w:w="1881"/>
          </w:tcPr>
          <w:p>
            <w:r>
              <w:rPr>
                <w:rFonts w:ascii="Calibri" w:hAnsi="Calibri"/>
              </w:rPr>
            </w:r>
            <w:r>
              <w:rPr>
                <w:rFonts w:ascii="Calibri" w:hAnsi="Calibri"/>
                <w:sz w:val="16"/>
              </w:rPr>
              <w:t>4/5</w:t>
            </w:r>
          </w:p>
        </w:tc>
        <w:tc>
          <w:tcPr>
            <w:tcW w:type="dxa" w:w="1881"/>
          </w:tcPr>
          <w:p>
            <w:r>
              <w:rPr>
                <w:rFonts w:ascii="Calibri" w:hAnsi="Calibri"/>
              </w:rPr>
            </w:r>
            <w:r>
              <w:rPr>
                <w:rFonts w:ascii="Calibri" w:hAnsi="Calibri"/>
                <w:sz w:val="16"/>
              </w:rPr>
              <w:t>Mitigeurs thermostatiques, design, économiseurs</w:t>
            </w:r>
          </w:p>
        </w:tc>
        <w:tc>
          <w:tcPr>
            <w:tcW w:type="dxa" w:w="1881"/>
          </w:tcPr>
          <w:p>
            <w:r>
              <w:rPr>
                <w:rFonts w:ascii="Calibri" w:hAnsi="Calibri"/>
              </w:rPr>
            </w:r>
            <w:r>
              <w:rPr>
                <w:rFonts w:ascii="Calibri" w:hAnsi="Calibri"/>
                <w:sz w:val="16"/>
              </w:rPr>
              <w:t>Record nuitées 2024, marché premium, durabilité</w:t>
            </w:r>
          </w:p>
        </w:tc>
        <w:tc>
          <w:tcPr>
            <w:tcW w:type="dxa" w:w="1881"/>
          </w:tcPr>
          <w:p>
            <w:r>
              <w:rPr>
                <w:rFonts w:ascii="Calibri" w:hAnsi="Calibri"/>
              </w:rPr>
            </w:r>
            <w:r>
              <w:rPr>
                <w:rFonts w:ascii="Calibri" w:hAnsi="Calibri"/>
                <w:sz w:val="16"/>
              </w:rPr>
              <w:t>Grossistes (Meier Tobler), architectes intérieur hôtels</w:t>
            </w:r>
          </w:p>
        </w:tc>
      </w:tr>
      <w:tr>
        <w:tc>
          <w:tcPr>
            <w:tcW w:type="dxa" w:w="1881"/>
          </w:tcPr>
          <w:p>
            <w:r>
              <w:rPr>
                <w:rFonts w:ascii="Calibri" w:hAnsi="Calibri"/>
              </w:rPr>
            </w:r>
            <w:r>
              <w:rPr>
                <w:rFonts w:ascii="Calibri" w:hAnsi="Calibri"/>
                <w:sz w:val="16"/>
              </w:rPr>
              <w:t>4.1 Éducation</w:t>
            </w:r>
          </w:p>
        </w:tc>
        <w:tc>
          <w:tcPr>
            <w:tcW w:type="dxa" w:w="1881"/>
          </w:tcPr>
          <w:p>
            <w:r>
              <w:rPr>
                <w:rFonts w:ascii="Calibri" w:hAnsi="Calibri"/>
              </w:rPr>
            </w:r>
            <w:r>
              <w:rPr>
                <w:rFonts w:ascii="Calibri" w:hAnsi="Calibri"/>
                <w:sz w:val="16"/>
              </w:rPr>
              <w:t>4/5</w:t>
            </w:r>
          </w:p>
        </w:tc>
        <w:tc>
          <w:tcPr>
            <w:tcW w:type="dxa" w:w="1881"/>
          </w:tcPr>
          <w:p>
            <w:r>
              <w:rPr>
                <w:rFonts w:ascii="Calibri" w:hAnsi="Calibri"/>
              </w:rPr>
            </w:r>
            <w:r>
              <w:rPr>
                <w:rFonts w:ascii="Calibri" w:hAnsi="Calibri"/>
                <w:sz w:val="16"/>
              </w:rPr>
              <w:t>Temporisateurs push-button, infrarouge, PMR (SIA 500)</w:t>
            </w:r>
          </w:p>
        </w:tc>
        <w:tc>
          <w:tcPr>
            <w:tcW w:type="dxa" w:w="1881"/>
          </w:tcPr>
          <w:p>
            <w:r>
              <w:rPr>
                <w:rFonts w:ascii="Calibri" w:hAnsi="Calibri"/>
              </w:rPr>
            </w:r>
            <w:r>
              <w:rPr>
                <w:rFonts w:ascii="Calibri" w:hAnsi="Calibri"/>
                <w:sz w:val="16"/>
              </w:rPr>
              <w:t>Économie eau, hygiène post-COVID, robustesse, SIA 500</w:t>
            </w:r>
          </w:p>
        </w:tc>
        <w:tc>
          <w:tcPr>
            <w:tcW w:type="dxa" w:w="1881"/>
          </w:tcPr>
          <w:p>
            <w:r>
              <w:rPr>
                <w:rFonts w:ascii="Calibri" w:hAnsi="Calibri"/>
              </w:rPr>
            </w:r>
            <w:r>
              <w:rPr>
                <w:rFonts w:ascii="Calibri" w:hAnsi="Calibri"/>
                <w:sz w:val="16"/>
              </w:rPr>
              <w:t>Communes, cantons, simap.ch</w:t>
            </w:r>
          </w:p>
        </w:tc>
      </w:tr>
      <w:tr>
        <w:tc>
          <w:tcPr>
            <w:tcW w:type="dxa" w:w="1881"/>
          </w:tcPr>
          <w:p>
            <w:r>
              <w:rPr>
                <w:rFonts w:ascii="Calibri" w:hAnsi="Calibri"/>
              </w:rPr>
            </w:r>
            <w:r>
              <w:rPr>
                <w:rFonts w:ascii="Calibri" w:hAnsi="Calibri"/>
                <w:sz w:val="16"/>
              </w:rPr>
              <w:t>4.7 Sport &amp; Loisirs</w:t>
            </w:r>
          </w:p>
        </w:tc>
        <w:tc>
          <w:tcPr>
            <w:tcW w:type="dxa" w:w="1881"/>
          </w:tcPr>
          <w:p>
            <w:r>
              <w:rPr>
                <w:rFonts w:ascii="Calibri" w:hAnsi="Calibri"/>
              </w:rPr>
            </w:r>
            <w:r>
              <w:rPr>
                <w:rFonts w:ascii="Calibri" w:hAnsi="Calibri"/>
                <w:sz w:val="16"/>
              </w:rPr>
              <w:t>3/5</w:t>
            </w:r>
          </w:p>
        </w:tc>
        <w:tc>
          <w:tcPr>
            <w:tcW w:type="dxa" w:w="1881"/>
          </w:tcPr>
          <w:p>
            <w:r>
              <w:rPr>
                <w:rFonts w:ascii="Calibri" w:hAnsi="Calibri"/>
              </w:rPr>
            </w:r>
            <w:r>
              <w:rPr>
                <w:rFonts w:ascii="Calibri" w:hAnsi="Calibri"/>
                <w:sz w:val="16"/>
              </w:rPr>
              <w:t>Temporisateurs douche, push-button piscines</w:t>
            </w:r>
          </w:p>
        </w:tc>
        <w:tc>
          <w:tcPr>
            <w:tcW w:type="dxa" w:w="1881"/>
          </w:tcPr>
          <w:p>
            <w:r>
              <w:rPr>
                <w:rFonts w:ascii="Calibri" w:hAnsi="Calibri"/>
              </w:rPr>
            </w:r>
            <w:r>
              <w:rPr>
                <w:rFonts w:ascii="Calibri" w:hAnsi="Calibri"/>
                <w:sz w:val="16"/>
              </w:rPr>
              <w:t>Économie eau, hygiène, PMR, 32 000 installations</w:t>
            </w:r>
          </w:p>
        </w:tc>
        <w:tc>
          <w:tcPr>
            <w:tcW w:type="dxa" w:w="1881"/>
          </w:tcPr>
          <w:p>
            <w:r>
              <w:rPr>
                <w:rFonts w:ascii="Calibri" w:hAnsi="Calibri"/>
              </w:rPr>
            </w:r>
            <w:r>
              <w:rPr>
                <w:rFonts w:ascii="Calibri" w:hAnsi="Calibri"/>
                <w:sz w:val="16"/>
              </w:rPr>
              <w:t>Collectivités locales, BET sport</w:t>
            </w:r>
          </w:p>
        </w:tc>
      </w:tr>
      <w:tr>
        <w:tc>
          <w:tcPr>
            <w:tcW w:type="dxa" w:w="1881"/>
          </w:tcPr>
          <w:p>
            <w:r>
              <w:rPr>
                <w:rFonts w:ascii="Calibri" w:hAnsi="Calibri"/>
              </w:rPr>
            </w:r>
            <w:r>
              <w:rPr>
                <w:rFonts w:ascii="Calibri" w:hAnsi="Calibri"/>
                <w:sz w:val="16"/>
              </w:rPr>
              <w:t>4.3 Tertiaire</w:t>
            </w:r>
          </w:p>
        </w:tc>
        <w:tc>
          <w:tcPr>
            <w:tcW w:type="dxa" w:w="1881"/>
          </w:tcPr>
          <w:p>
            <w:r>
              <w:rPr>
                <w:rFonts w:ascii="Calibri" w:hAnsi="Calibri"/>
              </w:rPr>
            </w:r>
            <w:r>
              <w:rPr>
                <w:rFonts w:ascii="Calibri" w:hAnsi="Calibri"/>
                <w:sz w:val="16"/>
              </w:rPr>
              <w:t>3/5</w:t>
            </w:r>
          </w:p>
        </w:tc>
        <w:tc>
          <w:tcPr>
            <w:tcW w:type="dxa" w:w="1881"/>
          </w:tcPr>
          <w:p>
            <w:r>
              <w:rPr>
                <w:rFonts w:ascii="Calibri" w:hAnsi="Calibri"/>
              </w:rPr>
            </w:r>
            <w:r>
              <w:rPr>
                <w:rFonts w:ascii="Calibri" w:hAnsi="Calibri"/>
                <w:sz w:val="16"/>
              </w:rPr>
              <w:t>Temporisateurs, infrarouge, économiseurs</w:t>
            </w:r>
          </w:p>
        </w:tc>
        <w:tc>
          <w:tcPr>
            <w:tcW w:type="dxa" w:w="1881"/>
          </w:tcPr>
          <w:p>
            <w:r>
              <w:rPr>
                <w:rFonts w:ascii="Calibri" w:hAnsi="Calibri"/>
              </w:rPr>
            </w:r>
            <w:r>
              <w:rPr>
                <w:rFonts w:ascii="Calibri" w:hAnsi="Calibri"/>
                <w:sz w:val="16"/>
              </w:rPr>
              <w:t>Smart building, niche multinationales premium</w:t>
            </w:r>
          </w:p>
        </w:tc>
        <w:tc>
          <w:tcPr>
            <w:tcW w:type="dxa" w:w="1881"/>
          </w:tcPr>
          <w:p>
            <w:r>
              <w:rPr>
                <w:rFonts w:ascii="Calibri" w:hAnsi="Calibri"/>
              </w:rPr>
            </w:r>
            <w:r>
              <w:rPr>
                <w:rFonts w:ascii="Calibri" w:hAnsi="Calibri"/>
                <w:sz w:val="16"/>
              </w:rPr>
              <w:t>Architectes, BET, prescripteurs BIM</w:t>
            </w:r>
          </w:p>
        </w:tc>
      </w:tr>
      <w:tr>
        <w:tc>
          <w:tcPr>
            <w:tcW w:type="dxa" w:w="1881"/>
          </w:tcPr>
          <w:p>
            <w:r>
              <w:rPr>
                <w:rFonts w:ascii="Calibri" w:hAnsi="Calibri"/>
              </w:rPr>
            </w:r>
            <w:r>
              <w:rPr>
                <w:rFonts w:ascii="Calibri" w:hAnsi="Calibri"/>
                <w:sz w:val="16"/>
              </w:rPr>
              <w:t>4.8 Pénitentiaire</w:t>
            </w:r>
          </w:p>
        </w:tc>
        <w:tc>
          <w:tcPr>
            <w:tcW w:type="dxa" w:w="1881"/>
          </w:tcPr>
          <w:p>
            <w:r>
              <w:rPr>
                <w:rFonts w:ascii="Calibri" w:hAnsi="Calibri"/>
              </w:rPr>
            </w:r>
            <w:r>
              <w:rPr>
                <w:rFonts w:ascii="Calibri" w:hAnsi="Calibri"/>
                <w:sz w:val="16"/>
              </w:rPr>
              <w:t>3/5</w:t>
            </w:r>
          </w:p>
        </w:tc>
        <w:tc>
          <w:tcPr>
            <w:tcW w:type="dxa" w:w="1881"/>
          </w:tcPr>
          <w:p>
            <w:r>
              <w:rPr>
                <w:rFonts w:ascii="Calibri" w:hAnsi="Calibri"/>
              </w:rPr>
            </w:r>
            <w:r>
              <w:rPr>
                <w:rFonts w:ascii="Calibri" w:hAnsi="Calibri"/>
                <w:sz w:val="16"/>
              </w:rPr>
              <w:t>Inox anti-vandalisme, encastrée, anti-arrachement</w:t>
            </w:r>
          </w:p>
        </w:tc>
        <w:tc>
          <w:tcPr>
            <w:tcW w:type="dxa" w:w="1881"/>
          </w:tcPr>
          <w:p>
            <w:r>
              <w:rPr>
                <w:rFonts w:ascii="Calibri" w:hAnsi="Calibri"/>
              </w:rPr>
            </w:r>
            <w:r>
              <w:rPr>
                <w:rFonts w:ascii="Calibri" w:hAnsi="Calibri"/>
                <w:sz w:val="16"/>
              </w:rPr>
              <w:t>Indestructibilité, saturation prisons = rénov./constructions</w:t>
            </w:r>
          </w:p>
        </w:tc>
        <w:tc>
          <w:tcPr>
            <w:tcW w:type="dxa" w:w="1881"/>
          </w:tcPr>
          <w:p>
            <w:r>
              <w:rPr>
                <w:rFonts w:ascii="Calibri" w:hAnsi="Calibri"/>
              </w:rPr>
            </w:r>
            <w:r>
              <w:rPr>
                <w:rFonts w:ascii="Calibri" w:hAnsi="Calibri"/>
                <w:sz w:val="16"/>
              </w:rPr>
              <w:t>Cantons, administrations pénitentiaires, simap.ch</w:t>
            </w:r>
          </w:p>
        </w:tc>
      </w:tr>
      <w:tr>
        <w:tc>
          <w:tcPr>
            <w:tcW w:type="dxa" w:w="1881"/>
          </w:tcPr>
          <w:p>
            <w:r>
              <w:rPr>
                <w:rFonts w:ascii="Calibri" w:hAnsi="Calibri"/>
              </w:rPr>
            </w:r>
            <w:r>
              <w:rPr>
                <w:rFonts w:ascii="Calibri" w:hAnsi="Calibri"/>
                <w:sz w:val="16"/>
              </w:rPr>
              <w:t>4.4 Industrie</w:t>
            </w:r>
          </w:p>
        </w:tc>
        <w:tc>
          <w:tcPr>
            <w:tcW w:type="dxa" w:w="1881"/>
          </w:tcPr>
          <w:p>
            <w:r>
              <w:rPr>
                <w:rFonts w:ascii="Calibri" w:hAnsi="Calibri"/>
              </w:rPr>
            </w:r>
            <w:r>
              <w:rPr>
                <w:rFonts w:ascii="Calibri" w:hAnsi="Calibri"/>
                <w:sz w:val="16"/>
              </w:rPr>
              <w:t>2/5</w:t>
            </w:r>
          </w:p>
        </w:tc>
        <w:tc>
          <w:tcPr>
            <w:tcW w:type="dxa" w:w="1881"/>
          </w:tcPr>
          <w:p>
            <w:r>
              <w:rPr>
                <w:rFonts w:ascii="Calibri" w:hAnsi="Calibri"/>
              </w:rPr>
            </w:r>
            <w:r>
              <w:rPr>
                <w:rFonts w:ascii="Calibri" w:hAnsi="Calibri"/>
                <w:sz w:val="16"/>
              </w:rPr>
              <w:t>Inox, temporisateurs process</w:t>
            </w:r>
          </w:p>
        </w:tc>
        <w:tc>
          <w:tcPr>
            <w:tcW w:type="dxa" w:w="1881"/>
          </w:tcPr>
          <w:p>
            <w:r>
              <w:rPr>
                <w:rFonts w:ascii="Calibri" w:hAnsi="Calibri"/>
              </w:rPr>
            </w:r>
            <w:r>
              <w:rPr>
                <w:rFonts w:ascii="Calibri" w:hAnsi="Calibri"/>
                <w:sz w:val="16"/>
              </w:rPr>
              <w:t>Hygiène pharma, résistance corrosion</w:t>
            </w:r>
          </w:p>
        </w:tc>
        <w:tc>
          <w:tcPr>
            <w:tcW w:type="dxa" w:w="1881"/>
          </w:tcPr>
          <w:p>
            <w:r>
              <w:rPr>
                <w:rFonts w:ascii="Calibri" w:hAnsi="Calibri"/>
              </w:rPr>
            </w:r>
            <w:r>
              <w:rPr>
                <w:rFonts w:ascii="Calibri" w:hAnsi="Calibri"/>
                <w:sz w:val="16"/>
              </w:rPr>
              <w:t>BET process, installateurs spécialisés</w:t>
            </w:r>
          </w:p>
        </w:tc>
      </w:tr>
      <w:tr>
        <w:tc>
          <w:tcPr>
            <w:tcW w:type="dxa" w:w="1881"/>
          </w:tcPr>
          <w:p>
            <w:r>
              <w:rPr>
                <w:rFonts w:ascii="Calibri" w:hAnsi="Calibri"/>
              </w:rPr>
            </w:r>
            <w:r>
              <w:rPr>
                <w:rFonts w:ascii="Calibri" w:hAnsi="Calibri"/>
                <w:sz w:val="16"/>
              </w:rPr>
              <w:t>4.6 HPA</w:t>
            </w:r>
          </w:p>
        </w:tc>
        <w:tc>
          <w:tcPr>
            <w:tcW w:type="dxa" w:w="1881"/>
          </w:tcPr>
          <w:p>
            <w:r>
              <w:rPr>
                <w:rFonts w:ascii="Calibri" w:hAnsi="Calibri"/>
              </w:rPr>
            </w:r>
            <w:r>
              <w:rPr>
                <w:rFonts w:ascii="Calibri" w:hAnsi="Calibri"/>
                <w:sz w:val="16"/>
              </w:rPr>
              <w:t>2/5</w:t>
            </w:r>
          </w:p>
        </w:tc>
        <w:tc>
          <w:tcPr>
            <w:tcW w:type="dxa" w:w="1881"/>
          </w:tcPr>
          <w:p>
            <w:r>
              <w:rPr>
                <w:rFonts w:ascii="Calibri" w:hAnsi="Calibri"/>
              </w:rPr>
            </w:r>
            <w:r>
              <w:rPr>
                <w:rFonts w:ascii="Calibri" w:hAnsi="Calibri"/>
                <w:sz w:val="16"/>
              </w:rPr>
              <w:t>Économiseurs, temporisateurs</w:t>
            </w:r>
          </w:p>
        </w:tc>
        <w:tc>
          <w:tcPr>
            <w:tcW w:type="dxa" w:w="1881"/>
          </w:tcPr>
          <w:p>
            <w:r>
              <w:rPr>
                <w:rFonts w:ascii="Calibri" w:hAnsi="Calibri"/>
              </w:rPr>
            </w:r>
            <w:r>
              <w:rPr>
                <w:rFonts w:ascii="Calibri" w:hAnsi="Calibri"/>
                <w:sz w:val="16"/>
              </w:rPr>
              <w:t>Tourisme montagne premium</w:t>
            </w:r>
          </w:p>
        </w:tc>
        <w:tc>
          <w:tcPr>
            <w:tcW w:type="dxa" w:w="1881"/>
          </w:tcPr>
          <w:p>
            <w:r>
              <w:rPr>
                <w:rFonts w:ascii="Calibri" w:hAnsi="Calibri"/>
              </w:rPr>
            </w:r>
            <w:r>
              <w:rPr>
                <w:rFonts w:ascii="Calibri" w:hAnsi="Calibri"/>
                <w:sz w:val="16"/>
              </w:rPr>
              <w:t>Groupes camping (TCS)</w:t>
            </w:r>
          </w:p>
        </w:tc>
      </w:tr>
      <w:tr>
        <w:tc>
          <w:tcPr>
            <w:tcW w:type="dxa" w:w="1881"/>
          </w:tcPr>
          <w:p>
            <w:r>
              <w:rPr>
                <w:rFonts w:ascii="Calibri" w:hAnsi="Calibri"/>
              </w:rPr>
            </w:r>
            <w:r>
              <w:rPr>
                <w:rFonts w:ascii="Calibri" w:hAnsi="Calibri"/>
                <w:sz w:val="16"/>
              </w:rPr>
              <w:t>4.9 Culturel</w:t>
            </w:r>
          </w:p>
        </w:tc>
        <w:tc>
          <w:tcPr>
            <w:tcW w:type="dxa" w:w="1881"/>
          </w:tcPr>
          <w:p>
            <w:r>
              <w:rPr>
                <w:rFonts w:ascii="Calibri" w:hAnsi="Calibri"/>
              </w:rPr>
            </w:r>
            <w:r>
              <w:rPr>
                <w:rFonts w:ascii="Calibri" w:hAnsi="Calibri"/>
                <w:sz w:val="16"/>
              </w:rPr>
              <w:t>2/5</w:t>
            </w:r>
          </w:p>
        </w:tc>
        <w:tc>
          <w:tcPr>
            <w:tcW w:type="dxa" w:w="1881"/>
          </w:tcPr>
          <w:p>
            <w:r>
              <w:rPr>
                <w:rFonts w:ascii="Calibri" w:hAnsi="Calibri"/>
              </w:rPr>
            </w:r>
            <w:r>
              <w:rPr>
                <w:rFonts w:ascii="Calibri" w:hAnsi="Calibri"/>
                <w:sz w:val="16"/>
              </w:rPr>
              <w:t>Ponctuel</w:t>
            </w:r>
          </w:p>
        </w:tc>
        <w:tc>
          <w:tcPr>
            <w:tcW w:type="dxa" w:w="1881"/>
          </w:tcPr>
          <w:p>
            <w:r>
              <w:rPr>
                <w:rFonts w:ascii="Calibri" w:hAnsi="Calibri"/>
              </w:rPr>
            </w:r>
            <w:r>
              <w:rPr>
                <w:rFonts w:ascii="Calibri" w:hAnsi="Calibri"/>
                <w:sz w:val="16"/>
              </w:rPr>
              <w:t>Musées réputés, qualité premium</w:t>
            </w:r>
          </w:p>
        </w:tc>
        <w:tc>
          <w:tcPr>
            <w:tcW w:type="dxa" w:w="1881"/>
          </w:tcPr>
          <w:p>
            <w:r>
              <w:rPr>
                <w:rFonts w:ascii="Calibri" w:hAnsi="Calibri"/>
              </w:rPr>
            </w:r>
            <w:r>
              <w:rPr>
                <w:rFonts w:ascii="Calibri" w:hAnsi="Calibri"/>
                <w:sz w:val="16"/>
              </w:rPr>
              <w:t>Ponctuel</w:t>
            </w:r>
          </w:p>
        </w:tc>
      </w:tr>
      <w:tr>
        <w:tc>
          <w:tcPr>
            <w:tcW w:type="dxa" w:w="1881"/>
          </w:tcPr>
          <w:p>
            <w:r>
              <w:rPr>
                <w:rFonts w:ascii="Calibri" w:hAnsi="Calibri"/>
              </w:rPr>
            </w:r>
            <w:r>
              <w:rPr>
                <w:rFonts w:ascii="Calibri" w:hAnsi="Calibri"/>
                <w:sz w:val="16"/>
              </w:rPr>
              <w:t>4.10 Culte</w:t>
            </w:r>
          </w:p>
        </w:tc>
        <w:tc>
          <w:tcPr>
            <w:tcW w:type="dxa" w:w="1881"/>
          </w:tcPr>
          <w:p>
            <w:r>
              <w:rPr>
                <w:rFonts w:ascii="Calibri" w:hAnsi="Calibri"/>
              </w:rPr>
            </w:r>
            <w:r>
              <w:rPr>
                <w:rFonts w:ascii="Calibri" w:hAnsi="Calibri"/>
                <w:sz w:val="16"/>
              </w:rPr>
              <w:t>1/5</w:t>
            </w:r>
          </w:p>
        </w:tc>
        <w:tc>
          <w:tcPr>
            <w:tcW w:type="dxa" w:w="1881"/>
          </w:tcPr>
          <w:p>
            <w:r>
              <w:rPr>
                <w:rFonts w:ascii="Calibri" w:hAnsi="Calibri"/>
              </w:rPr>
            </w:r>
            <w:r>
              <w:rPr>
                <w:rFonts w:ascii="Calibri" w:hAnsi="Calibri"/>
                <w:sz w:val="16"/>
              </w:rPr>
              <w:t>Résiduel</w:t>
            </w:r>
          </w:p>
        </w:tc>
        <w:tc>
          <w:tcPr>
            <w:tcW w:type="dxa" w:w="1881"/>
          </w:tcPr>
          <w:p>
            <w:r>
              <w:rPr>
                <w:rFonts w:ascii="Calibri" w:hAnsi="Calibri"/>
              </w:rPr>
            </w:r>
            <w:r>
              <w:rPr>
                <w:rFonts w:ascii="Calibri" w:hAnsi="Calibri"/>
                <w:sz w:val="16"/>
              </w:rPr>
              <w:t>Sécularisation accélérée</w:t>
            </w:r>
          </w:p>
        </w:tc>
        <w:tc>
          <w:tcPr>
            <w:tcW w:type="dxa" w:w="1881"/>
          </w:tcPr>
          <w:p>
            <w:r>
              <w:rPr>
                <w:rFonts w:ascii="Calibri" w:hAnsi="Calibri"/>
              </w:rPr>
            </w:r>
            <w:r>
              <w:rPr>
                <w:rFonts w:ascii="Calibri" w:hAnsi="Calibri"/>
                <w:sz w:val="16"/>
              </w:rPr>
              <w:t>Non prioritaire</w:t>
            </w:r>
          </w:p>
        </w:tc>
      </w:tr>
    </w:tbl>
    <w:p>
      <w:pPr>
        <w:spacing w:before="80" w:after="80"/>
      </w:pPr>
    </w:p>
    <w:p>
      <w:pPr>
        <w:spacing w:before="80" w:after="80"/>
      </w:pPr>
      <w:r>
        <w:rPr>
          <w:rFonts w:ascii="Calibri" w:hAnsi="Calibri"/>
          <w:b w:val="0"/>
          <w:i w:val="0"/>
          <w:sz w:val="20"/>
        </w:rPr>
        <w:t>Priorités absolues : Santé/EMS (5/5) · Transports (5/5) · CHR (4/5) · Éducation (4/5). Suisse romande = porte d'entrée francophone naturelle.</w:t>
      </w:r>
    </w:p>
    <w:p>
      <w:pPr>
        <w:spacing w:before="80" w:after="80"/>
      </w:pPr>
    </w:p>
    <w:p>
      <w:pPr>
        <w:pStyle w:val="Heading1"/>
        <w:pageBreakBefore/>
        <w:spacing w:before="280" w:after="120"/>
      </w:pPr>
      <w:r>
        <w:rPr>
          <w:rFonts w:ascii="Calibri" w:hAnsi="Calibri"/>
          <w:color w:val="595959"/>
        </w:rPr>
        <w:t>PARTIE 5 — TAILLE MARCHÉ : ROBINETTERIE GÉNÉRALE</w:t>
      </w:r>
    </w:p>
    <w:p>
      <w:pPr>
        <w:pStyle w:val="Heading2"/>
        <w:spacing w:before="280" w:after="120"/>
      </w:pPr>
      <w:r>
        <w:rPr>
          <w:rFonts w:ascii="Calibri" w:hAnsi="Calibri"/>
          <w:color w:val="595959"/>
        </w:rPr>
        <w:t>5.1 Taille et valeur — Estimation A (base Analyse de Marché France)</w:t>
      </w:r>
    </w:p>
    <w:p>
      <w:pPr>
        <w:spacing w:before="80" w:after="80"/>
      </w:pPr>
      <w:r>
        <w:rPr>
          <w:rFonts w:ascii="Calibri" w:hAnsi="Calibri"/>
          <w:b w:val="0"/>
          <w:i/>
          <w:color w:val="595959"/>
          <w:sz w:val="18"/>
        </w:rPr>
        <w:t>⚠ Aucune source publique ne recense la taille exacte du marché suisse de la robinetterie. Estimation par extrapolation depuis la France (protocole MAB). Pas d'étude BRG Suisse disponible : Estimation B non calculable.</w:t>
      </w:r>
    </w:p>
    <w:p>
      <w:pPr>
        <w:pStyle w:val="Heading2"/>
        <w:spacing w:before="280" w:after="120"/>
      </w:pPr>
      <w:r>
        <w:rPr>
          <w:rFonts w:ascii="Calibri" w:hAnsi="Calibri"/>
          <w:color w:val="595959"/>
        </w:rPr>
        <w:t>Constantes de référence</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EBEBEB"/>
          </w:tcPr>
          <w:p>
            <w:r>
              <w:rPr>
                <w:rFonts w:ascii="Calibri" w:hAnsi="Calibri"/>
              </w:rPr>
            </w:r>
            <w:r>
              <w:rPr>
                <w:rFonts w:ascii="Calibri" w:hAnsi="Calibri"/>
                <w:b/>
                <w:color w:val="595959"/>
                <w:sz w:val="18"/>
              </w:rPr>
              <w:t>Variable</w:t>
            </w:r>
          </w:p>
        </w:tc>
        <w:tc>
          <w:tcPr>
            <w:tcW w:type="dxa" w:w="3135"/>
            <w:shd w:val="clear" w:color="auto" w:fill="EBEBEB"/>
          </w:tcPr>
          <w:p>
            <w:r>
              <w:rPr>
                <w:rFonts w:ascii="Calibri" w:hAnsi="Calibri"/>
              </w:rPr>
            </w:r>
            <w:r>
              <w:rPr>
                <w:rFonts w:ascii="Calibri" w:hAnsi="Calibri"/>
                <w:b/>
                <w:color w:val="595959"/>
                <w:sz w:val="18"/>
              </w:rPr>
              <w:t>Valeur</w:t>
            </w:r>
          </w:p>
        </w:tc>
        <w:tc>
          <w:tcPr>
            <w:tcW w:type="dxa" w:w="3135"/>
            <w:shd w:val="clear" w:color="auto" w:fill="EBEBEB"/>
          </w:tcPr>
          <w:p>
            <w:r>
              <w:rPr>
                <w:rFonts w:ascii="Calibri" w:hAnsi="Calibri"/>
              </w:rPr>
            </w:r>
            <w:r>
              <w:rPr>
                <w:rFonts w:ascii="Calibri" w:hAnsi="Calibri"/>
                <w:b/>
                <w:color w:val="595959"/>
                <w:sz w:val="18"/>
              </w:rPr>
              <w:t>Source</w:t>
            </w:r>
          </w:p>
        </w:tc>
      </w:tr>
      <w:tr>
        <w:tc>
          <w:tcPr>
            <w:tcW w:type="dxa" w:w="3135"/>
          </w:tcPr>
          <w:p>
            <w:r>
              <w:rPr>
                <w:rFonts w:ascii="Calibri" w:hAnsi="Calibri"/>
              </w:rPr>
            </w:r>
            <w:r>
              <w:rPr>
                <w:rFonts w:ascii="Calibri" w:hAnsi="Calibri"/>
                <w:sz w:val="18"/>
              </w:rPr>
              <w:t>PIB/hab France 2025</w:t>
            </w:r>
          </w:p>
        </w:tc>
        <w:tc>
          <w:tcPr>
            <w:tcW w:type="dxa" w:w="3135"/>
          </w:tcPr>
          <w:p>
            <w:r>
              <w:rPr>
                <w:rFonts w:ascii="Calibri" w:hAnsi="Calibri"/>
              </w:rPr>
            </w:r>
            <w:r>
              <w:rPr>
                <w:rFonts w:ascii="Calibri" w:hAnsi="Calibri"/>
                <w:sz w:val="18"/>
              </w:rPr>
              <w:t>48 982 USD</w:t>
            </w:r>
          </w:p>
        </w:tc>
        <w:tc>
          <w:tcPr>
            <w:tcW w:type="dxa" w:w="3135"/>
          </w:tcPr>
          <w:p>
            <w:r>
              <w:rPr>
                <w:rFonts w:ascii="Calibri" w:hAnsi="Calibri"/>
              </w:rPr>
            </w:r>
            <w:r>
              <w:rPr>
                <w:rFonts w:ascii="Calibri" w:hAnsi="Calibri"/>
                <w:sz w:val="18"/>
              </w:rPr>
              <w:t>Worldometer (constante MAB)</w:t>
            </w:r>
          </w:p>
        </w:tc>
      </w:tr>
      <w:tr>
        <w:tc>
          <w:tcPr>
            <w:tcW w:type="dxa" w:w="3135"/>
          </w:tcPr>
          <w:p>
            <w:r>
              <w:rPr>
                <w:rFonts w:ascii="Calibri" w:hAnsi="Calibri"/>
              </w:rPr>
            </w:r>
            <w:r>
              <w:rPr>
                <w:rFonts w:ascii="Calibri" w:hAnsi="Calibri"/>
                <w:sz w:val="18"/>
              </w:rPr>
              <w:t>Population France 2025</w:t>
            </w:r>
          </w:p>
        </w:tc>
        <w:tc>
          <w:tcPr>
            <w:tcW w:type="dxa" w:w="3135"/>
          </w:tcPr>
          <w:p>
            <w:r>
              <w:rPr>
                <w:rFonts w:ascii="Calibri" w:hAnsi="Calibri"/>
              </w:rPr>
            </w:r>
            <w:r>
              <w:rPr>
                <w:rFonts w:ascii="Calibri" w:hAnsi="Calibri"/>
                <w:sz w:val="18"/>
              </w:rPr>
              <w:t>69,1 M</w:t>
            </w:r>
          </w:p>
        </w:tc>
        <w:tc>
          <w:tcPr>
            <w:tcW w:type="dxa" w:w="3135"/>
          </w:tcPr>
          <w:p>
            <w:r>
              <w:rPr>
                <w:rFonts w:ascii="Calibri" w:hAnsi="Calibri"/>
              </w:rPr>
            </w:r>
            <w:r>
              <w:rPr>
                <w:rFonts w:ascii="Calibri" w:hAnsi="Calibri"/>
                <w:sz w:val="18"/>
              </w:rPr>
              <w:t>Worldometer (constante MAB)</w:t>
            </w:r>
          </w:p>
        </w:tc>
      </w:tr>
      <w:tr>
        <w:tc>
          <w:tcPr>
            <w:tcW w:type="dxa" w:w="3135"/>
          </w:tcPr>
          <w:p>
            <w:r>
              <w:rPr>
                <w:rFonts w:ascii="Calibri" w:hAnsi="Calibri"/>
              </w:rPr>
            </w:r>
            <w:r>
              <w:rPr>
                <w:rFonts w:ascii="Calibri" w:hAnsi="Calibri"/>
                <w:sz w:val="18"/>
              </w:rPr>
              <w:t>PIB/hab Suisse 2024</w:t>
            </w:r>
          </w:p>
        </w:tc>
        <w:tc>
          <w:tcPr>
            <w:tcW w:type="dxa" w:w="3135"/>
          </w:tcPr>
          <w:p>
            <w:r>
              <w:rPr>
                <w:rFonts w:ascii="Calibri" w:hAnsi="Calibri"/>
              </w:rPr>
            </w:r>
            <w:r>
              <w:rPr>
                <w:rFonts w:ascii="Calibri" w:hAnsi="Calibri"/>
                <w:sz w:val="18"/>
              </w:rPr>
              <w:t>89 783 USD</w:t>
            </w:r>
          </w:p>
        </w:tc>
        <w:tc>
          <w:tcPr>
            <w:tcW w:type="dxa" w:w="3135"/>
          </w:tcPr>
          <w:p>
            <w:r>
              <w:rPr>
                <w:rFonts w:ascii="Calibri" w:hAnsi="Calibri"/>
              </w:rPr>
            </w:r>
            <w:r>
              <w:rPr>
                <w:rFonts w:ascii="Calibri" w:hAnsi="Calibri"/>
                <w:sz w:val="18"/>
              </w:rPr>
              <w:t>Trading Economics / Worldometers</w:t>
            </w:r>
          </w:p>
        </w:tc>
      </w:tr>
      <w:tr>
        <w:tc>
          <w:tcPr>
            <w:tcW w:type="dxa" w:w="3135"/>
          </w:tcPr>
          <w:p>
            <w:r>
              <w:rPr>
                <w:rFonts w:ascii="Calibri" w:hAnsi="Calibri"/>
              </w:rPr>
            </w:r>
            <w:r>
              <w:rPr>
                <w:rFonts w:ascii="Calibri" w:hAnsi="Calibri"/>
                <w:sz w:val="18"/>
              </w:rPr>
              <w:t>Population Suisse 2024</w:t>
            </w:r>
          </w:p>
        </w:tc>
        <w:tc>
          <w:tcPr>
            <w:tcW w:type="dxa" w:w="3135"/>
          </w:tcPr>
          <w:p>
            <w:r>
              <w:rPr>
                <w:rFonts w:ascii="Calibri" w:hAnsi="Calibri"/>
              </w:rPr>
            </w:r>
            <w:r>
              <w:rPr>
                <w:rFonts w:ascii="Calibri" w:hAnsi="Calibri"/>
                <w:sz w:val="18"/>
              </w:rPr>
              <w:t>8,9 M</w:t>
            </w:r>
          </w:p>
        </w:tc>
        <w:tc>
          <w:tcPr>
            <w:tcW w:type="dxa" w:w="3135"/>
          </w:tcPr>
          <w:p>
            <w:r>
              <w:rPr>
                <w:rFonts w:ascii="Calibri" w:hAnsi="Calibri"/>
              </w:rPr>
            </w:r>
            <w:r>
              <w:rPr>
                <w:rFonts w:ascii="Calibri" w:hAnsi="Calibri"/>
                <w:sz w:val="18"/>
              </w:rPr>
              <w:t>OFS / Worldometers</w:t>
            </w:r>
          </w:p>
        </w:tc>
      </w:tr>
      <w:tr>
        <w:tc>
          <w:tcPr>
            <w:tcW w:type="dxa" w:w="3135"/>
          </w:tcPr>
          <w:p>
            <w:r>
              <w:rPr>
                <w:rFonts w:ascii="Calibri" w:hAnsi="Calibri"/>
              </w:rPr>
            </w:r>
            <w:r>
              <w:rPr>
                <w:rFonts w:ascii="Calibri" w:hAnsi="Calibri"/>
                <w:sz w:val="18"/>
              </w:rPr>
              <w:t>Coefficient brut X</w:t>
            </w:r>
          </w:p>
        </w:tc>
        <w:tc>
          <w:tcPr>
            <w:tcW w:type="dxa" w:w="3135"/>
          </w:tcPr>
          <w:p>
            <w:r>
              <w:rPr>
                <w:rFonts w:ascii="Calibri" w:hAnsi="Calibri"/>
              </w:rPr>
            </w:r>
            <w:r>
              <w:rPr>
                <w:rFonts w:ascii="Calibri" w:hAnsi="Calibri"/>
                <w:sz w:val="18"/>
              </w:rPr>
              <w:t>(89 783 / 48 982) × (8,9 / 69,1) = 1,833 × 0,1288 = 0,236</w:t>
            </w:r>
          </w:p>
        </w:tc>
        <w:tc>
          <w:tcPr>
            <w:tcW w:type="dxa" w:w="3135"/>
          </w:tcPr>
          <w:p>
            <w:r>
              <w:rPr>
                <w:rFonts w:ascii="Calibri" w:hAnsi="Calibri"/>
              </w:rPr>
            </w:r>
            <w:r>
              <w:rPr>
                <w:rFonts w:ascii="Calibri" w:hAnsi="Calibri"/>
                <w:sz w:val="18"/>
              </w:rPr>
              <w:t>Calcul MAB</w:t>
            </w:r>
          </w:p>
        </w:tc>
      </w:tr>
      <w:tr>
        <w:tc>
          <w:tcPr>
            <w:tcW w:type="dxa" w:w="3135"/>
          </w:tcPr>
          <w:p>
            <w:r>
              <w:rPr>
                <w:rFonts w:ascii="Calibri" w:hAnsi="Calibri"/>
              </w:rPr>
            </w:r>
            <w:r>
              <w:rPr>
                <w:rFonts w:ascii="Calibri" w:hAnsi="Calibri"/>
                <w:sz w:val="18"/>
              </w:rPr>
              <w:t>Ajustement structurel</w:t>
            </w:r>
          </w:p>
        </w:tc>
        <w:tc>
          <w:tcPr>
            <w:tcW w:type="dxa" w:w="3135"/>
          </w:tcPr>
          <w:p>
            <w:r>
              <w:rPr>
                <w:rFonts w:ascii="Calibri" w:hAnsi="Calibri"/>
              </w:rPr>
            </w:r>
            <w:r>
              <w:rPr>
                <w:rFonts w:ascii="Calibri" w:hAnsi="Calibri"/>
                <w:sz w:val="18"/>
              </w:rPr>
              <w:t>+12% (marché premium, PIB/hab très élevé, culture entretien rigoureuse)</w:t>
            </w:r>
          </w:p>
        </w:tc>
        <w:tc>
          <w:tcPr>
            <w:tcW w:type="dxa" w:w="3135"/>
          </w:tcPr>
          <w:p>
            <w:r>
              <w:rPr>
                <w:rFonts w:ascii="Calibri" w:hAnsi="Calibri"/>
              </w:rPr>
            </w:r>
            <w:r>
              <w:rPr>
                <w:rFonts w:ascii="Calibri" w:hAnsi="Calibri"/>
                <w:sz w:val="18"/>
              </w:rPr>
              <w:t>Hypothèse MAB — à confirmer terrain</w:t>
            </w:r>
          </w:p>
        </w:tc>
      </w:tr>
      <w:tr>
        <w:tc>
          <w:tcPr>
            <w:tcW w:type="dxa" w:w="3135"/>
          </w:tcPr>
          <w:p>
            <w:r>
              <w:rPr>
                <w:rFonts w:ascii="Calibri" w:hAnsi="Calibri"/>
              </w:rPr>
            </w:r>
            <w:r>
              <w:rPr>
                <w:rFonts w:ascii="Calibri" w:hAnsi="Calibri"/>
                <w:sz w:val="18"/>
              </w:rPr>
              <w:t>Coefficient ajusté</w:t>
            </w:r>
          </w:p>
        </w:tc>
        <w:tc>
          <w:tcPr>
            <w:tcW w:type="dxa" w:w="3135"/>
          </w:tcPr>
          <w:p>
            <w:r>
              <w:rPr>
                <w:rFonts w:ascii="Calibri" w:hAnsi="Calibri"/>
              </w:rPr>
            </w:r>
            <w:r>
              <w:rPr>
                <w:rFonts w:ascii="Calibri" w:hAnsi="Calibri"/>
                <w:sz w:val="18"/>
              </w:rPr>
              <w:t>0,236 × 1,12 = 0,265</w:t>
            </w:r>
          </w:p>
        </w:tc>
        <w:tc>
          <w:tcPr>
            <w:tcW w:type="dxa" w:w="3135"/>
          </w:tcPr>
          <w:p>
            <w:r>
              <w:rPr>
                <w:rFonts w:ascii="Calibri" w:hAnsi="Calibri"/>
              </w:rPr>
            </w:r>
            <w:r>
              <w:rPr>
                <w:rFonts w:ascii="Calibri" w:hAnsi="Calibri"/>
                <w:sz w:val="18"/>
              </w:rPr>
              <w:t>Calcul MAB</w:t>
            </w:r>
          </w:p>
        </w:tc>
      </w:tr>
      <w:tr>
        <w:tc>
          <w:tcPr>
            <w:tcW w:type="dxa" w:w="3135"/>
          </w:tcPr>
          <w:p>
            <w:r>
              <w:rPr>
                <w:rFonts w:ascii="Calibri" w:hAnsi="Calibri"/>
              </w:rPr>
            </w:r>
            <w:r>
              <w:rPr>
                <w:rFonts w:ascii="Calibri" w:hAnsi="Calibri"/>
                <w:sz w:val="18"/>
              </w:rPr>
              <w:t>Taux de change</w:t>
            </w:r>
          </w:p>
        </w:tc>
        <w:tc>
          <w:tcPr>
            <w:tcW w:type="dxa" w:w="3135"/>
          </w:tcPr>
          <w:p>
            <w:r>
              <w:rPr>
                <w:rFonts w:ascii="Calibri" w:hAnsi="Calibri"/>
              </w:rPr>
            </w:r>
            <w:r>
              <w:rPr>
                <w:rFonts w:ascii="Calibri" w:hAnsi="Calibri"/>
                <w:sz w:val="18"/>
              </w:rPr>
              <w:t>1 CHF = 1,05 EUR (2024)</w:t>
            </w:r>
          </w:p>
        </w:tc>
        <w:tc>
          <w:tcPr>
            <w:tcW w:type="dxa" w:w="3135"/>
          </w:tcPr>
          <w:p>
            <w:r>
              <w:rPr>
                <w:rFonts w:ascii="Calibri" w:hAnsi="Calibri"/>
              </w:rPr>
            </w:r>
            <w:r>
              <w:rPr>
                <w:rFonts w:ascii="Calibri" w:hAnsi="Calibri"/>
                <w:sz w:val="18"/>
              </w:rPr>
              <w:t>CDTF / Banque de France</w:t>
            </w:r>
          </w:p>
        </w:tc>
      </w:tr>
    </w:tbl>
    <w:p>
      <w:pPr>
        <w:spacing w:before="80" w:after="80"/>
      </w:pPr>
    </w:p>
    <w:p>
      <w:pPr>
        <w:pStyle w:val="Heading2"/>
        <w:spacing w:before="280" w:after="120"/>
      </w:pPr>
      <w:r>
        <w:rPr>
          <w:rFonts w:ascii="Calibri" w:hAnsi="Calibri"/>
          <w:color w:val="595959"/>
        </w:rPr>
        <w:t>Estimation A — Marché robinetterie Suisse (base France ÷ 2, coefficient 0,265)</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val="clear" w:color="auto" w:fill="EBEBEB"/>
          </w:tcPr>
          <w:p>
            <w:r>
              <w:rPr>
                <w:rFonts w:ascii="Calibri" w:hAnsi="Calibri"/>
              </w:rPr>
            </w:r>
            <w:r>
              <w:rPr>
                <w:rFonts w:ascii="Calibri" w:hAnsi="Calibri"/>
                <w:b/>
                <w:color w:val="595959"/>
                <w:sz w:val="18"/>
              </w:rPr>
              <w:t>Segment</w:t>
            </w:r>
          </w:p>
        </w:tc>
        <w:tc>
          <w:tcPr>
            <w:tcW w:type="dxa" w:w="1881"/>
            <w:shd w:val="clear" w:color="auto" w:fill="EBEBEB"/>
          </w:tcPr>
          <w:p>
            <w:r>
              <w:rPr>
                <w:rFonts w:ascii="Calibri" w:hAnsi="Calibri"/>
              </w:rPr>
            </w:r>
            <w:r>
              <w:rPr>
                <w:rFonts w:ascii="Calibri" w:hAnsi="Calibri"/>
                <w:b/>
                <w:color w:val="595959"/>
                <w:sz w:val="18"/>
              </w:rPr>
              <w:t>Base France (÷2)</w:t>
            </w:r>
          </w:p>
        </w:tc>
        <w:tc>
          <w:tcPr>
            <w:tcW w:type="dxa" w:w="1881"/>
            <w:shd w:val="clear" w:color="auto" w:fill="EBEBEB"/>
          </w:tcPr>
          <w:p>
            <w:r>
              <w:rPr>
                <w:rFonts w:ascii="Calibri" w:hAnsi="Calibri"/>
              </w:rPr>
            </w:r>
            <w:r>
              <w:rPr>
                <w:rFonts w:ascii="Calibri" w:hAnsi="Calibri"/>
                <w:b/>
                <w:color w:val="595959"/>
                <w:sz w:val="18"/>
              </w:rPr>
              <w:t>× Coeff. 0,265</w:t>
            </w:r>
          </w:p>
        </w:tc>
        <w:tc>
          <w:tcPr>
            <w:tcW w:type="dxa" w:w="1881"/>
            <w:shd w:val="clear" w:color="auto" w:fill="EBEBEB"/>
          </w:tcPr>
          <w:p>
            <w:r>
              <w:rPr>
                <w:rFonts w:ascii="Calibri" w:hAnsi="Calibri"/>
              </w:rPr>
            </w:r>
            <w:r>
              <w:rPr>
                <w:rFonts w:ascii="Calibri" w:hAnsi="Calibri"/>
                <w:b/>
                <w:color w:val="595959"/>
                <w:sz w:val="18"/>
              </w:rPr>
              <w:t>Estimation Suisse (M€)</w:t>
            </w:r>
          </w:p>
        </w:tc>
        <w:tc>
          <w:tcPr>
            <w:tcW w:type="dxa" w:w="1881"/>
            <w:shd w:val="clear" w:color="auto" w:fill="EBEBEB"/>
          </w:tcPr>
          <w:p>
            <w:r>
              <w:rPr>
                <w:rFonts w:ascii="Calibri" w:hAnsi="Calibri"/>
              </w:rPr>
            </w:r>
            <w:r>
              <w:rPr>
                <w:rFonts w:ascii="Calibri" w:hAnsi="Calibri"/>
                <w:b/>
                <w:color w:val="595959"/>
                <w:sz w:val="18"/>
              </w:rPr>
              <w:t>En M CHF (~×1,05)</w:t>
            </w:r>
          </w:p>
        </w:tc>
      </w:tr>
      <w:tr>
        <w:tc>
          <w:tcPr>
            <w:tcW w:type="dxa" w:w="1881"/>
          </w:tcPr>
          <w:p>
            <w:r>
              <w:rPr>
                <w:rFonts w:ascii="Calibri" w:hAnsi="Calibri"/>
              </w:rPr>
            </w:r>
            <w:r>
              <w:rPr>
                <w:rFonts w:ascii="Calibri" w:hAnsi="Calibri"/>
                <w:sz w:val="18"/>
              </w:rPr>
              <w:t>Robinetterie de collectivités</w:t>
            </w:r>
          </w:p>
        </w:tc>
        <w:tc>
          <w:tcPr>
            <w:tcW w:type="dxa" w:w="1881"/>
          </w:tcPr>
          <w:p>
            <w:r>
              <w:rPr>
                <w:rFonts w:ascii="Calibri" w:hAnsi="Calibri"/>
              </w:rPr>
            </w:r>
            <w:r>
              <w:rPr>
                <w:rFonts w:ascii="Calibri" w:hAnsi="Calibri"/>
                <w:sz w:val="18"/>
              </w:rPr>
              <w:t>100–125 M€</w:t>
            </w:r>
          </w:p>
        </w:tc>
        <w:tc>
          <w:tcPr>
            <w:tcW w:type="dxa" w:w="1881"/>
          </w:tcPr>
          <w:p>
            <w:r>
              <w:rPr>
                <w:rFonts w:ascii="Calibri" w:hAnsi="Calibri"/>
              </w:rPr>
            </w:r>
            <w:r>
              <w:rPr>
                <w:rFonts w:ascii="Calibri" w:hAnsi="Calibri"/>
                <w:sz w:val="18"/>
              </w:rPr>
              <w:t>× 0,265</w:t>
            </w:r>
          </w:p>
        </w:tc>
        <w:tc>
          <w:tcPr>
            <w:tcW w:type="dxa" w:w="1881"/>
          </w:tcPr>
          <w:p>
            <w:r>
              <w:rPr>
                <w:rFonts w:ascii="Calibri" w:hAnsi="Calibri"/>
              </w:rPr>
            </w:r>
            <w:r>
              <w:rPr>
                <w:rFonts w:ascii="Calibri" w:hAnsi="Calibri"/>
                <w:sz w:val="18"/>
              </w:rPr>
              <w:t>26,5 — 33,1 M€</w:t>
            </w:r>
          </w:p>
        </w:tc>
        <w:tc>
          <w:tcPr>
            <w:tcW w:type="dxa" w:w="1881"/>
          </w:tcPr>
          <w:p>
            <w:r>
              <w:rPr>
                <w:rFonts w:ascii="Calibri" w:hAnsi="Calibri"/>
              </w:rPr>
            </w:r>
            <w:r>
              <w:rPr>
                <w:rFonts w:ascii="Calibri" w:hAnsi="Calibri"/>
                <w:sz w:val="18"/>
              </w:rPr>
              <w:t>~28 — 35 M CHF</w:t>
            </w:r>
          </w:p>
        </w:tc>
      </w:tr>
      <w:tr>
        <w:tc>
          <w:tcPr>
            <w:tcW w:type="dxa" w:w="1881"/>
          </w:tcPr>
          <w:p>
            <w:r>
              <w:rPr>
                <w:rFonts w:ascii="Calibri" w:hAnsi="Calibri"/>
              </w:rPr>
            </w:r>
            <w:r>
              <w:rPr>
                <w:rFonts w:ascii="Calibri" w:hAnsi="Calibri"/>
                <w:sz w:val="18"/>
              </w:rPr>
              <w:t>Chasses d'eau &amp; WC collectifs</w:t>
            </w:r>
          </w:p>
        </w:tc>
        <w:tc>
          <w:tcPr>
            <w:tcW w:type="dxa" w:w="1881"/>
          </w:tcPr>
          <w:p>
            <w:r>
              <w:rPr>
                <w:rFonts w:ascii="Calibri" w:hAnsi="Calibri"/>
              </w:rPr>
            </w:r>
            <w:r>
              <w:rPr>
                <w:rFonts w:ascii="Calibri" w:hAnsi="Calibri"/>
                <w:sz w:val="18"/>
              </w:rPr>
              <w:t>90–110 M€</w:t>
            </w:r>
          </w:p>
        </w:tc>
        <w:tc>
          <w:tcPr>
            <w:tcW w:type="dxa" w:w="1881"/>
          </w:tcPr>
          <w:p>
            <w:r>
              <w:rPr>
                <w:rFonts w:ascii="Calibri" w:hAnsi="Calibri"/>
              </w:rPr>
            </w:r>
            <w:r>
              <w:rPr>
                <w:rFonts w:ascii="Calibri" w:hAnsi="Calibri"/>
                <w:sz w:val="18"/>
              </w:rPr>
              <w:t>× 0,265</w:t>
            </w:r>
          </w:p>
        </w:tc>
        <w:tc>
          <w:tcPr>
            <w:tcW w:type="dxa" w:w="1881"/>
          </w:tcPr>
          <w:p>
            <w:r>
              <w:rPr>
                <w:rFonts w:ascii="Calibri" w:hAnsi="Calibri"/>
              </w:rPr>
            </w:r>
            <w:r>
              <w:rPr>
                <w:rFonts w:ascii="Calibri" w:hAnsi="Calibri"/>
                <w:sz w:val="18"/>
              </w:rPr>
              <w:t>23,9 — 29,2 M€</w:t>
            </w:r>
          </w:p>
        </w:tc>
        <w:tc>
          <w:tcPr>
            <w:tcW w:type="dxa" w:w="1881"/>
          </w:tcPr>
          <w:p>
            <w:r>
              <w:rPr>
                <w:rFonts w:ascii="Calibri" w:hAnsi="Calibri"/>
              </w:rPr>
            </w:r>
            <w:r>
              <w:rPr>
                <w:rFonts w:ascii="Calibri" w:hAnsi="Calibri"/>
                <w:sz w:val="18"/>
              </w:rPr>
              <w:t>~25 — 31 M CHF</w:t>
            </w:r>
          </w:p>
        </w:tc>
      </w:tr>
      <w:tr>
        <w:tc>
          <w:tcPr>
            <w:tcW w:type="dxa" w:w="1881"/>
          </w:tcPr>
          <w:p>
            <w:r>
              <w:rPr>
                <w:rFonts w:ascii="Calibri" w:hAnsi="Calibri"/>
              </w:rPr>
            </w:r>
            <w:r>
              <w:rPr>
                <w:rFonts w:ascii="Calibri" w:hAnsi="Calibri"/>
                <w:sz w:val="18"/>
              </w:rPr>
              <w:t>Douches &amp; équipements connexes</w:t>
            </w:r>
          </w:p>
        </w:tc>
        <w:tc>
          <w:tcPr>
            <w:tcW w:type="dxa" w:w="1881"/>
          </w:tcPr>
          <w:p>
            <w:r>
              <w:rPr>
                <w:rFonts w:ascii="Calibri" w:hAnsi="Calibri"/>
              </w:rPr>
            </w:r>
            <w:r>
              <w:rPr>
                <w:rFonts w:ascii="Calibri" w:hAnsi="Calibri"/>
                <w:sz w:val="18"/>
              </w:rPr>
              <w:t>52–65 M€</w:t>
            </w:r>
          </w:p>
        </w:tc>
        <w:tc>
          <w:tcPr>
            <w:tcW w:type="dxa" w:w="1881"/>
          </w:tcPr>
          <w:p>
            <w:r>
              <w:rPr>
                <w:rFonts w:ascii="Calibri" w:hAnsi="Calibri"/>
              </w:rPr>
            </w:r>
            <w:r>
              <w:rPr>
                <w:rFonts w:ascii="Calibri" w:hAnsi="Calibri"/>
                <w:sz w:val="18"/>
              </w:rPr>
              <w:t>× 0,265</w:t>
            </w:r>
          </w:p>
        </w:tc>
        <w:tc>
          <w:tcPr>
            <w:tcW w:type="dxa" w:w="1881"/>
          </w:tcPr>
          <w:p>
            <w:r>
              <w:rPr>
                <w:rFonts w:ascii="Calibri" w:hAnsi="Calibri"/>
              </w:rPr>
            </w:r>
            <w:r>
              <w:rPr>
                <w:rFonts w:ascii="Calibri" w:hAnsi="Calibri"/>
                <w:sz w:val="18"/>
              </w:rPr>
              <w:t>13,8 — 17,2 M€</w:t>
            </w:r>
          </w:p>
        </w:tc>
        <w:tc>
          <w:tcPr>
            <w:tcW w:type="dxa" w:w="1881"/>
          </w:tcPr>
          <w:p>
            <w:r>
              <w:rPr>
                <w:rFonts w:ascii="Calibri" w:hAnsi="Calibri"/>
              </w:rPr>
            </w:r>
            <w:r>
              <w:rPr>
                <w:rFonts w:ascii="Calibri" w:hAnsi="Calibri"/>
                <w:sz w:val="18"/>
              </w:rPr>
              <w:t>~14 — 18 M CHF</w:t>
            </w:r>
          </w:p>
        </w:tc>
      </w:tr>
      <w:tr>
        <w:tc>
          <w:tcPr>
            <w:tcW w:type="dxa" w:w="1881"/>
          </w:tcPr>
          <w:p>
            <w:r>
              <w:rPr>
                <w:rFonts w:ascii="Calibri" w:hAnsi="Calibri"/>
              </w:rPr>
            </w:r>
            <w:r>
              <w:rPr>
                <w:rFonts w:ascii="Calibri" w:hAnsi="Calibri"/>
                <w:sz w:val="18"/>
              </w:rPr>
              <w:t>TOTAL Estimation A</w:t>
            </w:r>
          </w:p>
        </w:tc>
        <w:tc>
          <w:tcPr>
            <w:tcW w:type="dxa" w:w="1881"/>
          </w:tcPr>
          <w:p>
            <w:r>
              <w:rPr>
                <w:rFonts w:ascii="Calibri" w:hAnsi="Calibri"/>
              </w:rPr>
            </w:r>
            <w:r>
              <w:rPr>
                <w:rFonts w:ascii="Calibri" w:hAnsi="Calibri"/>
                <w:sz w:val="18"/>
              </w:rPr>
              <w:t>242–300 M€</w:t>
            </w:r>
          </w:p>
        </w:tc>
        <w:tc>
          <w:tcPr>
            <w:tcW w:type="dxa" w:w="1881"/>
          </w:tcPr>
          <w:p>
            <w:r>
              <w:rPr>
                <w:rFonts w:ascii="Calibri" w:hAnsi="Calibri"/>
              </w:rPr>
            </w:r>
            <w:r>
              <w:rPr>
                <w:rFonts w:ascii="Calibri" w:hAnsi="Calibri"/>
                <w:sz w:val="18"/>
              </w:rPr>
              <w:t>× 0,265</w:t>
            </w:r>
          </w:p>
        </w:tc>
        <w:tc>
          <w:tcPr>
            <w:tcW w:type="dxa" w:w="1881"/>
          </w:tcPr>
          <w:p>
            <w:r>
              <w:rPr>
                <w:rFonts w:ascii="Calibri" w:hAnsi="Calibri"/>
              </w:rPr>
            </w:r>
            <w:r>
              <w:rPr>
                <w:rFonts w:ascii="Calibri" w:hAnsi="Calibri"/>
                <w:sz w:val="18"/>
              </w:rPr>
              <w:t>64,1 — 79,4 M€</w:t>
            </w:r>
          </w:p>
        </w:tc>
        <w:tc>
          <w:tcPr>
            <w:tcW w:type="dxa" w:w="1881"/>
          </w:tcPr>
          <w:p>
            <w:r>
              <w:rPr>
                <w:rFonts w:ascii="Calibri" w:hAnsi="Calibri"/>
              </w:rPr>
            </w:r>
            <w:r>
              <w:rPr>
                <w:rFonts w:ascii="Calibri" w:hAnsi="Calibri"/>
                <w:sz w:val="18"/>
              </w:rPr>
              <w:t>~67 — 83 M CHF</w:t>
            </w:r>
          </w:p>
        </w:tc>
      </w:tr>
    </w:tbl>
    <w:p>
      <w:pPr>
        <w:spacing w:before="80" w:after="80"/>
      </w:pPr>
    </w:p>
    <w:p>
      <w:pPr>
        <w:spacing w:before="80" w:after="80"/>
      </w:pPr>
      <w:r>
        <w:rPr>
          <w:rFonts w:ascii="Calibri" w:hAnsi="Calibri"/>
          <w:b w:val="0"/>
          <w:i/>
          <w:color w:val="595959"/>
          <w:sz w:val="18"/>
        </w:rPr>
        <w:t>⚠ Ajustement +12% justifié : PIB/hab très élevé (1,8× France), marché premium avec exigences qualité élevées, prix CHF supérieurs aux prix EUR, culture d'entretien et de renouvellement rigoureuse en Suisse. Estimation par extrapolation — fiabilité moyenne — à confirmer terrain (Meier Tobler, Suissetec, SVGW).</w:t>
      </w:r>
    </w:p>
    <w:p>
      <w:pPr>
        <w:pStyle w:val="Heading2"/>
        <w:spacing w:before="280" w:after="120"/>
      </w:pPr>
      <w:r>
        <w:rPr>
          <w:rFonts w:ascii="Calibri" w:hAnsi="Calibri"/>
          <w:color w:val="595959"/>
        </w:rPr>
        <w:t>Estimation B — Base Études BRG</w:t>
      </w:r>
    </w:p>
    <w:p>
      <w:pPr>
        <w:spacing w:before="80" w:after="80"/>
      </w:pPr>
      <w:r>
        <w:rPr>
          <w:rFonts w:ascii="Calibri" w:hAnsi="Calibri"/>
          <w:b w:val="0"/>
          <w:i w:val="0"/>
          <w:sz w:val="20"/>
        </w:rPr>
        <w:t>[DONNÉE NON DISPONIBLE — Aucune étude BRG spécifique à la Suisse n'a été identifiée dans les sources internes ou externes. L'unique étude BRG disponible en sources internes couvre la Belgique (BE_Bathrooms_Full_Report_2020.pdf). L'Estimation B ne peut pas être calculée. À demander : europe@brgbuildingsolutions.com]</w:t>
      </w:r>
    </w:p>
    <w:p>
      <w:pPr>
        <w:spacing w:before="80" w:after="80"/>
      </w:pPr>
    </w:p>
    <w:p>
      <w:pPr>
        <w:pStyle w:val="Heading2"/>
        <w:spacing w:before="280" w:after="120"/>
      </w:pPr>
      <w:r>
        <w:rPr>
          <w:rFonts w:ascii="Calibri" w:hAnsi="Calibri"/>
          <w:color w:val="595959"/>
        </w:rPr>
        <w:t>5.2 Spécificités produit du marché suisse</w:t>
      </w:r>
    </w:p>
    <w:p>
      <w:pPr>
        <w:pStyle w:val="ListBullet"/>
        <w:spacing w:before="80" w:after="80"/>
        <w:ind w:left="0"/>
      </w:pPr>
      <w:r>
        <w:rPr>
          <w:rFonts w:ascii="Calibri" w:hAnsi="Calibri"/>
          <w:b w:val="0"/>
          <w:i w:val="0"/>
          <w:sz w:val="20"/>
        </w:rPr>
        <w:t>Exigences qualité premium : le marché suisse ERP tolère des prix supérieurs à ceux pratiqués en France, en contrepartie de durabilité et de performance élevées.</w:t>
      </w:r>
    </w:p>
    <w:p>
      <w:pPr>
        <w:pStyle w:val="ListBullet"/>
        <w:spacing w:before="80" w:after="80"/>
        <w:ind w:left="0"/>
      </w:pPr>
      <w:r>
        <w:rPr>
          <w:rFonts w:ascii="Calibri" w:hAnsi="Calibri"/>
          <w:b w:val="0"/>
          <w:i w:val="0"/>
          <w:sz w:val="20"/>
        </w:rPr>
        <w:t>Laiton sans plomb obligatoire depuis 1904 (OPBD) — standard le plus ancien d'Europe. Alliages certifiés SVGW (ex : CC246E, CuSi4Zn9MnP). Matières plastiques : doivent figurer sur listes positives SVGW.</w:t>
      </w:r>
    </w:p>
    <w:p>
      <w:pPr>
        <w:pStyle w:val="ListBullet"/>
        <w:spacing w:before="80" w:after="80"/>
        <w:ind w:left="0"/>
      </w:pPr>
      <w:r>
        <w:rPr>
          <w:rFonts w:ascii="Calibri" w:hAnsi="Calibri"/>
          <w:b w:val="0"/>
          <w:i w:val="0"/>
          <w:sz w:val="20"/>
        </w:rPr>
        <w:t>Économie d'eau : fortement valorisée dans les ERP. Limiteurs de débit et aérateurs économiseurs = standard dans les cahiers des charges publics. Smart metering et comptage connecté en croissance.</w:t>
      </w:r>
    </w:p>
    <w:p>
      <w:pPr>
        <w:pStyle w:val="ListBullet"/>
        <w:spacing w:before="80" w:after="80"/>
        <w:ind w:left="0"/>
      </w:pPr>
      <w:r>
        <w:rPr>
          <w:rFonts w:ascii="Calibri" w:hAnsi="Calibri"/>
          <w:b w:val="0"/>
          <w:i w:val="0"/>
          <w:sz w:val="20"/>
        </w:rPr>
        <w:t>Accessibilité PMR : norme SIA 500 (révision prSIA 500:2025) = standard obligatoire en ERP neuf. Robinetterie à levier ou infrarouge préférée. Hauteur 90-130 cm.</w:t>
      </w:r>
    </w:p>
    <w:p>
      <w:pPr>
        <w:pStyle w:val="ListBullet"/>
        <w:spacing w:before="80" w:after="80"/>
        <w:ind w:left="0"/>
      </w:pPr>
      <w:r>
        <w:rPr>
          <w:rFonts w:ascii="Calibri" w:hAnsi="Calibri"/>
          <w:b w:val="0"/>
          <w:i w:val="0"/>
          <w:sz w:val="20"/>
        </w:rPr>
        <w:t>4 langues de marché : documentation produit attendue en DE + FR au minimum, IT en option.</w:t>
      </w:r>
    </w:p>
    <w:p>
      <w:pPr>
        <w:pStyle w:val="ListBullet"/>
        <w:spacing w:before="80" w:after="80"/>
        <w:ind w:left="0"/>
      </w:pPr>
      <w:r>
        <w:rPr>
          <w:rFonts w:ascii="Calibri" w:hAnsi="Calibri"/>
          <w:b w:val="0"/>
          <w:i w:val="0"/>
          <w:sz w:val="20"/>
        </w:rPr>
        <w:t>Robinetterie infrarouge/électronique : croissance forte (smart building CHF 1,35 Md). Préférence pour les produits sans contact dans les ERP post-COVID.</w:t>
      </w:r>
    </w:p>
    <w:p>
      <w:pPr>
        <w:pStyle w:val="Heading2"/>
        <w:spacing w:before="280" w:after="120"/>
      </w:pPr>
      <w:r>
        <w:rPr>
          <w:rFonts w:ascii="Calibri" w:hAnsi="Calibri"/>
          <w:color w:val="595959"/>
        </w:rPr>
        <w:t>5.3 Canaux de distribution</w:t>
      </w:r>
    </w:p>
    <w:p>
      <w:pPr>
        <w:spacing w:before="80" w:after="80"/>
      </w:pPr>
      <w:r>
        <w:rPr>
          <w:rFonts w:ascii="Calibri" w:hAnsi="Calibri"/>
          <w:b w:val="0"/>
          <w:i/>
          <w:color w:val="595959"/>
          <w:sz w:val="18"/>
        </w:rPr>
        <w:t>⚠ Hypothèse basée sur le modèle France (sources internes Presto) adaptée aux spécificités suisses — à confirmer terrain.</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EBEBEB"/>
          </w:tcPr>
          <w:p>
            <w:r>
              <w:rPr>
                <w:rFonts w:ascii="Calibri" w:hAnsi="Calibri"/>
              </w:rPr>
            </w:r>
            <w:r>
              <w:rPr>
                <w:rFonts w:ascii="Calibri" w:hAnsi="Calibri"/>
                <w:b/>
                <w:color w:val="595959"/>
                <w:sz w:val="18"/>
              </w:rPr>
              <w:t>Canal</w:t>
            </w:r>
          </w:p>
        </w:tc>
        <w:tc>
          <w:tcPr>
            <w:tcW w:type="dxa" w:w="3135"/>
            <w:shd w:val="clear" w:color="auto" w:fill="EBEBEB"/>
          </w:tcPr>
          <w:p>
            <w:r>
              <w:rPr>
                <w:rFonts w:ascii="Calibri" w:hAnsi="Calibri"/>
              </w:rPr>
            </w:r>
            <w:r>
              <w:rPr>
                <w:rFonts w:ascii="Calibri" w:hAnsi="Calibri"/>
                <w:b/>
                <w:color w:val="595959"/>
                <w:sz w:val="18"/>
              </w:rPr>
              <w:t>Part estimée ERP</w:t>
            </w:r>
          </w:p>
        </w:tc>
        <w:tc>
          <w:tcPr>
            <w:tcW w:type="dxa" w:w="3135"/>
            <w:shd w:val="clear" w:color="auto" w:fill="EBEBEB"/>
          </w:tcPr>
          <w:p>
            <w:r>
              <w:rPr>
                <w:rFonts w:ascii="Calibri" w:hAnsi="Calibri"/>
              </w:rPr>
            </w:r>
            <w:r>
              <w:rPr>
                <w:rFonts w:ascii="Calibri" w:hAnsi="Calibri"/>
                <w:b/>
                <w:color w:val="595959"/>
                <w:sz w:val="18"/>
              </w:rPr>
              <w:t>Acteurs clés CH</w:t>
            </w:r>
          </w:p>
        </w:tc>
      </w:tr>
      <w:tr>
        <w:tc>
          <w:tcPr>
            <w:tcW w:type="dxa" w:w="3135"/>
          </w:tcPr>
          <w:p>
            <w:r>
              <w:rPr>
                <w:rFonts w:ascii="Calibri" w:hAnsi="Calibri"/>
              </w:rPr>
            </w:r>
            <w:r>
              <w:rPr>
                <w:rFonts w:ascii="Calibri" w:hAnsi="Calibri"/>
                <w:sz w:val="18"/>
              </w:rPr>
              <w:t>Négoce sanitaire-chauffage (grossistes)</w:t>
            </w:r>
          </w:p>
        </w:tc>
        <w:tc>
          <w:tcPr>
            <w:tcW w:type="dxa" w:w="3135"/>
          </w:tcPr>
          <w:p>
            <w:r>
              <w:rPr>
                <w:rFonts w:ascii="Calibri" w:hAnsi="Calibri"/>
              </w:rPr>
            </w:r>
            <w:r>
              <w:rPr>
                <w:rFonts w:ascii="Calibri" w:hAnsi="Calibri"/>
                <w:sz w:val="18"/>
              </w:rPr>
              <w:t>60–70%</w:t>
            </w:r>
          </w:p>
        </w:tc>
        <w:tc>
          <w:tcPr>
            <w:tcW w:type="dxa" w:w="3135"/>
          </w:tcPr>
          <w:p>
            <w:r>
              <w:rPr>
                <w:rFonts w:ascii="Calibri" w:hAnsi="Calibri"/>
              </w:rPr>
            </w:r>
            <w:r>
              <w:rPr>
                <w:rFonts w:ascii="Calibri" w:hAnsi="Calibri"/>
                <w:sz w:val="18"/>
              </w:rPr>
              <w:t>Meier Tobler SA (CA CHF 496 M 2024 ; 47 points de vente ; 10 000 clients)</w:t>
            </w:r>
          </w:p>
        </w:tc>
      </w:tr>
      <w:tr>
        <w:tc>
          <w:tcPr>
            <w:tcW w:type="dxa" w:w="3135"/>
          </w:tcPr>
          <w:p>
            <w:r>
              <w:rPr>
                <w:rFonts w:ascii="Calibri" w:hAnsi="Calibri"/>
              </w:rPr>
            </w:r>
            <w:r>
              <w:rPr>
                <w:rFonts w:ascii="Calibri" w:hAnsi="Calibri"/>
                <w:sz w:val="18"/>
              </w:rPr>
              <w:t>Grossistes technique bâtiment</w:t>
            </w:r>
          </w:p>
        </w:tc>
        <w:tc>
          <w:tcPr>
            <w:tcW w:type="dxa" w:w="3135"/>
          </w:tcPr>
          <w:p>
            <w:r>
              <w:rPr>
                <w:rFonts w:ascii="Calibri" w:hAnsi="Calibri"/>
              </w:rPr>
            </w:r>
            <w:r>
              <w:rPr>
                <w:rFonts w:ascii="Calibri" w:hAnsi="Calibri"/>
                <w:sz w:val="18"/>
              </w:rPr>
              <w:t>10–15%</w:t>
            </w:r>
          </w:p>
        </w:tc>
        <w:tc>
          <w:tcPr>
            <w:tcW w:type="dxa" w:w="3135"/>
          </w:tcPr>
          <w:p>
            <w:r>
              <w:rPr>
                <w:rFonts w:ascii="Calibri" w:hAnsi="Calibri"/>
              </w:rPr>
            </w:r>
            <w:r>
              <w:rPr>
                <w:rFonts w:ascii="Calibri" w:hAnsi="Calibri"/>
                <w:sz w:val="18"/>
              </w:rPr>
              <w:t>Debrunner Acifer (&gt;160 000 articles, e-shop B2B national)</w:t>
            </w:r>
          </w:p>
        </w:tc>
      </w:tr>
      <w:tr>
        <w:tc>
          <w:tcPr>
            <w:tcW w:type="dxa" w:w="3135"/>
          </w:tcPr>
          <w:p>
            <w:r>
              <w:rPr>
                <w:rFonts w:ascii="Calibri" w:hAnsi="Calibri"/>
              </w:rPr>
            </w:r>
            <w:r>
              <w:rPr>
                <w:rFonts w:ascii="Calibri" w:hAnsi="Calibri"/>
                <w:sz w:val="18"/>
              </w:rPr>
              <w:t>Grossistes Suisse romande</w:t>
            </w:r>
          </w:p>
        </w:tc>
        <w:tc>
          <w:tcPr>
            <w:tcW w:type="dxa" w:w="3135"/>
          </w:tcPr>
          <w:p>
            <w:r>
              <w:rPr>
                <w:rFonts w:ascii="Calibri" w:hAnsi="Calibri"/>
              </w:rPr>
            </w:r>
            <w:r>
              <w:rPr>
                <w:rFonts w:ascii="Calibri" w:hAnsi="Calibri"/>
                <w:sz w:val="18"/>
              </w:rPr>
              <w:t>5–10%</w:t>
            </w:r>
          </w:p>
        </w:tc>
        <w:tc>
          <w:tcPr>
            <w:tcW w:type="dxa" w:w="3135"/>
          </w:tcPr>
          <w:p>
            <w:r>
              <w:rPr>
                <w:rFonts w:ascii="Calibri" w:hAnsi="Calibri"/>
              </w:rPr>
            </w:r>
            <w:r>
              <w:rPr>
                <w:rFonts w:ascii="Calibri" w:hAnsi="Calibri"/>
                <w:sz w:val="18"/>
              </w:rPr>
              <w:t>Bringhen Group / Saneo SA (Bulle) — partenaire Geberit</w:t>
            </w:r>
          </w:p>
        </w:tc>
      </w:tr>
      <w:tr>
        <w:tc>
          <w:tcPr>
            <w:tcW w:type="dxa" w:w="3135"/>
          </w:tcPr>
          <w:p>
            <w:r>
              <w:rPr>
                <w:rFonts w:ascii="Calibri" w:hAnsi="Calibri"/>
              </w:rPr>
            </w:r>
            <w:r>
              <w:rPr>
                <w:rFonts w:ascii="Calibri" w:hAnsi="Calibri"/>
                <w:sz w:val="18"/>
              </w:rPr>
              <w:t>Prescripteurs / vente projet directe</w:t>
            </w:r>
          </w:p>
        </w:tc>
        <w:tc>
          <w:tcPr>
            <w:tcW w:type="dxa" w:w="3135"/>
          </w:tcPr>
          <w:p>
            <w:r>
              <w:rPr>
                <w:rFonts w:ascii="Calibri" w:hAnsi="Calibri"/>
              </w:rPr>
            </w:r>
            <w:r>
              <w:rPr>
                <w:rFonts w:ascii="Calibri" w:hAnsi="Calibri"/>
                <w:sz w:val="18"/>
              </w:rPr>
              <w:t>10–15%</w:t>
            </w:r>
          </w:p>
        </w:tc>
        <w:tc>
          <w:tcPr>
            <w:tcW w:type="dxa" w:w="3135"/>
          </w:tcPr>
          <w:p>
            <w:r>
              <w:rPr>
                <w:rFonts w:ascii="Calibri" w:hAnsi="Calibri"/>
              </w:rPr>
            </w:r>
            <w:r>
              <w:rPr>
                <w:rFonts w:ascii="Calibri" w:hAnsi="Calibri"/>
                <w:sz w:val="18"/>
              </w:rPr>
              <w:t>Architectes SIA, ingénieurs, BIM managers (très influents)</w:t>
            </w:r>
          </w:p>
        </w:tc>
      </w:tr>
      <w:tr>
        <w:tc>
          <w:tcPr>
            <w:tcW w:type="dxa" w:w="3135"/>
          </w:tcPr>
          <w:p>
            <w:r>
              <w:rPr>
                <w:rFonts w:ascii="Calibri" w:hAnsi="Calibri"/>
              </w:rPr>
            </w:r>
            <w:r>
              <w:rPr>
                <w:rFonts w:ascii="Calibri" w:hAnsi="Calibri"/>
                <w:sz w:val="18"/>
              </w:rPr>
              <w:t>Marchés publics (simap.ch)</w:t>
            </w:r>
          </w:p>
        </w:tc>
        <w:tc>
          <w:tcPr>
            <w:tcW w:type="dxa" w:w="3135"/>
          </w:tcPr>
          <w:p>
            <w:r>
              <w:rPr>
                <w:rFonts w:ascii="Calibri" w:hAnsi="Calibri"/>
              </w:rPr>
            </w:r>
            <w:r>
              <w:rPr>
                <w:rFonts w:ascii="Calibri" w:hAnsi="Calibri"/>
                <w:sz w:val="18"/>
              </w:rPr>
              <w:t>~30% en hausse</w:t>
            </w:r>
          </w:p>
        </w:tc>
        <w:tc>
          <w:tcPr>
            <w:tcW w:type="dxa" w:w="3135"/>
          </w:tcPr>
          <w:p>
            <w:r>
              <w:rPr>
                <w:rFonts w:ascii="Calibri" w:hAnsi="Calibri"/>
              </w:rPr>
            </w:r>
            <w:r>
              <w:rPr>
                <w:rFonts w:ascii="Calibri" w:hAnsi="Calibri"/>
                <w:sz w:val="18"/>
              </w:rPr>
              <w:t>simap.ch (obligatoire depuis juil. 2024 au-dessus des seuils)</w:t>
            </w:r>
          </w:p>
        </w:tc>
      </w:tr>
      <w:tr>
        <w:tc>
          <w:tcPr>
            <w:tcW w:type="dxa" w:w="3135"/>
          </w:tcPr>
          <w:p>
            <w:r>
              <w:rPr>
                <w:rFonts w:ascii="Calibri" w:hAnsi="Calibri"/>
              </w:rPr>
            </w:r>
            <w:r>
              <w:rPr>
                <w:rFonts w:ascii="Calibri" w:hAnsi="Calibri"/>
                <w:sz w:val="18"/>
              </w:rPr>
              <w:t>Installateurs (formation Suissetec)</w:t>
            </w:r>
          </w:p>
        </w:tc>
        <w:tc>
          <w:tcPr>
            <w:tcW w:type="dxa" w:w="3135"/>
          </w:tcPr>
          <w:p>
            <w:r>
              <w:rPr>
                <w:rFonts w:ascii="Calibri" w:hAnsi="Calibri"/>
              </w:rPr>
            </w:r>
            <w:r>
              <w:rPr>
                <w:rFonts w:ascii="Calibri" w:hAnsi="Calibri"/>
                <w:sz w:val="18"/>
              </w:rPr>
              <w:t>Canal indirect</w:t>
            </w:r>
          </w:p>
        </w:tc>
        <w:tc>
          <w:tcPr>
            <w:tcW w:type="dxa" w:w="3135"/>
          </w:tcPr>
          <w:p>
            <w:r>
              <w:rPr>
                <w:rFonts w:ascii="Calibri" w:hAnsi="Calibri"/>
              </w:rPr>
            </w:r>
            <w:r>
              <w:rPr>
                <w:rFonts w:ascii="Calibri" w:hAnsi="Calibri"/>
                <w:sz w:val="18"/>
              </w:rPr>
              <w:t>Suissetec : 3 600 entreprises, 24 sections régionales</w:t>
            </w:r>
          </w:p>
        </w:tc>
      </w:tr>
    </w:tbl>
    <w:p>
      <w:pPr>
        <w:pStyle w:val="ListBullet"/>
        <w:spacing w:before="80" w:after="80"/>
        <w:ind w:left="0"/>
      </w:pPr>
      <w:r>
        <w:rPr>
          <w:rFonts w:ascii="Calibri" w:hAnsi="Calibri"/>
          <w:b w:val="0"/>
          <w:i w:val="0"/>
          <w:sz w:val="20"/>
        </w:rPr>
        <w:t>Meier Tobler SA = porte d'entrée distributeur prioritaire pour Presto en Suisse. Canal à développer en priorité. CA 2024 : CHF 496 M (sanitaire + chauffage combinés).</w:t>
      </w:r>
    </w:p>
    <w:p>
      <w:pPr>
        <w:pStyle w:val="ListBullet"/>
        <w:spacing w:before="80" w:after="80"/>
        <w:ind w:left="0"/>
      </w:pPr>
      <w:r>
        <w:rPr>
          <w:rFonts w:ascii="Calibri" w:hAnsi="Calibri"/>
          <w:b w:val="0"/>
          <w:i w:val="0"/>
          <w:sz w:val="20"/>
        </w:rPr>
        <w:t>[DONNÉE NON DISPONIBLE — répartition exacte des ventes grossistes / prescripteurs / e-commerce en Suisse]</w:t>
      </w:r>
    </w:p>
    <w:p>
      <w:pPr>
        <w:pStyle w:val="Heading2"/>
        <w:spacing w:before="280" w:after="120"/>
      </w:pPr>
      <w:r>
        <w:rPr>
          <w:rFonts w:ascii="Calibri" w:hAnsi="Calibri"/>
          <w:color w:val="595959"/>
        </w:rPr>
        <w:t>5.4 Dynamique et perspectives 2025-2030</w:t>
      </w:r>
    </w:p>
    <w:p>
      <w:pPr>
        <w:pStyle w:val="ListBullet"/>
        <w:spacing w:before="80" w:after="80"/>
        <w:ind w:left="0"/>
      </w:pPr>
      <w:r>
        <w:rPr>
          <w:rFonts w:ascii="Calibri" w:hAnsi="Calibri"/>
          <w:b w:val="0"/>
          <w:i w:val="0"/>
          <w:sz w:val="20"/>
        </w:rPr>
        <w:t>Marché robinetterie CH corrélé à la construction : +2%/an prévu 2025-2026, résilience démontrée. (SSE 2025)</w:t>
      </w:r>
    </w:p>
    <w:p>
      <w:pPr>
        <w:pStyle w:val="ListBullet"/>
        <w:spacing w:before="80" w:after="80"/>
        <w:ind w:left="0"/>
      </w:pPr>
      <w:r>
        <w:rPr>
          <w:rFonts w:ascii="Calibri" w:hAnsi="Calibri"/>
          <w:b w:val="0"/>
          <w:i w:val="0"/>
          <w:sz w:val="20"/>
        </w:rPr>
        <w:t>Rénovation énergétique = driver structurel → robinetterie économiseurs eau intégrée aux lots sanitaires lors des rénovations (Programme Bâtiments 528 M CHF/an).</w:t>
      </w:r>
    </w:p>
    <w:p>
      <w:pPr>
        <w:pStyle w:val="ListBullet"/>
        <w:spacing w:before="80" w:after="80"/>
        <w:ind w:left="0"/>
      </w:pPr>
      <w:r>
        <w:rPr>
          <w:rFonts w:ascii="Calibri" w:hAnsi="Calibri"/>
          <w:b w:val="0"/>
          <w:i w:val="0"/>
          <w:sz w:val="20"/>
        </w:rPr>
        <w:t>Robinetterie électronique et infrarouge : croissance forte en Suisse (smart building CHF 1,35 Md). Préférence marquée dans ERP publics post-2022.</w:t>
      </w:r>
    </w:p>
    <w:p>
      <w:pPr>
        <w:pStyle w:val="ListBullet"/>
        <w:spacing w:before="80" w:after="80"/>
        <w:ind w:left="0"/>
      </w:pPr>
      <w:r>
        <w:rPr>
          <w:rFonts w:ascii="Calibri" w:hAnsi="Calibri"/>
          <w:b w:val="0"/>
          <w:i w:val="0"/>
          <w:sz w:val="20"/>
        </w:rPr>
        <w:t>Vieillissement démographique → augmentation EMS et rénovation hospitalière → segment santé en croissance structurelle 2025-2040.</w:t>
      </w:r>
    </w:p>
    <w:p>
      <w:pPr>
        <w:pStyle w:val="ListBullet"/>
        <w:spacing w:before="80" w:after="80"/>
        <w:ind w:left="0"/>
      </w:pPr>
      <w:r>
        <w:rPr>
          <w:rFonts w:ascii="Calibri" w:hAnsi="Calibri"/>
          <w:b w:val="0"/>
          <w:i w:val="0"/>
          <w:sz w:val="20"/>
        </w:rPr>
        <w:t>Droits de douane supprimés (HS 8481, 0% depuis jan. 2024) → amélioration compétitivité produits français importés. (kmu.admin.ch)</w:t>
      </w:r>
    </w:p>
    <w:p>
      <w:pPr>
        <w:spacing w:before="80" w:after="80"/>
      </w:pPr>
    </w:p>
    <w:p>
      <w:pPr>
        <w:pStyle w:val="Heading1"/>
        <w:pageBreakBefore/>
        <w:spacing w:before="280" w:after="120"/>
      </w:pPr>
      <w:r>
        <w:rPr>
          <w:rFonts w:ascii="Calibri" w:hAnsi="Calibri"/>
          <w:color w:val="595959"/>
        </w:rPr>
        <w:t>PARTIE 6 — TAILLE MARCHÉ : ROBINETTERIE COLLECTIVE ERP</w:t>
      </w:r>
    </w:p>
    <w:p>
      <w:pPr>
        <w:pStyle w:val="Heading2"/>
        <w:spacing w:before="280" w:after="120"/>
      </w:pPr>
      <w:r>
        <w:rPr>
          <w:rFonts w:ascii="Calibri" w:hAnsi="Calibri"/>
          <w:color w:val="595959"/>
        </w:rPr>
        <w:t>6.1 Taille et valeur du marché robinetterie collective ERP</w:t>
      </w:r>
    </w:p>
    <w:p>
      <w:pPr>
        <w:pStyle w:val="ListBullet"/>
        <w:spacing w:before="80" w:after="80"/>
        <w:ind w:left="0"/>
      </w:pPr>
      <w:r>
        <w:rPr>
          <w:rFonts w:ascii="Calibri" w:hAnsi="Calibri"/>
          <w:b w:val="0"/>
          <w:i w:val="0"/>
          <w:sz w:val="20"/>
        </w:rPr>
        <w:t>[DONNÉE NON DISPONIBLE — Aucune donnée directe sur la taille du marché robinetterie collective ERP en Suisse. Estimations ci-dessous par extrapolation depuis France (méthode MAB). À confirmer via Meier Tobler, Suissetec, SVGW ou études sectorielles.]</w:t>
      </w:r>
    </w:p>
    <w:p>
      <w:pPr>
        <w:pStyle w:val="ListBullet"/>
        <w:spacing w:before="80" w:after="80"/>
        <w:ind w:left="0"/>
      </w:pPr>
      <w:r>
        <w:rPr>
          <w:rFonts w:ascii="Calibri" w:hAnsi="Calibri"/>
          <w:b w:val="0"/>
          <w:i w:val="0"/>
          <w:sz w:val="20"/>
        </w:rPr>
        <w:t>Estimation robinetterie ERP Suisse (collectivités strictes) : 26,5–33 M€ (~28–35 M CHF) selon Méthode 1. Périmètre élargi (collectivités + WC + douches) : 64–79 M€ (~67–83 M CHF).</w:t>
      </w:r>
    </w:p>
    <w:p>
      <w:pPr>
        <w:pStyle w:val="Heading2"/>
        <w:spacing w:before="280" w:after="120"/>
      </w:pPr>
      <w:r>
        <w:rPr>
          <w:rFonts w:ascii="Calibri" w:hAnsi="Calibri"/>
          <w:color w:val="595959"/>
        </w:rPr>
        <w:t>6.2 Méthode d'extrapolation — Détail du calcul</w:t>
      </w:r>
    </w:p>
    <w:p>
      <w:pPr>
        <w:spacing w:before="80" w:after="80"/>
      </w:pPr>
      <w:r>
        <w:rPr>
          <w:rFonts w:ascii="Calibri" w:hAnsi="Calibri"/>
          <w:b w:val="0"/>
          <w:i w:val="0"/>
          <w:sz w:val="20"/>
        </w:rPr>
        <w:t>Méthode 1 — base Analyse de Marché France (source interne Presto, déc. 2024)</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EBEBEB"/>
          </w:tcPr>
          <w:p>
            <w:r>
              <w:rPr>
                <w:rFonts w:ascii="Calibri" w:hAnsi="Calibri"/>
              </w:rPr>
            </w:r>
            <w:r>
              <w:rPr>
                <w:rFonts w:ascii="Calibri" w:hAnsi="Calibri"/>
                <w:b/>
                <w:color w:val="595959"/>
                <w:sz w:val="18"/>
              </w:rPr>
              <w:t>Étape</w:t>
            </w:r>
          </w:p>
        </w:tc>
        <w:tc>
          <w:tcPr>
            <w:tcW w:type="dxa" w:w="3135"/>
            <w:shd w:val="clear" w:color="auto" w:fill="EBEBEB"/>
          </w:tcPr>
          <w:p>
            <w:r>
              <w:rPr>
                <w:rFonts w:ascii="Calibri" w:hAnsi="Calibri"/>
              </w:rPr>
            </w:r>
            <w:r>
              <w:rPr>
                <w:rFonts w:ascii="Calibri" w:hAnsi="Calibri"/>
                <w:b/>
                <w:color w:val="595959"/>
                <w:sz w:val="18"/>
              </w:rPr>
              <w:t>Calcul</w:t>
            </w:r>
          </w:p>
        </w:tc>
        <w:tc>
          <w:tcPr>
            <w:tcW w:type="dxa" w:w="3135"/>
            <w:shd w:val="clear" w:color="auto" w:fill="EBEBEB"/>
          </w:tcPr>
          <w:p>
            <w:r>
              <w:rPr>
                <w:rFonts w:ascii="Calibri" w:hAnsi="Calibri"/>
              </w:rPr>
            </w:r>
            <w:r>
              <w:rPr>
                <w:rFonts w:ascii="Calibri" w:hAnsi="Calibri"/>
                <w:b/>
                <w:color w:val="595959"/>
                <w:sz w:val="18"/>
              </w:rPr>
              <w:t>Résultat</w:t>
            </w:r>
          </w:p>
        </w:tc>
      </w:tr>
      <w:tr>
        <w:tc>
          <w:tcPr>
            <w:tcW w:type="dxa" w:w="3135"/>
          </w:tcPr>
          <w:p>
            <w:r>
              <w:rPr>
                <w:rFonts w:ascii="Calibri" w:hAnsi="Calibri"/>
              </w:rPr>
            </w:r>
            <w:r>
              <w:rPr>
                <w:rFonts w:ascii="Calibri" w:hAnsi="Calibri"/>
                <w:sz w:val="18"/>
              </w:rPr>
              <w:t>PIB/hab Suisse 2024</w:t>
            </w:r>
          </w:p>
        </w:tc>
        <w:tc>
          <w:tcPr>
            <w:tcW w:type="dxa" w:w="3135"/>
          </w:tcPr>
          <w:p>
            <w:r>
              <w:rPr>
                <w:rFonts w:ascii="Calibri" w:hAnsi="Calibri"/>
              </w:rPr>
            </w:r>
            <w:r>
              <w:rPr>
                <w:rFonts w:ascii="Calibri" w:hAnsi="Calibri"/>
                <w:sz w:val="18"/>
              </w:rPr>
              <w:t>Worldometers / Trading Economics</w:t>
            </w:r>
          </w:p>
        </w:tc>
        <w:tc>
          <w:tcPr>
            <w:tcW w:type="dxa" w:w="3135"/>
          </w:tcPr>
          <w:p>
            <w:r>
              <w:rPr>
                <w:rFonts w:ascii="Calibri" w:hAnsi="Calibri"/>
              </w:rPr>
            </w:r>
            <w:r>
              <w:rPr>
                <w:rFonts w:ascii="Calibri" w:hAnsi="Calibri"/>
                <w:sz w:val="18"/>
              </w:rPr>
              <w:t>89 783 USD</w:t>
            </w:r>
          </w:p>
        </w:tc>
      </w:tr>
      <w:tr>
        <w:tc>
          <w:tcPr>
            <w:tcW w:type="dxa" w:w="3135"/>
          </w:tcPr>
          <w:p>
            <w:r>
              <w:rPr>
                <w:rFonts w:ascii="Calibri" w:hAnsi="Calibri"/>
              </w:rPr>
            </w:r>
            <w:r>
              <w:rPr>
                <w:rFonts w:ascii="Calibri" w:hAnsi="Calibri"/>
                <w:sz w:val="18"/>
              </w:rPr>
              <w:t>PIB/hab France 2025 (constante MAB)</w:t>
            </w:r>
          </w:p>
        </w:tc>
        <w:tc>
          <w:tcPr>
            <w:tcW w:type="dxa" w:w="3135"/>
          </w:tcPr>
          <w:p>
            <w:r>
              <w:rPr>
                <w:rFonts w:ascii="Calibri" w:hAnsi="Calibri"/>
              </w:rPr>
            </w:r>
            <w:r>
              <w:rPr>
                <w:rFonts w:ascii="Calibri" w:hAnsi="Calibri"/>
                <w:sz w:val="18"/>
              </w:rPr>
              <w:t>Worldometers</w:t>
            </w:r>
          </w:p>
        </w:tc>
        <w:tc>
          <w:tcPr>
            <w:tcW w:type="dxa" w:w="3135"/>
          </w:tcPr>
          <w:p>
            <w:r>
              <w:rPr>
                <w:rFonts w:ascii="Calibri" w:hAnsi="Calibri"/>
              </w:rPr>
            </w:r>
            <w:r>
              <w:rPr>
                <w:rFonts w:ascii="Calibri" w:hAnsi="Calibri"/>
                <w:sz w:val="18"/>
              </w:rPr>
              <w:t>48 982 USD</w:t>
            </w:r>
          </w:p>
        </w:tc>
      </w:tr>
      <w:tr>
        <w:tc>
          <w:tcPr>
            <w:tcW w:type="dxa" w:w="3135"/>
          </w:tcPr>
          <w:p>
            <w:r>
              <w:rPr>
                <w:rFonts w:ascii="Calibri" w:hAnsi="Calibri"/>
              </w:rPr>
            </w:r>
            <w:r>
              <w:rPr>
                <w:rFonts w:ascii="Calibri" w:hAnsi="Calibri"/>
                <w:sz w:val="18"/>
              </w:rPr>
              <w:t>Ratio PIB/hab</w:t>
            </w:r>
          </w:p>
        </w:tc>
        <w:tc>
          <w:tcPr>
            <w:tcW w:type="dxa" w:w="3135"/>
          </w:tcPr>
          <w:p>
            <w:r>
              <w:rPr>
                <w:rFonts w:ascii="Calibri" w:hAnsi="Calibri"/>
              </w:rPr>
            </w:r>
            <w:r>
              <w:rPr>
                <w:rFonts w:ascii="Calibri" w:hAnsi="Calibri"/>
                <w:sz w:val="18"/>
              </w:rPr>
              <w:t>89 783 / 48 982</w:t>
            </w:r>
          </w:p>
        </w:tc>
        <w:tc>
          <w:tcPr>
            <w:tcW w:type="dxa" w:w="3135"/>
          </w:tcPr>
          <w:p>
            <w:r>
              <w:rPr>
                <w:rFonts w:ascii="Calibri" w:hAnsi="Calibri"/>
              </w:rPr>
            </w:r>
            <w:r>
              <w:rPr>
                <w:rFonts w:ascii="Calibri" w:hAnsi="Calibri"/>
                <w:sz w:val="18"/>
              </w:rPr>
              <w:t>1,833</w:t>
            </w:r>
          </w:p>
        </w:tc>
      </w:tr>
      <w:tr>
        <w:tc>
          <w:tcPr>
            <w:tcW w:type="dxa" w:w="3135"/>
          </w:tcPr>
          <w:p>
            <w:r>
              <w:rPr>
                <w:rFonts w:ascii="Calibri" w:hAnsi="Calibri"/>
              </w:rPr>
            </w:r>
            <w:r>
              <w:rPr>
                <w:rFonts w:ascii="Calibri" w:hAnsi="Calibri"/>
                <w:sz w:val="18"/>
              </w:rPr>
              <w:t>Population Suisse 2024</w:t>
            </w:r>
          </w:p>
        </w:tc>
        <w:tc>
          <w:tcPr>
            <w:tcW w:type="dxa" w:w="3135"/>
          </w:tcPr>
          <w:p>
            <w:r>
              <w:rPr>
                <w:rFonts w:ascii="Calibri" w:hAnsi="Calibri"/>
              </w:rPr>
            </w:r>
            <w:r>
              <w:rPr>
                <w:rFonts w:ascii="Calibri" w:hAnsi="Calibri"/>
                <w:sz w:val="18"/>
              </w:rPr>
              <w:t>OFS / Worldometers</w:t>
            </w:r>
          </w:p>
        </w:tc>
        <w:tc>
          <w:tcPr>
            <w:tcW w:type="dxa" w:w="3135"/>
          </w:tcPr>
          <w:p>
            <w:r>
              <w:rPr>
                <w:rFonts w:ascii="Calibri" w:hAnsi="Calibri"/>
              </w:rPr>
            </w:r>
            <w:r>
              <w:rPr>
                <w:rFonts w:ascii="Calibri" w:hAnsi="Calibri"/>
                <w:sz w:val="18"/>
              </w:rPr>
              <w:t>8,9 M</w:t>
            </w:r>
          </w:p>
        </w:tc>
      </w:tr>
      <w:tr>
        <w:tc>
          <w:tcPr>
            <w:tcW w:type="dxa" w:w="3135"/>
          </w:tcPr>
          <w:p>
            <w:r>
              <w:rPr>
                <w:rFonts w:ascii="Calibri" w:hAnsi="Calibri"/>
              </w:rPr>
            </w:r>
            <w:r>
              <w:rPr>
                <w:rFonts w:ascii="Calibri" w:hAnsi="Calibri"/>
                <w:sz w:val="18"/>
              </w:rPr>
              <w:t>Population France 2025 (constante MAB)</w:t>
            </w:r>
          </w:p>
        </w:tc>
        <w:tc>
          <w:tcPr>
            <w:tcW w:type="dxa" w:w="3135"/>
          </w:tcPr>
          <w:p>
            <w:r>
              <w:rPr>
                <w:rFonts w:ascii="Calibri" w:hAnsi="Calibri"/>
              </w:rPr>
            </w:r>
            <w:r>
              <w:rPr>
                <w:rFonts w:ascii="Calibri" w:hAnsi="Calibri"/>
                <w:sz w:val="18"/>
              </w:rPr>
              <w:t>Worldometers</w:t>
            </w:r>
          </w:p>
        </w:tc>
        <w:tc>
          <w:tcPr>
            <w:tcW w:type="dxa" w:w="3135"/>
          </w:tcPr>
          <w:p>
            <w:r>
              <w:rPr>
                <w:rFonts w:ascii="Calibri" w:hAnsi="Calibri"/>
              </w:rPr>
            </w:r>
            <w:r>
              <w:rPr>
                <w:rFonts w:ascii="Calibri" w:hAnsi="Calibri"/>
                <w:sz w:val="18"/>
              </w:rPr>
              <w:t>69,1 M</w:t>
            </w:r>
          </w:p>
        </w:tc>
      </w:tr>
      <w:tr>
        <w:tc>
          <w:tcPr>
            <w:tcW w:type="dxa" w:w="3135"/>
          </w:tcPr>
          <w:p>
            <w:r>
              <w:rPr>
                <w:rFonts w:ascii="Calibri" w:hAnsi="Calibri"/>
              </w:rPr>
            </w:r>
            <w:r>
              <w:rPr>
                <w:rFonts w:ascii="Calibri" w:hAnsi="Calibri"/>
                <w:sz w:val="18"/>
              </w:rPr>
              <w:t>Ratio population</w:t>
            </w:r>
          </w:p>
        </w:tc>
        <w:tc>
          <w:tcPr>
            <w:tcW w:type="dxa" w:w="3135"/>
          </w:tcPr>
          <w:p>
            <w:r>
              <w:rPr>
                <w:rFonts w:ascii="Calibri" w:hAnsi="Calibri"/>
              </w:rPr>
            </w:r>
            <w:r>
              <w:rPr>
                <w:rFonts w:ascii="Calibri" w:hAnsi="Calibri"/>
                <w:sz w:val="18"/>
              </w:rPr>
              <w:t>8,9 / 69,1</w:t>
            </w:r>
          </w:p>
        </w:tc>
        <w:tc>
          <w:tcPr>
            <w:tcW w:type="dxa" w:w="3135"/>
          </w:tcPr>
          <w:p>
            <w:r>
              <w:rPr>
                <w:rFonts w:ascii="Calibri" w:hAnsi="Calibri"/>
              </w:rPr>
            </w:r>
            <w:r>
              <w:rPr>
                <w:rFonts w:ascii="Calibri" w:hAnsi="Calibri"/>
                <w:sz w:val="18"/>
              </w:rPr>
              <w:t>0,1288</w:t>
            </w:r>
          </w:p>
        </w:tc>
      </w:tr>
      <w:tr>
        <w:tc>
          <w:tcPr>
            <w:tcW w:type="dxa" w:w="3135"/>
          </w:tcPr>
          <w:p>
            <w:r>
              <w:rPr>
                <w:rFonts w:ascii="Calibri" w:hAnsi="Calibri"/>
              </w:rPr>
            </w:r>
            <w:r>
              <w:rPr>
                <w:rFonts w:ascii="Calibri" w:hAnsi="Calibri"/>
                <w:sz w:val="18"/>
              </w:rPr>
              <w:t>Coefficient brut X</w:t>
            </w:r>
          </w:p>
        </w:tc>
        <w:tc>
          <w:tcPr>
            <w:tcW w:type="dxa" w:w="3135"/>
          </w:tcPr>
          <w:p>
            <w:r>
              <w:rPr>
                <w:rFonts w:ascii="Calibri" w:hAnsi="Calibri"/>
              </w:rPr>
            </w:r>
            <w:r>
              <w:rPr>
                <w:rFonts w:ascii="Calibri" w:hAnsi="Calibri"/>
                <w:sz w:val="18"/>
              </w:rPr>
              <w:t>1,833 × 0,1288</w:t>
            </w:r>
          </w:p>
        </w:tc>
        <w:tc>
          <w:tcPr>
            <w:tcW w:type="dxa" w:w="3135"/>
          </w:tcPr>
          <w:p>
            <w:r>
              <w:rPr>
                <w:rFonts w:ascii="Calibri" w:hAnsi="Calibri"/>
              </w:rPr>
            </w:r>
            <w:r>
              <w:rPr>
                <w:rFonts w:ascii="Calibri" w:hAnsi="Calibri"/>
                <w:sz w:val="18"/>
              </w:rPr>
              <w:t>0,236</w:t>
            </w:r>
          </w:p>
        </w:tc>
      </w:tr>
      <w:tr>
        <w:tc>
          <w:tcPr>
            <w:tcW w:type="dxa" w:w="3135"/>
          </w:tcPr>
          <w:p>
            <w:r>
              <w:rPr>
                <w:rFonts w:ascii="Calibri" w:hAnsi="Calibri"/>
              </w:rPr>
            </w:r>
            <w:r>
              <w:rPr>
                <w:rFonts w:ascii="Calibri" w:hAnsi="Calibri"/>
                <w:sz w:val="18"/>
              </w:rPr>
              <w:t>Ajustement structurel</w:t>
            </w:r>
          </w:p>
        </w:tc>
        <w:tc>
          <w:tcPr>
            <w:tcW w:type="dxa" w:w="3135"/>
          </w:tcPr>
          <w:p>
            <w:r>
              <w:rPr>
                <w:rFonts w:ascii="Calibri" w:hAnsi="Calibri"/>
              </w:rPr>
            </w:r>
            <w:r>
              <w:rPr>
                <w:rFonts w:ascii="Calibri" w:hAnsi="Calibri"/>
                <w:sz w:val="18"/>
              </w:rPr>
              <w:t>+12% (marché premium, CHF fort, culture entretien)</w:t>
            </w:r>
          </w:p>
        </w:tc>
        <w:tc>
          <w:tcPr>
            <w:tcW w:type="dxa" w:w="3135"/>
          </w:tcPr>
          <w:p>
            <w:r>
              <w:rPr>
                <w:rFonts w:ascii="Calibri" w:hAnsi="Calibri"/>
              </w:rPr>
            </w:r>
            <w:r>
              <w:rPr>
                <w:rFonts w:ascii="Calibri" w:hAnsi="Calibri"/>
                <w:sz w:val="18"/>
              </w:rPr>
              <w:t>× 1,12</w:t>
            </w:r>
          </w:p>
        </w:tc>
      </w:tr>
      <w:tr>
        <w:tc>
          <w:tcPr>
            <w:tcW w:type="dxa" w:w="3135"/>
          </w:tcPr>
          <w:p>
            <w:r>
              <w:rPr>
                <w:rFonts w:ascii="Calibri" w:hAnsi="Calibri"/>
              </w:rPr>
            </w:r>
            <w:r>
              <w:rPr>
                <w:rFonts w:ascii="Calibri" w:hAnsi="Calibri"/>
                <w:sz w:val="18"/>
              </w:rPr>
              <w:t>Coefficient ajusté</w:t>
            </w:r>
          </w:p>
        </w:tc>
        <w:tc>
          <w:tcPr>
            <w:tcW w:type="dxa" w:w="3135"/>
          </w:tcPr>
          <w:p>
            <w:r>
              <w:rPr>
                <w:rFonts w:ascii="Calibri" w:hAnsi="Calibri"/>
              </w:rPr>
            </w:r>
            <w:r>
              <w:rPr>
                <w:rFonts w:ascii="Calibri" w:hAnsi="Calibri"/>
                <w:sz w:val="18"/>
              </w:rPr>
              <w:t>0,236 × 1,12</w:t>
            </w:r>
          </w:p>
        </w:tc>
        <w:tc>
          <w:tcPr>
            <w:tcW w:type="dxa" w:w="3135"/>
          </w:tcPr>
          <w:p>
            <w:r>
              <w:rPr>
                <w:rFonts w:ascii="Calibri" w:hAnsi="Calibri"/>
              </w:rPr>
            </w:r>
            <w:r>
              <w:rPr>
                <w:rFonts w:ascii="Calibri" w:hAnsi="Calibri"/>
                <w:sz w:val="18"/>
              </w:rPr>
              <w:t>0,265</w:t>
            </w:r>
          </w:p>
        </w:tc>
      </w:tr>
      <w:tr>
        <w:tc>
          <w:tcPr>
            <w:tcW w:type="dxa" w:w="3135"/>
          </w:tcPr>
          <w:p>
            <w:r>
              <w:rPr>
                <w:rFonts w:ascii="Calibri" w:hAnsi="Calibri"/>
              </w:rPr>
            </w:r>
            <w:r>
              <w:rPr>
                <w:rFonts w:ascii="Calibri" w:hAnsi="Calibri"/>
                <w:sz w:val="18"/>
              </w:rPr>
              <w:t>Base France robinetterie collectivités (÷2)</w:t>
            </w:r>
          </w:p>
        </w:tc>
        <w:tc>
          <w:tcPr>
            <w:tcW w:type="dxa" w:w="3135"/>
          </w:tcPr>
          <w:p>
            <w:r>
              <w:rPr>
                <w:rFonts w:ascii="Calibri" w:hAnsi="Calibri"/>
              </w:rPr>
            </w:r>
            <w:r>
              <w:rPr>
                <w:rFonts w:ascii="Calibri" w:hAnsi="Calibri"/>
                <w:sz w:val="18"/>
              </w:rPr>
              <w:t>100–125 M€</w:t>
            </w:r>
          </w:p>
        </w:tc>
        <w:tc>
          <w:tcPr>
            <w:tcW w:type="dxa" w:w="3135"/>
          </w:tcPr>
          <w:p>
            <w:r>
              <w:rPr>
                <w:rFonts w:ascii="Calibri" w:hAnsi="Calibri"/>
              </w:rPr>
            </w:r>
            <w:r>
              <w:rPr>
                <w:rFonts w:ascii="Calibri" w:hAnsi="Calibri"/>
                <w:sz w:val="18"/>
              </w:rPr>
              <w:t>—</w:t>
            </w:r>
          </w:p>
        </w:tc>
      </w:tr>
      <w:tr>
        <w:tc>
          <w:tcPr>
            <w:tcW w:type="dxa" w:w="3135"/>
          </w:tcPr>
          <w:p>
            <w:r>
              <w:rPr>
                <w:rFonts w:ascii="Calibri" w:hAnsi="Calibri"/>
              </w:rPr>
            </w:r>
            <w:r>
              <w:rPr>
                <w:rFonts w:ascii="Calibri" w:hAnsi="Calibri"/>
                <w:sz w:val="18"/>
              </w:rPr>
              <w:t>Estimation Suisse ajustée</w:t>
            </w:r>
          </w:p>
        </w:tc>
        <w:tc>
          <w:tcPr>
            <w:tcW w:type="dxa" w:w="3135"/>
          </w:tcPr>
          <w:p>
            <w:r>
              <w:rPr>
                <w:rFonts w:ascii="Calibri" w:hAnsi="Calibri"/>
              </w:rPr>
            </w:r>
            <w:r>
              <w:rPr>
                <w:rFonts w:ascii="Calibri" w:hAnsi="Calibri"/>
                <w:sz w:val="18"/>
              </w:rPr>
              <w:t>100–125 M€ × 0,265</w:t>
            </w:r>
          </w:p>
        </w:tc>
        <w:tc>
          <w:tcPr>
            <w:tcW w:type="dxa" w:w="3135"/>
          </w:tcPr>
          <w:p>
            <w:r>
              <w:rPr>
                <w:rFonts w:ascii="Calibri" w:hAnsi="Calibri"/>
              </w:rPr>
            </w:r>
            <w:r>
              <w:rPr>
                <w:rFonts w:ascii="Calibri" w:hAnsi="Calibri"/>
                <w:sz w:val="18"/>
              </w:rPr>
              <w:t>26,5–33,1 M€</w:t>
            </w:r>
          </w:p>
        </w:tc>
      </w:tr>
    </w:tbl>
    <w:p>
      <w:pPr>
        <w:spacing w:before="80" w:after="80"/>
      </w:pPr>
    </w:p>
    <w:p>
      <w:pPr>
        <w:spacing w:before="80" w:after="80"/>
      </w:pPr>
      <w:r>
        <w:rPr>
          <w:rFonts w:ascii="Calibri" w:hAnsi="Calibri"/>
          <w:b w:val="0"/>
          <w:i w:val="0"/>
          <w:sz w:val="20"/>
        </w:rPr>
        <w:t>Méthode 2 — base Études BRG</w:t>
      </w:r>
    </w:p>
    <w:p>
      <w:pPr>
        <w:spacing w:before="80" w:after="80"/>
      </w:pPr>
      <w:r>
        <w:rPr>
          <w:rFonts w:ascii="Calibri" w:hAnsi="Calibri"/>
          <w:b w:val="0"/>
          <w:i w:val="0"/>
          <w:sz w:val="20"/>
        </w:rPr>
        <w:t>[DONNÉE NON DISPONIBLE — Aucune étude BRG Suisse disponible. Méthode 2 non calculable. Fourchette finale retenue : 26,5–33 M€ (Méthode 1 uniquement). Niveau de confiance : MOYEN. À confirmer terrain.]</w:t>
      </w:r>
    </w:p>
    <w:p>
      <w:pPr>
        <w:spacing w:before="80" w:after="80"/>
      </w:pP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EBEBEB"/>
          </w:tcPr>
          <w:p>
            <w:r>
              <w:rPr>
                <w:rFonts w:ascii="Calibri" w:hAnsi="Calibri"/>
              </w:rPr>
            </w:r>
            <w:r>
              <w:rPr>
                <w:rFonts w:ascii="Calibri" w:hAnsi="Calibri"/>
                <w:b/>
                <w:color w:val="595959"/>
                <w:sz w:val="18"/>
              </w:rPr>
            </w:r>
          </w:p>
        </w:tc>
        <w:tc>
          <w:tcPr>
            <w:tcW w:type="dxa" w:w="3135"/>
            <w:shd w:val="clear" w:color="auto" w:fill="EBEBEB"/>
          </w:tcPr>
          <w:p>
            <w:r>
              <w:rPr>
                <w:rFonts w:ascii="Calibri" w:hAnsi="Calibri"/>
              </w:rPr>
            </w:r>
            <w:r>
              <w:rPr>
                <w:rFonts w:ascii="Calibri" w:hAnsi="Calibri"/>
                <w:b/>
                <w:color w:val="595959"/>
                <w:sz w:val="18"/>
              </w:rPr>
              <w:t>Méthode 1 (base France ÷ 2)</w:t>
            </w:r>
          </w:p>
        </w:tc>
        <w:tc>
          <w:tcPr>
            <w:tcW w:type="dxa" w:w="3135"/>
            <w:shd w:val="clear" w:color="auto" w:fill="EBEBEB"/>
          </w:tcPr>
          <w:p>
            <w:r>
              <w:rPr>
                <w:rFonts w:ascii="Calibri" w:hAnsi="Calibri"/>
              </w:rPr>
            </w:r>
            <w:r>
              <w:rPr>
                <w:rFonts w:ascii="Calibri" w:hAnsi="Calibri"/>
                <w:b/>
                <w:color w:val="595959"/>
                <w:sz w:val="18"/>
              </w:rPr>
              <w:t>Méthode 2 (base BRG Suisse)</w:t>
            </w:r>
          </w:p>
        </w:tc>
      </w:tr>
      <w:tr>
        <w:tc>
          <w:tcPr>
            <w:tcW w:type="dxa" w:w="3135"/>
          </w:tcPr>
          <w:p>
            <w:r>
              <w:rPr>
                <w:rFonts w:ascii="Calibri" w:hAnsi="Calibri"/>
              </w:rPr>
            </w:r>
            <w:r>
              <w:rPr>
                <w:rFonts w:ascii="Calibri" w:hAnsi="Calibri"/>
                <w:sz w:val="18"/>
              </w:rPr>
              <w:t>Base robinetterie collectivités</w:t>
            </w:r>
          </w:p>
        </w:tc>
        <w:tc>
          <w:tcPr>
            <w:tcW w:type="dxa" w:w="3135"/>
          </w:tcPr>
          <w:p>
            <w:r>
              <w:rPr>
                <w:rFonts w:ascii="Calibri" w:hAnsi="Calibri"/>
              </w:rPr>
            </w:r>
            <w:r>
              <w:rPr>
                <w:rFonts w:ascii="Calibri" w:hAnsi="Calibri"/>
                <w:sz w:val="18"/>
              </w:rPr>
              <w:t>100–125 M€ (France, déc. 2024)</w:t>
            </w:r>
          </w:p>
        </w:tc>
        <w:tc>
          <w:tcPr>
            <w:tcW w:type="dxa" w:w="3135"/>
          </w:tcPr>
          <w:p>
            <w:r>
              <w:rPr>
                <w:rFonts w:ascii="Calibri" w:hAnsi="Calibri"/>
              </w:rPr>
            </w:r>
            <w:r>
              <w:rPr>
                <w:rFonts w:ascii="Calibri" w:hAnsi="Calibri"/>
                <w:sz w:val="18"/>
              </w:rPr>
              <w:t>NON DISPONIBLE</w:t>
            </w:r>
          </w:p>
        </w:tc>
      </w:tr>
      <w:tr>
        <w:tc>
          <w:tcPr>
            <w:tcW w:type="dxa" w:w="3135"/>
          </w:tcPr>
          <w:p>
            <w:r>
              <w:rPr>
                <w:rFonts w:ascii="Calibri" w:hAnsi="Calibri"/>
              </w:rPr>
            </w:r>
            <w:r>
              <w:rPr>
                <w:rFonts w:ascii="Calibri" w:hAnsi="Calibri"/>
                <w:sz w:val="18"/>
              </w:rPr>
              <w:t>Coefficient</w:t>
            </w:r>
          </w:p>
        </w:tc>
        <w:tc>
          <w:tcPr>
            <w:tcW w:type="dxa" w:w="3135"/>
          </w:tcPr>
          <w:p>
            <w:r>
              <w:rPr>
                <w:rFonts w:ascii="Calibri" w:hAnsi="Calibri"/>
              </w:rPr>
            </w:r>
            <w:r>
              <w:rPr>
                <w:rFonts w:ascii="Calibri" w:hAnsi="Calibri"/>
                <w:sz w:val="18"/>
              </w:rPr>
              <w:t>0,265 (ajusté +12%)</w:t>
            </w:r>
          </w:p>
        </w:tc>
        <w:tc>
          <w:tcPr>
            <w:tcW w:type="dxa" w:w="3135"/>
          </w:tcPr>
          <w:p>
            <w:r>
              <w:rPr>
                <w:rFonts w:ascii="Calibri" w:hAnsi="Calibri"/>
              </w:rPr>
            </w:r>
            <w:r>
              <w:rPr>
                <w:rFonts w:ascii="Calibri" w:hAnsi="Calibri"/>
                <w:sz w:val="18"/>
              </w:rPr>
              <w:t>N/A</w:t>
            </w:r>
          </w:p>
        </w:tc>
      </w:tr>
      <w:tr>
        <w:tc>
          <w:tcPr>
            <w:tcW w:type="dxa" w:w="3135"/>
          </w:tcPr>
          <w:p>
            <w:r>
              <w:rPr>
                <w:rFonts w:ascii="Calibri" w:hAnsi="Calibri"/>
              </w:rPr>
            </w:r>
            <w:r>
              <w:rPr>
                <w:rFonts w:ascii="Calibri" w:hAnsi="Calibri"/>
                <w:sz w:val="18"/>
              </w:rPr>
              <w:t>Estimation</w:t>
            </w:r>
          </w:p>
        </w:tc>
        <w:tc>
          <w:tcPr>
            <w:tcW w:type="dxa" w:w="3135"/>
          </w:tcPr>
          <w:p>
            <w:r>
              <w:rPr>
                <w:rFonts w:ascii="Calibri" w:hAnsi="Calibri"/>
              </w:rPr>
            </w:r>
            <w:r>
              <w:rPr>
                <w:rFonts w:ascii="Calibri" w:hAnsi="Calibri"/>
                <w:sz w:val="18"/>
              </w:rPr>
              <w:t>26,5–33,1 M€ (~28–35 M CHF)</w:t>
            </w:r>
          </w:p>
        </w:tc>
        <w:tc>
          <w:tcPr>
            <w:tcW w:type="dxa" w:w="3135"/>
          </w:tcPr>
          <w:p>
            <w:r>
              <w:rPr>
                <w:rFonts w:ascii="Calibri" w:hAnsi="Calibri"/>
              </w:rPr>
            </w:r>
            <w:r>
              <w:rPr>
                <w:rFonts w:ascii="Calibri" w:hAnsi="Calibri"/>
                <w:sz w:val="18"/>
              </w:rPr>
              <w:t>N/A</w:t>
            </w:r>
          </w:p>
        </w:tc>
      </w:tr>
      <w:tr>
        <w:tc>
          <w:tcPr>
            <w:tcW w:type="dxa" w:w="3135"/>
          </w:tcPr>
          <w:p>
            <w:r>
              <w:rPr>
                <w:rFonts w:ascii="Calibri" w:hAnsi="Calibri"/>
              </w:rPr>
            </w:r>
            <w:r>
              <w:rPr>
                <w:rFonts w:ascii="Calibri" w:hAnsi="Calibri"/>
                <w:sz w:val="18"/>
              </w:rPr>
              <w:t>Fourchette retenue</w:t>
            </w:r>
          </w:p>
        </w:tc>
        <w:tc>
          <w:tcPr>
            <w:tcW w:type="dxa" w:w="3135"/>
          </w:tcPr>
          <w:p>
            <w:r>
              <w:rPr>
                <w:rFonts w:ascii="Calibri" w:hAnsi="Calibri"/>
              </w:rPr>
            </w:r>
            <w:r>
              <w:rPr>
                <w:rFonts w:ascii="Calibri" w:hAnsi="Calibri"/>
                <w:sz w:val="18"/>
              </w:rPr>
              <w:t>26,5–33 M€</w:t>
            </w:r>
          </w:p>
        </w:tc>
        <w:tc>
          <w:tcPr>
            <w:tcW w:type="dxa" w:w="3135"/>
          </w:tcPr>
          <w:p>
            <w:r>
              <w:rPr>
                <w:rFonts w:ascii="Calibri" w:hAnsi="Calibri"/>
              </w:rPr>
            </w:r>
            <w:r>
              <w:rPr>
                <w:rFonts w:ascii="Calibri" w:hAnsi="Calibri"/>
                <w:sz w:val="18"/>
              </w:rPr>
              <w:t>N/A</w:t>
            </w:r>
          </w:p>
        </w:tc>
      </w:tr>
      <w:tr>
        <w:tc>
          <w:tcPr>
            <w:tcW w:type="dxa" w:w="3135"/>
          </w:tcPr>
          <w:p>
            <w:r>
              <w:rPr>
                <w:rFonts w:ascii="Calibri" w:hAnsi="Calibri"/>
              </w:rPr>
            </w:r>
            <w:r>
              <w:rPr>
                <w:rFonts w:ascii="Calibri" w:hAnsi="Calibri"/>
                <w:sz w:val="18"/>
              </w:rPr>
              <w:t>Niveau de confiance</w:t>
            </w:r>
          </w:p>
        </w:tc>
        <w:tc>
          <w:tcPr>
            <w:tcW w:type="dxa" w:w="3135"/>
          </w:tcPr>
          <w:p>
            <w:r>
              <w:rPr>
                <w:rFonts w:ascii="Calibri" w:hAnsi="Calibri"/>
              </w:rPr>
            </w:r>
            <w:r>
              <w:rPr>
                <w:rFonts w:ascii="Calibri" w:hAnsi="Calibri"/>
                <w:sz w:val="18"/>
              </w:rPr>
              <w:t>Moyen</w:t>
            </w:r>
          </w:p>
        </w:tc>
        <w:tc>
          <w:tcPr>
            <w:tcW w:type="dxa" w:w="3135"/>
          </w:tcPr>
          <w:p>
            <w:r>
              <w:rPr>
                <w:rFonts w:ascii="Calibri" w:hAnsi="Calibri"/>
              </w:rPr>
            </w:r>
            <w:r>
              <w:rPr>
                <w:rFonts w:ascii="Calibri" w:hAnsi="Calibri"/>
                <w:sz w:val="18"/>
              </w:rPr>
              <w:t>N/A</w:t>
            </w:r>
          </w:p>
        </w:tc>
      </w:tr>
      <w:tr>
        <w:tc>
          <w:tcPr>
            <w:tcW w:type="dxa" w:w="3135"/>
          </w:tcPr>
          <w:p>
            <w:r>
              <w:rPr>
                <w:rFonts w:ascii="Calibri" w:hAnsi="Calibri"/>
              </w:rPr>
            </w:r>
            <w:r>
              <w:rPr>
                <w:rFonts w:ascii="Calibri" w:hAnsi="Calibri"/>
                <w:sz w:val="18"/>
              </w:rPr>
              <w:t>Fourchette finale consolidée</w:t>
            </w:r>
          </w:p>
        </w:tc>
        <w:tc>
          <w:tcPr>
            <w:tcW w:type="dxa" w:w="3135"/>
          </w:tcPr>
          <w:p>
            <w:r>
              <w:rPr>
                <w:rFonts w:ascii="Calibri" w:hAnsi="Calibri"/>
              </w:rPr>
            </w:r>
            <w:r>
              <w:rPr>
                <w:rFonts w:ascii="Calibri" w:hAnsi="Calibri"/>
                <w:sz w:val="18"/>
              </w:rPr>
              <w:t>26,5–33 M€ — niveau de confiance MOYEN</w:t>
            </w:r>
          </w:p>
        </w:tc>
        <w:tc>
          <w:tcPr>
            <w:tcW w:type="dxa" w:w="3135"/>
          </w:tcPr>
          <w:p>
            <w:r>
              <w:rPr>
                <w:rFonts w:ascii="Calibri" w:hAnsi="Calibri"/>
              </w:rPr>
            </w:r>
            <w:r>
              <w:rPr>
                <w:rFonts w:ascii="Calibri" w:hAnsi="Calibri"/>
                <w:sz w:val="18"/>
              </w:rPr>
            </w:r>
          </w:p>
        </w:tc>
      </w:tr>
    </w:tbl>
    <w:p>
      <w:pPr>
        <w:spacing w:before="80" w:after="80"/>
      </w:pPr>
    </w:p>
    <w:p>
      <w:pPr>
        <w:spacing w:before="80" w:after="80"/>
      </w:pPr>
      <w:r>
        <w:rPr>
          <w:rFonts w:ascii="Calibri" w:hAnsi="Calibri"/>
          <w:b w:val="0"/>
          <w:i/>
          <w:color w:val="595959"/>
          <w:sz w:val="18"/>
        </w:rPr>
        <w:t>⚠ Limites : méthode ne capte pas l'économie informelle (quasi-nulle en Suisse → biais limité). Ne reflète pas les spécificités sectorielles locales. Volatilité CHF/EUR peut fausser la comparaison. Ajustement +12% repose sur hypothèses à confirmer terrain (Meier Tobler, installateurs).</w:t>
      </w:r>
    </w:p>
    <w:p>
      <w:pPr>
        <w:pStyle w:val="Heading2"/>
        <w:spacing w:before="280" w:after="120"/>
      </w:pPr>
      <w:r>
        <w:rPr>
          <w:rFonts w:ascii="Calibri" w:hAnsi="Calibri"/>
          <w:color w:val="595959"/>
        </w:rPr>
        <w:t>6.3 Évaluation du potentiel par segment ERP — Scoring</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EBEBEB"/>
          </w:tcPr>
          <w:p>
            <w:r>
              <w:rPr>
                <w:rFonts w:ascii="Calibri" w:hAnsi="Calibri"/>
              </w:rPr>
            </w:r>
            <w:r>
              <w:rPr>
                <w:rFonts w:ascii="Calibri" w:hAnsi="Calibri"/>
                <w:b/>
                <w:color w:val="595959"/>
                <w:sz w:val="16"/>
              </w:rPr>
              <w:t>Segment</w:t>
            </w:r>
          </w:p>
        </w:tc>
        <w:tc>
          <w:tcPr>
            <w:tcW w:type="dxa" w:w="2351"/>
            <w:shd w:val="clear" w:color="auto" w:fill="EBEBEB"/>
          </w:tcPr>
          <w:p>
            <w:r>
              <w:rPr>
                <w:rFonts w:ascii="Calibri" w:hAnsi="Calibri"/>
              </w:rPr>
            </w:r>
            <w:r>
              <w:rPr>
                <w:rFonts w:ascii="Calibri" w:hAnsi="Calibri"/>
                <w:b/>
                <w:color w:val="595959"/>
                <w:sz w:val="16"/>
              </w:rPr>
              <w:t>Score</w:t>
            </w:r>
          </w:p>
        </w:tc>
        <w:tc>
          <w:tcPr>
            <w:tcW w:type="dxa" w:w="2351"/>
            <w:shd w:val="clear" w:color="auto" w:fill="EBEBEB"/>
          </w:tcPr>
          <w:p>
            <w:r>
              <w:rPr>
                <w:rFonts w:ascii="Calibri" w:hAnsi="Calibri"/>
              </w:rPr>
            </w:r>
            <w:r>
              <w:rPr>
                <w:rFonts w:ascii="Calibri" w:hAnsi="Calibri"/>
                <w:b/>
                <w:color w:val="595959"/>
                <w:sz w:val="16"/>
              </w:rPr>
              <w:t>Justification</w:t>
            </w:r>
          </w:p>
        </w:tc>
        <w:tc>
          <w:tcPr>
            <w:tcW w:type="dxa" w:w="2351"/>
            <w:shd w:val="clear" w:color="auto" w:fill="EBEBEB"/>
          </w:tcPr>
          <w:p>
            <w:r>
              <w:rPr>
                <w:rFonts w:ascii="Calibri" w:hAnsi="Calibri"/>
              </w:rPr>
            </w:r>
            <w:r>
              <w:rPr>
                <w:rFonts w:ascii="Calibri" w:hAnsi="Calibri"/>
                <w:b/>
                <w:color w:val="595959"/>
                <w:sz w:val="16"/>
              </w:rPr>
              <w:t>Hypothèses clés</w:t>
            </w:r>
          </w:p>
        </w:tc>
      </w:tr>
      <w:tr>
        <w:tc>
          <w:tcPr>
            <w:tcW w:type="dxa" w:w="2351"/>
          </w:tcPr>
          <w:p>
            <w:r>
              <w:rPr>
                <w:rFonts w:ascii="Calibri" w:hAnsi="Calibri"/>
              </w:rPr>
            </w:r>
            <w:r>
              <w:rPr>
                <w:rFonts w:ascii="Calibri" w:hAnsi="Calibri"/>
                <w:sz w:val="16"/>
              </w:rPr>
              <w:t>4.1 Éducation</w:t>
            </w:r>
          </w:p>
        </w:tc>
        <w:tc>
          <w:tcPr>
            <w:tcW w:type="dxa" w:w="2351"/>
          </w:tcPr>
          <w:p>
            <w:r>
              <w:rPr>
                <w:rFonts w:ascii="Calibri" w:hAnsi="Calibri"/>
              </w:rPr>
            </w:r>
            <w:r>
              <w:rPr>
                <w:rFonts w:ascii="Calibri" w:hAnsi="Calibri"/>
                <w:sz w:val="16"/>
              </w:rPr>
              <w:t>4/5</w:t>
            </w:r>
          </w:p>
        </w:tc>
        <w:tc>
          <w:tcPr>
            <w:tcW w:type="dxa" w:w="2351"/>
          </w:tcPr>
          <w:p>
            <w:r>
              <w:rPr>
                <w:rFonts w:ascii="Calibri" w:hAnsi="Calibri"/>
              </w:rPr>
            </w:r>
            <w:r>
              <w:rPr>
                <w:rFonts w:ascii="Calibri" w:hAnsi="Calibri"/>
                <w:sz w:val="16"/>
              </w:rPr>
              <w:t>Parc dense ~11 700 établissements ; rénovation active ; budget FRI 29,2 Mds CHF</w:t>
            </w:r>
          </w:p>
        </w:tc>
        <w:tc>
          <w:tcPr>
            <w:tcW w:type="dxa" w:w="2351"/>
          </w:tcPr>
          <w:p>
            <w:r>
              <w:rPr>
                <w:rFonts w:ascii="Calibri" w:hAnsi="Calibri"/>
              </w:rPr>
            </w:r>
            <w:r>
              <w:rPr>
                <w:rFonts w:ascii="Calibri" w:hAnsi="Calibri"/>
                <w:sz w:val="16"/>
              </w:rPr>
              <w:t>Données parc à actualiser (OFS 2017/18)</w:t>
            </w:r>
          </w:p>
        </w:tc>
      </w:tr>
      <w:tr>
        <w:tc>
          <w:tcPr>
            <w:tcW w:type="dxa" w:w="2351"/>
          </w:tcPr>
          <w:p>
            <w:r>
              <w:rPr>
                <w:rFonts w:ascii="Calibri" w:hAnsi="Calibri"/>
              </w:rPr>
            </w:r>
            <w:r>
              <w:rPr>
                <w:rFonts w:ascii="Calibri" w:hAnsi="Calibri"/>
                <w:sz w:val="16"/>
              </w:rPr>
              <w:t>4.2 Santé / EMS</w:t>
            </w:r>
          </w:p>
        </w:tc>
        <w:tc>
          <w:tcPr>
            <w:tcW w:type="dxa" w:w="2351"/>
          </w:tcPr>
          <w:p>
            <w:r>
              <w:rPr>
                <w:rFonts w:ascii="Calibri" w:hAnsi="Calibri"/>
              </w:rPr>
            </w:r>
            <w:r>
              <w:rPr>
                <w:rFonts w:ascii="Calibri" w:hAnsi="Calibri"/>
                <w:sz w:val="16"/>
              </w:rPr>
              <w:t>5/5</w:t>
            </w:r>
          </w:p>
        </w:tc>
        <w:tc>
          <w:tcPr>
            <w:tcW w:type="dxa" w:w="2351"/>
          </w:tcPr>
          <w:p>
            <w:r>
              <w:rPr>
                <w:rFonts w:ascii="Calibri" w:hAnsi="Calibri"/>
              </w:rPr>
            </w:r>
            <w:r>
              <w:rPr>
                <w:rFonts w:ascii="Calibri" w:hAnsi="Calibri"/>
                <w:sz w:val="16"/>
              </w:rPr>
              <w:t>278 hôpitaux + 1 465 EMS ; vieillissement ; pipeline HUG+CHUV &gt;1,5 Mds CHF</w:t>
            </w:r>
          </w:p>
        </w:tc>
        <w:tc>
          <w:tcPr>
            <w:tcW w:type="dxa" w:w="2351"/>
          </w:tcPr>
          <w:p>
            <w:r>
              <w:rPr>
                <w:rFonts w:ascii="Calibri" w:hAnsi="Calibri"/>
              </w:rPr>
            </w:r>
            <w:r>
              <w:rPr>
                <w:rFonts w:ascii="Calibri" w:hAnsi="Calibri"/>
                <w:sz w:val="16"/>
              </w:rPr>
              <w:t>Lits/1000 hab 4,5 vs France 5,9 (facteur 0,76)</w:t>
            </w:r>
          </w:p>
        </w:tc>
      </w:tr>
      <w:tr>
        <w:tc>
          <w:tcPr>
            <w:tcW w:type="dxa" w:w="2351"/>
          </w:tcPr>
          <w:p>
            <w:r>
              <w:rPr>
                <w:rFonts w:ascii="Calibri" w:hAnsi="Calibri"/>
              </w:rPr>
            </w:r>
            <w:r>
              <w:rPr>
                <w:rFonts w:ascii="Calibri" w:hAnsi="Calibri"/>
                <w:sz w:val="16"/>
              </w:rPr>
              <w:t>4.3 Tertiaire</w:t>
            </w:r>
          </w:p>
        </w:tc>
        <w:tc>
          <w:tcPr>
            <w:tcW w:type="dxa" w:w="2351"/>
          </w:tcPr>
          <w:p>
            <w:r>
              <w:rPr>
                <w:rFonts w:ascii="Calibri" w:hAnsi="Calibri"/>
              </w:rPr>
            </w:r>
            <w:r>
              <w:rPr>
                <w:rFonts w:ascii="Calibri" w:hAnsi="Calibri"/>
                <w:sz w:val="16"/>
              </w:rPr>
              <w:t>3/5</w:t>
            </w:r>
          </w:p>
        </w:tc>
        <w:tc>
          <w:tcPr>
            <w:tcW w:type="dxa" w:w="2351"/>
          </w:tcPr>
          <w:p>
            <w:r>
              <w:rPr>
                <w:rFonts w:ascii="Calibri" w:hAnsi="Calibri"/>
              </w:rPr>
            </w:r>
            <w:r>
              <w:rPr>
                <w:rFonts w:ascii="Calibri" w:hAnsi="Calibri"/>
                <w:sz w:val="16"/>
              </w:rPr>
              <w:t>Stable ; niche premium multinationales ; surcapacité légère bureaux</w:t>
            </w:r>
          </w:p>
        </w:tc>
        <w:tc>
          <w:tcPr>
            <w:tcW w:type="dxa" w:w="2351"/>
          </w:tcPr>
          <w:p>
            <w:r>
              <w:rPr>
                <w:rFonts w:ascii="Calibri" w:hAnsi="Calibri"/>
              </w:rPr>
            </w:r>
            <w:r>
              <w:rPr>
                <w:rFonts w:ascii="Calibri" w:hAnsi="Calibri"/>
                <w:sz w:val="16"/>
              </w:rPr>
              <w:t>Rénovation &gt; neuf</w:t>
            </w:r>
          </w:p>
        </w:tc>
      </w:tr>
      <w:tr>
        <w:tc>
          <w:tcPr>
            <w:tcW w:type="dxa" w:w="2351"/>
          </w:tcPr>
          <w:p>
            <w:r>
              <w:rPr>
                <w:rFonts w:ascii="Calibri" w:hAnsi="Calibri"/>
              </w:rPr>
            </w:r>
            <w:r>
              <w:rPr>
                <w:rFonts w:ascii="Calibri" w:hAnsi="Calibri"/>
                <w:sz w:val="16"/>
              </w:rPr>
              <w:t>4.4 Industrie</w:t>
            </w:r>
          </w:p>
        </w:tc>
        <w:tc>
          <w:tcPr>
            <w:tcW w:type="dxa" w:w="2351"/>
          </w:tcPr>
          <w:p>
            <w:r>
              <w:rPr>
                <w:rFonts w:ascii="Calibri" w:hAnsi="Calibri"/>
              </w:rPr>
            </w:r>
            <w:r>
              <w:rPr>
                <w:rFonts w:ascii="Calibri" w:hAnsi="Calibri"/>
                <w:sz w:val="16"/>
              </w:rPr>
              <w:t>2/5</w:t>
            </w:r>
          </w:p>
        </w:tc>
        <w:tc>
          <w:tcPr>
            <w:tcW w:type="dxa" w:w="2351"/>
          </w:tcPr>
          <w:p>
            <w:r>
              <w:rPr>
                <w:rFonts w:ascii="Calibri" w:hAnsi="Calibri"/>
              </w:rPr>
            </w:r>
            <w:r>
              <w:rPr>
                <w:rFonts w:ascii="Calibri" w:hAnsi="Calibri"/>
                <w:sz w:val="16"/>
              </w:rPr>
              <w:t>Niche pharma/horlogerie ; valeur unitaire haute mais volumes limités</w:t>
            </w:r>
          </w:p>
        </w:tc>
        <w:tc>
          <w:tcPr>
            <w:tcW w:type="dxa" w:w="2351"/>
          </w:tcPr>
          <w:p>
            <w:r>
              <w:rPr>
                <w:rFonts w:ascii="Calibri" w:hAnsi="Calibri"/>
              </w:rPr>
            </w:r>
            <w:r>
              <w:rPr>
                <w:rFonts w:ascii="Calibri" w:hAnsi="Calibri"/>
                <w:sz w:val="16"/>
              </w:rPr>
              <w:t>Référencement BET process</w:t>
            </w:r>
          </w:p>
        </w:tc>
      </w:tr>
      <w:tr>
        <w:tc>
          <w:tcPr>
            <w:tcW w:type="dxa" w:w="2351"/>
          </w:tcPr>
          <w:p>
            <w:r>
              <w:rPr>
                <w:rFonts w:ascii="Calibri" w:hAnsi="Calibri"/>
              </w:rPr>
            </w:r>
            <w:r>
              <w:rPr>
                <w:rFonts w:ascii="Calibri" w:hAnsi="Calibri"/>
                <w:sz w:val="16"/>
              </w:rPr>
              <w:t>4.5 CHR</w:t>
            </w:r>
          </w:p>
        </w:tc>
        <w:tc>
          <w:tcPr>
            <w:tcW w:type="dxa" w:w="2351"/>
          </w:tcPr>
          <w:p>
            <w:r>
              <w:rPr>
                <w:rFonts w:ascii="Calibri" w:hAnsi="Calibri"/>
              </w:rPr>
            </w:r>
            <w:r>
              <w:rPr>
                <w:rFonts w:ascii="Calibri" w:hAnsi="Calibri"/>
                <w:sz w:val="16"/>
              </w:rPr>
              <w:t>4/5</w:t>
            </w:r>
          </w:p>
        </w:tc>
        <w:tc>
          <w:tcPr>
            <w:tcW w:type="dxa" w:w="2351"/>
          </w:tcPr>
          <w:p>
            <w:r>
              <w:rPr>
                <w:rFonts w:ascii="Calibri" w:hAnsi="Calibri"/>
              </w:rPr>
            </w:r>
            <w:r>
              <w:rPr>
                <w:rFonts w:ascii="Calibri" w:hAnsi="Calibri"/>
                <w:sz w:val="16"/>
              </w:rPr>
              <w:t>42,8 M nuitées record 2024 ; 5 000 établissements ; marché premium</w:t>
            </w:r>
          </w:p>
        </w:tc>
        <w:tc>
          <w:tcPr>
            <w:tcW w:type="dxa" w:w="2351"/>
          </w:tcPr>
          <w:p>
            <w:r>
              <w:rPr>
                <w:rFonts w:ascii="Calibri" w:hAnsi="Calibri"/>
              </w:rPr>
            </w:r>
            <w:r>
              <w:rPr>
                <w:rFonts w:ascii="Calibri" w:hAnsi="Calibri"/>
                <w:sz w:val="16"/>
              </w:rPr>
              <w:t>Facteur CHR 0,216 ; robinetterie design haut de gamme</w:t>
            </w:r>
          </w:p>
        </w:tc>
      </w:tr>
      <w:tr>
        <w:tc>
          <w:tcPr>
            <w:tcW w:type="dxa" w:w="2351"/>
          </w:tcPr>
          <w:p>
            <w:r>
              <w:rPr>
                <w:rFonts w:ascii="Calibri" w:hAnsi="Calibri"/>
              </w:rPr>
            </w:r>
            <w:r>
              <w:rPr>
                <w:rFonts w:ascii="Calibri" w:hAnsi="Calibri"/>
                <w:sz w:val="16"/>
              </w:rPr>
              <w:t>4.6 HPA</w:t>
            </w:r>
          </w:p>
        </w:tc>
        <w:tc>
          <w:tcPr>
            <w:tcW w:type="dxa" w:w="2351"/>
          </w:tcPr>
          <w:p>
            <w:r>
              <w:rPr>
                <w:rFonts w:ascii="Calibri" w:hAnsi="Calibri"/>
              </w:rPr>
            </w:r>
            <w:r>
              <w:rPr>
                <w:rFonts w:ascii="Calibri" w:hAnsi="Calibri"/>
                <w:sz w:val="16"/>
              </w:rPr>
              <w:t>2/5</w:t>
            </w:r>
          </w:p>
        </w:tc>
        <w:tc>
          <w:tcPr>
            <w:tcW w:type="dxa" w:w="2351"/>
          </w:tcPr>
          <w:p>
            <w:r>
              <w:rPr>
                <w:rFonts w:ascii="Calibri" w:hAnsi="Calibri"/>
              </w:rPr>
            </w:r>
            <w:r>
              <w:rPr>
                <w:rFonts w:ascii="Calibri" w:hAnsi="Calibri"/>
                <w:sz w:val="16"/>
              </w:rPr>
              <w:t>Données insuffisantes ; tourisme montagne ; TCS campings</w:t>
            </w:r>
          </w:p>
        </w:tc>
        <w:tc>
          <w:tcPr>
            <w:tcW w:type="dxa" w:w="2351"/>
          </w:tcPr>
          <w:p>
            <w:r>
              <w:rPr>
                <w:rFonts w:ascii="Calibri" w:hAnsi="Calibri"/>
              </w:rPr>
            </w:r>
            <w:r>
              <w:rPr>
                <w:rFonts w:ascii="Calibri" w:hAnsi="Calibri"/>
                <w:sz w:val="16"/>
              </w:rPr>
              <w:t>Qualité attendue élevée malgré segment limité</w:t>
            </w:r>
          </w:p>
        </w:tc>
      </w:tr>
      <w:tr>
        <w:tc>
          <w:tcPr>
            <w:tcW w:type="dxa" w:w="2351"/>
          </w:tcPr>
          <w:p>
            <w:r>
              <w:rPr>
                <w:rFonts w:ascii="Calibri" w:hAnsi="Calibri"/>
              </w:rPr>
            </w:r>
            <w:r>
              <w:rPr>
                <w:rFonts w:ascii="Calibri" w:hAnsi="Calibri"/>
                <w:sz w:val="16"/>
              </w:rPr>
              <w:t>4.7 Sport &amp; Loisirs</w:t>
            </w:r>
          </w:p>
        </w:tc>
        <w:tc>
          <w:tcPr>
            <w:tcW w:type="dxa" w:w="2351"/>
          </w:tcPr>
          <w:p>
            <w:r>
              <w:rPr>
                <w:rFonts w:ascii="Calibri" w:hAnsi="Calibri"/>
              </w:rPr>
            </w:r>
            <w:r>
              <w:rPr>
                <w:rFonts w:ascii="Calibri" w:hAnsi="Calibri"/>
                <w:sz w:val="16"/>
              </w:rPr>
              <w:t>3/5</w:t>
            </w:r>
          </w:p>
        </w:tc>
        <w:tc>
          <w:tcPr>
            <w:tcW w:type="dxa" w:w="2351"/>
          </w:tcPr>
          <w:p>
            <w:r>
              <w:rPr>
                <w:rFonts w:ascii="Calibri" w:hAnsi="Calibri"/>
              </w:rPr>
            </w:r>
            <w:r>
              <w:rPr>
                <w:rFonts w:ascii="Calibri" w:hAnsi="Calibri"/>
                <w:sz w:val="16"/>
              </w:rPr>
              <w:t>32 000 installations ; 1 000 fitness ; 75% pop. sportive</w:t>
            </w:r>
          </w:p>
        </w:tc>
        <w:tc>
          <w:tcPr>
            <w:tcW w:type="dxa" w:w="2351"/>
          </w:tcPr>
          <w:p>
            <w:r>
              <w:rPr>
                <w:rFonts w:ascii="Calibri" w:hAnsi="Calibri"/>
              </w:rPr>
            </w:r>
            <w:r>
              <w:rPr>
                <w:rFonts w:ascii="Calibri" w:hAnsi="Calibri"/>
                <w:sz w:val="16"/>
              </w:rPr>
              <w:t>Dép. sport % PIB non disponible</w:t>
            </w:r>
          </w:p>
        </w:tc>
      </w:tr>
      <w:tr>
        <w:tc>
          <w:tcPr>
            <w:tcW w:type="dxa" w:w="2351"/>
          </w:tcPr>
          <w:p>
            <w:r>
              <w:rPr>
                <w:rFonts w:ascii="Calibri" w:hAnsi="Calibri"/>
              </w:rPr>
            </w:r>
            <w:r>
              <w:rPr>
                <w:rFonts w:ascii="Calibri" w:hAnsi="Calibri"/>
                <w:sz w:val="16"/>
              </w:rPr>
              <w:t>4.8 Pénitentiaire</w:t>
            </w:r>
          </w:p>
        </w:tc>
        <w:tc>
          <w:tcPr>
            <w:tcW w:type="dxa" w:w="2351"/>
          </w:tcPr>
          <w:p>
            <w:r>
              <w:rPr>
                <w:rFonts w:ascii="Calibri" w:hAnsi="Calibri"/>
              </w:rPr>
            </w:r>
            <w:r>
              <w:rPr>
                <w:rFonts w:ascii="Calibri" w:hAnsi="Calibri"/>
                <w:sz w:val="16"/>
              </w:rPr>
              <w:t>3/5</w:t>
            </w:r>
          </w:p>
        </w:tc>
        <w:tc>
          <w:tcPr>
            <w:tcW w:type="dxa" w:w="2351"/>
          </w:tcPr>
          <w:p>
            <w:r>
              <w:rPr>
                <w:rFonts w:ascii="Calibri" w:hAnsi="Calibri"/>
              </w:rPr>
            </w:r>
            <w:r>
              <w:rPr>
                <w:rFonts w:ascii="Calibri" w:hAnsi="Calibri"/>
                <w:sz w:val="16"/>
              </w:rPr>
              <w:t>90 prisons ; 97% occupation ; besoins rénov./constructions</w:t>
            </w:r>
          </w:p>
        </w:tc>
        <w:tc>
          <w:tcPr>
            <w:tcW w:type="dxa" w:w="2351"/>
          </w:tcPr>
          <w:p>
            <w:r>
              <w:rPr>
                <w:rFonts w:ascii="Calibri" w:hAnsi="Calibri"/>
              </w:rPr>
            </w:r>
            <w:r>
              <w:rPr>
                <w:rFonts w:ascii="Calibri" w:hAnsi="Calibri"/>
                <w:sz w:val="16"/>
              </w:rPr>
              <w:t>Facteur incarcération 0,70 ; décisions politiques</w:t>
            </w:r>
          </w:p>
        </w:tc>
      </w:tr>
      <w:tr>
        <w:tc>
          <w:tcPr>
            <w:tcW w:type="dxa" w:w="2351"/>
          </w:tcPr>
          <w:p>
            <w:r>
              <w:rPr>
                <w:rFonts w:ascii="Calibri" w:hAnsi="Calibri"/>
              </w:rPr>
            </w:r>
            <w:r>
              <w:rPr>
                <w:rFonts w:ascii="Calibri" w:hAnsi="Calibri"/>
                <w:sz w:val="16"/>
              </w:rPr>
              <w:t>4.9 Culturel</w:t>
            </w:r>
          </w:p>
        </w:tc>
        <w:tc>
          <w:tcPr>
            <w:tcW w:type="dxa" w:w="2351"/>
          </w:tcPr>
          <w:p>
            <w:r>
              <w:rPr>
                <w:rFonts w:ascii="Calibri" w:hAnsi="Calibri"/>
              </w:rPr>
            </w:r>
            <w:r>
              <w:rPr>
                <w:rFonts w:ascii="Calibri" w:hAnsi="Calibri"/>
                <w:sz w:val="16"/>
              </w:rPr>
              <w:t>2/5</w:t>
            </w:r>
          </w:p>
        </w:tc>
        <w:tc>
          <w:tcPr>
            <w:tcW w:type="dxa" w:w="2351"/>
          </w:tcPr>
          <w:p>
            <w:r>
              <w:rPr>
                <w:rFonts w:ascii="Calibri" w:hAnsi="Calibri"/>
              </w:rPr>
            </w:r>
            <w:r>
              <w:rPr>
                <w:rFonts w:ascii="Calibri" w:hAnsi="Calibri"/>
                <w:sz w:val="16"/>
              </w:rPr>
              <w:t>Musées réputés mais dispersés ; commandes ponctuelles</w:t>
            </w:r>
          </w:p>
        </w:tc>
        <w:tc>
          <w:tcPr>
            <w:tcW w:type="dxa" w:w="2351"/>
          </w:tcPr>
          <w:p>
            <w:r>
              <w:rPr>
                <w:rFonts w:ascii="Calibri" w:hAnsi="Calibri"/>
              </w:rPr>
            </w:r>
            <w:r>
              <w:rPr>
                <w:rFonts w:ascii="Calibri" w:hAnsi="Calibri"/>
                <w:sz w:val="16"/>
              </w:rPr>
              <w:t>Segment opportuniste</w:t>
            </w:r>
          </w:p>
        </w:tc>
      </w:tr>
      <w:tr>
        <w:tc>
          <w:tcPr>
            <w:tcW w:type="dxa" w:w="2351"/>
          </w:tcPr>
          <w:p>
            <w:r>
              <w:rPr>
                <w:rFonts w:ascii="Calibri" w:hAnsi="Calibri"/>
              </w:rPr>
            </w:r>
            <w:r>
              <w:rPr>
                <w:rFonts w:ascii="Calibri" w:hAnsi="Calibri"/>
                <w:sz w:val="16"/>
              </w:rPr>
              <w:t>4.10 Lieux de culte</w:t>
            </w:r>
          </w:p>
        </w:tc>
        <w:tc>
          <w:tcPr>
            <w:tcW w:type="dxa" w:w="2351"/>
          </w:tcPr>
          <w:p>
            <w:r>
              <w:rPr>
                <w:rFonts w:ascii="Calibri" w:hAnsi="Calibri"/>
              </w:rPr>
            </w:r>
            <w:r>
              <w:rPr>
                <w:rFonts w:ascii="Calibri" w:hAnsi="Calibri"/>
                <w:sz w:val="16"/>
              </w:rPr>
              <w:t>1/5</w:t>
            </w:r>
          </w:p>
        </w:tc>
        <w:tc>
          <w:tcPr>
            <w:tcW w:type="dxa" w:w="2351"/>
          </w:tcPr>
          <w:p>
            <w:r>
              <w:rPr>
                <w:rFonts w:ascii="Calibri" w:hAnsi="Calibri"/>
              </w:rPr>
            </w:r>
            <w:r>
              <w:rPr>
                <w:rFonts w:ascii="Calibri" w:hAnsi="Calibri"/>
                <w:sz w:val="16"/>
              </w:rPr>
              <w:t>Sécularisation accélérée ; fermetures &gt; ouvertures</w:t>
            </w:r>
          </w:p>
        </w:tc>
        <w:tc>
          <w:tcPr>
            <w:tcW w:type="dxa" w:w="2351"/>
          </w:tcPr>
          <w:p>
            <w:r>
              <w:rPr>
                <w:rFonts w:ascii="Calibri" w:hAnsi="Calibri"/>
              </w:rPr>
            </w:r>
            <w:r>
              <w:rPr>
                <w:rFonts w:ascii="Calibri" w:hAnsi="Calibri"/>
                <w:sz w:val="16"/>
              </w:rPr>
              <w:t>Résiduel</w:t>
            </w:r>
          </w:p>
        </w:tc>
      </w:tr>
      <w:tr>
        <w:tc>
          <w:tcPr>
            <w:tcW w:type="dxa" w:w="2351"/>
          </w:tcPr>
          <w:p>
            <w:r>
              <w:rPr>
                <w:rFonts w:ascii="Calibri" w:hAnsi="Calibri"/>
              </w:rPr>
            </w:r>
            <w:r>
              <w:rPr>
                <w:rFonts w:ascii="Calibri" w:hAnsi="Calibri"/>
                <w:sz w:val="16"/>
              </w:rPr>
              <w:t>4.11 Transports</w:t>
            </w:r>
          </w:p>
        </w:tc>
        <w:tc>
          <w:tcPr>
            <w:tcW w:type="dxa" w:w="2351"/>
          </w:tcPr>
          <w:p>
            <w:r>
              <w:rPr>
                <w:rFonts w:ascii="Calibri" w:hAnsi="Calibri"/>
              </w:rPr>
            </w:r>
            <w:r>
              <w:rPr>
                <w:rFonts w:ascii="Calibri" w:hAnsi="Calibri"/>
                <w:sz w:val="16"/>
              </w:rPr>
              <w:t>5/5</w:t>
            </w:r>
          </w:p>
        </w:tc>
        <w:tc>
          <w:tcPr>
            <w:tcW w:type="dxa" w:w="2351"/>
          </w:tcPr>
          <w:p>
            <w:r>
              <w:rPr>
                <w:rFonts w:ascii="Calibri" w:hAnsi="Calibri"/>
              </w:rPr>
            </w:r>
            <w:r>
              <w:rPr>
                <w:rFonts w:ascii="Calibri" w:hAnsi="Calibri"/>
                <w:sz w:val="16"/>
              </w:rPr>
              <w:t>764 gares CFF ; CAP2030 560 M CHF ; PMR 2,5 Mds CHF ; lots sanitaires systématiques</w:t>
            </w:r>
          </w:p>
        </w:tc>
        <w:tc>
          <w:tcPr>
            <w:tcW w:type="dxa" w:w="2351"/>
          </w:tcPr>
          <w:p>
            <w:r>
              <w:rPr>
                <w:rFonts w:ascii="Calibri" w:hAnsi="Calibri"/>
              </w:rPr>
            </w:r>
            <w:r>
              <w:rPr>
                <w:rFonts w:ascii="Calibri" w:hAnsi="Calibri"/>
                <w:sz w:val="16"/>
              </w:rPr>
              <w:t>Pipelines publics engagés et visibles sur 10 ans</w:t>
            </w:r>
          </w:p>
        </w:tc>
      </w:tr>
    </w:tbl>
    <w:p>
      <w:pPr>
        <w:spacing w:before="80" w:after="80"/>
      </w:pPr>
    </w:p>
    <w:p>
      <w:pPr>
        <w:spacing w:before="80" w:after="80"/>
      </w:pPr>
      <w:r>
        <w:rPr>
          <w:rFonts w:ascii="Calibri" w:hAnsi="Calibri"/>
          <w:b w:val="0"/>
          <w:i w:val="0"/>
          <w:sz w:val="20"/>
        </w:rPr>
        <w:t>Top 3 : Santé/EMS (5/5) · Transports (5/5) · CHR (4/5) · Éducation (4/5)</w:t>
      </w:r>
    </w:p>
    <w:p>
      <w:pPr>
        <w:pStyle w:val="Heading2"/>
        <w:spacing w:before="280" w:after="120"/>
      </w:pPr>
      <w:r>
        <w:rPr>
          <w:rFonts w:ascii="Calibri" w:hAnsi="Calibri"/>
          <w:color w:val="595959"/>
        </w:rPr>
        <w:t>6.4 Spécificités produit robinetterie collective suisse</w:t>
      </w:r>
    </w:p>
    <w:p>
      <w:pPr>
        <w:pStyle w:val="ListBullet"/>
        <w:spacing w:before="80" w:after="80"/>
        <w:ind w:left="0"/>
      </w:pPr>
      <w:r>
        <w:rPr>
          <w:rFonts w:ascii="Calibri" w:hAnsi="Calibri"/>
          <w:b w:val="0"/>
          <w:i w:val="0"/>
          <w:sz w:val="20"/>
        </w:rPr>
        <w:t>Robinetterie sans plomb obligatoire (OPBD) → laiton sans plomb, alliages certifiés SVGW. Exigence en vigueur depuis 1904.</w:t>
      </w:r>
    </w:p>
    <w:p>
      <w:pPr>
        <w:pStyle w:val="ListBullet"/>
        <w:spacing w:before="80" w:after="80"/>
        <w:ind w:left="0"/>
      </w:pPr>
      <w:r>
        <w:rPr>
          <w:rFonts w:ascii="Calibri" w:hAnsi="Calibri"/>
          <w:b w:val="0"/>
          <w:i w:val="0"/>
          <w:sz w:val="20"/>
        </w:rPr>
        <w:t>Temporisateurs et infrarouge : standard dans ERP, en forte hausse dans les nouvelles rénovations. Robinetterie connectée (IoT) en croissance.</w:t>
      </w:r>
    </w:p>
    <w:p>
      <w:pPr>
        <w:pStyle w:val="ListBullet"/>
        <w:spacing w:before="80" w:after="80"/>
        <w:ind w:left="0"/>
      </w:pPr>
      <w:r>
        <w:rPr>
          <w:rFonts w:ascii="Calibri" w:hAnsi="Calibri"/>
          <w:b w:val="0"/>
          <w:i w:val="0"/>
          <w:sz w:val="20"/>
        </w:rPr>
        <w:t>PMR (SIA 500) : obligatoire dans tout ERP neuf ou rénové. Robinetterie à levier ou infrarouge préférée. Hauteur 90-130 cm imposée.</w:t>
      </w:r>
    </w:p>
    <w:p>
      <w:pPr>
        <w:pStyle w:val="ListBullet"/>
        <w:spacing w:before="80" w:after="80"/>
        <w:ind w:left="0"/>
      </w:pPr>
      <w:r>
        <w:rPr>
          <w:rFonts w:ascii="Calibri" w:hAnsi="Calibri"/>
          <w:b w:val="0"/>
          <w:i w:val="0"/>
          <w:sz w:val="20"/>
        </w:rPr>
        <w:t>Anti-vandalisme inox : requis dans pénitentiaire, psychiatrie, certaines gares. Spécification technique fréquente dans cahiers des charges.</w:t>
      </w:r>
    </w:p>
    <w:p>
      <w:pPr>
        <w:pStyle w:val="ListBullet"/>
        <w:spacing w:before="80" w:after="80"/>
        <w:ind w:left="0"/>
      </w:pPr>
      <w:r>
        <w:rPr>
          <w:rFonts w:ascii="Calibri" w:hAnsi="Calibri"/>
          <w:b w:val="0"/>
          <w:i w:val="0"/>
          <w:sz w:val="20"/>
        </w:rPr>
        <w:t>Économiseurs d'eau : limiteurs de débit, aérateurs, systèmes anti-gaspillage — valorisés par les donneurs d'ordre publics (objectifs environnement 2050).</w:t>
      </w:r>
    </w:p>
    <w:p>
      <w:pPr>
        <w:pStyle w:val="Heading2"/>
        <w:spacing w:before="280" w:after="120"/>
      </w:pPr>
      <w:r>
        <w:rPr>
          <w:rFonts w:ascii="Calibri" w:hAnsi="Calibri"/>
          <w:color w:val="595959"/>
        </w:rPr>
        <w:t>6.5 Dynamique et perspectives 2025-2030</w:t>
      </w:r>
    </w:p>
    <w:p>
      <w:pPr>
        <w:pStyle w:val="ListBullet"/>
        <w:spacing w:before="80" w:after="80"/>
        <w:ind w:left="0"/>
      </w:pPr>
      <w:r>
        <w:rPr>
          <w:rFonts w:ascii="Calibri" w:hAnsi="Calibri"/>
          <w:b w:val="0"/>
          <w:i w:val="0"/>
          <w:sz w:val="20"/>
        </w:rPr>
        <w:t>Croissance estimée du marché robinetterie collective CH : corrélée à la construction (+2%/an) avec prime pour la rénovation (57% du marché total).</w:t>
      </w:r>
    </w:p>
    <w:p>
      <w:pPr>
        <w:pStyle w:val="ListBullet"/>
        <w:spacing w:before="80" w:after="80"/>
        <w:ind w:left="0"/>
      </w:pPr>
      <w:r>
        <w:rPr>
          <w:rFonts w:ascii="Calibri" w:hAnsi="Calibri"/>
          <w:b w:val="0"/>
          <w:i w:val="0"/>
          <w:sz w:val="20"/>
        </w:rPr>
        <w:t>Vieillissement démographique → explosion demande EMS sur 2025-2040 : nouveau cycle de construction/rénovation EMS = segment à très fort potentiel de long terme.</w:t>
      </w:r>
    </w:p>
    <w:p>
      <w:pPr>
        <w:pStyle w:val="ListBullet"/>
        <w:spacing w:before="80" w:after="80"/>
        <w:ind w:left="0"/>
      </w:pPr>
      <w:r>
        <w:rPr>
          <w:rFonts w:ascii="Calibri" w:hAnsi="Calibri"/>
          <w:b w:val="0"/>
          <w:i w:val="0"/>
          <w:sz w:val="20"/>
        </w:rPr>
        <w:t>Transports : pipelines CFF et CAP2030 visibles sur 10 ans = commandes robinetterie PMR/infrarouge/temporisée prévisibles et récurrentes.</w:t>
      </w:r>
    </w:p>
    <w:p>
      <w:pPr>
        <w:pStyle w:val="ListBullet"/>
        <w:spacing w:before="80" w:after="80"/>
        <w:ind w:left="0"/>
      </w:pPr>
      <w:r>
        <w:rPr>
          <w:rFonts w:ascii="Calibri" w:hAnsi="Calibri"/>
          <w:b w:val="0"/>
          <w:i w:val="0"/>
          <w:sz w:val="20"/>
        </w:rPr>
        <w:t>Rénovation énergétique (Programme Bâtiments 528 M CHF/an) : chaque chantier de rénovation = opportunité de remplacement robinetterie lors des travaux de second œuvre.</w:t>
      </w:r>
    </w:p>
    <w:p>
      <w:pPr>
        <w:pStyle w:val="ListBullet"/>
        <w:spacing w:before="80" w:after="80"/>
        <w:ind w:left="0"/>
      </w:pPr>
      <w:r>
        <w:rPr>
          <w:rFonts w:ascii="Calibri" w:hAnsi="Calibri"/>
          <w:b w:val="0"/>
          <w:i w:val="0"/>
          <w:sz w:val="20"/>
        </w:rPr>
        <w:t>Risques : Delabie-KWC (production locale post-acquisition Q3 2025) = concurrent dominant durablement implanté. Geberit = force de distribution incomparable (siège suisse). CHF fort = prix compétitifs des produits locaux vs importations. Certification SVGW = prérequis à sécuriser.</w:t>
      </w:r>
    </w:p>
    <w:p>
      <w:pPr>
        <w:spacing w:before="80" w:after="80"/>
      </w:pPr>
    </w:p>
    <w:p>
      <w:pPr>
        <w:pStyle w:val="Heading1"/>
        <w:pageBreakBefore/>
        <w:spacing w:before="280" w:after="120"/>
      </w:pPr>
      <w:r>
        <w:rPr>
          <w:rFonts w:ascii="Calibri" w:hAnsi="Calibri"/>
          <w:color w:val="595959"/>
        </w:rPr>
        <w:t>PARTIE 7 — CONCURRENTS</w:t>
      </w:r>
    </w:p>
    <w:p>
      <w:pPr>
        <w:pStyle w:val="Heading2"/>
        <w:spacing w:before="280" w:after="120"/>
      </w:pPr>
      <w:r>
        <w:rPr>
          <w:rFonts w:ascii="Calibri" w:hAnsi="Calibri"/>
          <w:color w:val="595959"/>
        </w:rPr>
        <w:t>7.1 DELABIE (analyse prioritaire)</w:t>
      </w:r>
    </w:p>
    <w:p>
      <w:pPr>
        <w:pStyle w:val="ListBullet"/>
        <w:spacing w:before="80" w:after="80"/>
        <w:ind w:left="0"/>
      </w:pPr>
      <w:r>
        <w:rPr>
          <w:rFonts w:ascii="Calibri" w:hAnsi="Calibri"/>
          <w:b w:val="0"/>
          <w:i w:val="0"/>
          <w:sz w:val="20"/>
        </w:rPr>
        <w:t>Positionnement : leader européen robinetterie et équipements sanitaires ERP. Haut de gamme institutionnel. Groupe familial français fondé 1928.</w:t>
      </w:r>
    </w:p>
    <w:p>
      <w:pPr>
        <w:pStyle w:val="ListBullet"/>
        <w:spacing w:before="80" w:after="80"/>
        <w:ind w:left="0"/>
      </w:pPr>
      <w:r>
        <w:rPr>
          <w:rFonts w:ascii="Calibri" w:hAnsi="Calibri"/>
          <w:b w:val="0"/>
          <w:i w:val="0"/>
          <w:sz w:val="20"/>
        </w:rPr>
        <w:t>ACQUISITION STRATÉGIQUE MAJEURE — KWC Professional (Unterkulm, Argovie, CH) : finalisée Q3 2025. Portefeuille acquis : KWC (robinetterie ERP suisse historique), Aquarotter (leader robinetterie collective germanophone), DVS (UK). Production locale maintenue à Unterkulm. (delabie.com / architecture-hospitalière.fr, 2025)</w:t>
      </w:r>
    </w:p>
    <w:p>
      <w:pPr>
        <w:pStyle w:val="ListBullet"/>
        <w:spacing w:before="80" w:after="80"/>
        <w:ind w:left="0"/>
      </w:pPr>
      <w:r>
        <w:rPr>
          <w:rFonts w:ascii="Calibri" w:hAnsi="Calibri"/>
          <w:b w:val="0"/>
          <w:i w:val="0"/>
          <w:sz w:val="20"/>
        </w:rPr>
        <w:t>Post-acquisition : Delabie = acteur dominant ERP en Suisse, avec usine locale, marques reconnues historiquement, réseau installateurs anciens clients KWC. 70% du CA Delabie sera hors France.</w:t>
      </w:r>
    </w:p>
    <w:p>
      <w:pPr>
        <w:pStyle w:val="ListBullet"/>
        <w:spacing w:before="80" w:after="80"/>
        <w:ind w:left="0"/>
      </w:pPr>
      <w:r>
        <w:rPr>
          <w:rFonts w:ascii="Calibri" w:hAnsi="Calibri"/>
          <w:b/>
          <w:i w:val="0"/>
          <w:sz w:val="20"/>
        </w:rPr>
        <w:t xml:space="preserve">Forces : </w:t>
      </w:r>
      <w:r>
        <w:rPr>
          <w:rFonts w:ascii="Calibri" w:hAnsi="Calibri"/>
          <w:b w:val="0"/>
          <w:i w:val="0"/>
          <w:sz w:val="20"/>
        </w:rPr>
        <w:t>Production locale (Unterkulm AG), marques très reconnues (KWC/Aquarotter), réseau installateurs capillaire existant, documentation DE + FR, gamme ERP très complète.</w:t>
      </w:r>
    </w:p>
    <w:p>
      <w:pPr>
        <w:pStyle w:val="ListBullet"/>
        <w:spacing w:before="80" w:after="80"/>
        <w:ind w:left="0"/>
      </w:pPr>
      <w:r>
        <w:rPr>
          <w:rFonts w:ascii="Calibri" w:hAnsi="Calibri"/>
          <w:b/>
          <w:i w:val="0"/>
          <w:sz w:val="20"/>
        </w:rPr>
        <w:t xml:space="preserve">Faiblesses : </w:t>
      </w:r>
      <w:r>
        <w:rPr>
          <w:rFonts w:ascii="Calibri" w:hAnsi="Calibri"/>
          <w:b w:val="0"/>
          <w:i w:val="0"/>
          <w:sz w:val="20"/>
        </w:rPr>
        <w:t>Intégration post-acquisition en cours — possibles tensions commerciales transitoires. Prix haut de gamme potentiellement perçus comme inaccessibles sur segments à budget contraint.</w:t>
      </w:r>
    </w:p>
    <w:p>
      <w:pPr>
        <w:pStyle w:val="ListBullet"/>
        <w:spacing w:before="80" w:after="80"/>
        <w:ind w:left="0"/>
      </w:pPr>
      <w:r>
        <w:rPr>
          <w:rFonts w:ascii="Calibri" w:hAnsi="Calibri"/>
          <w:b w:val="0"/>
          <w:i w:val="0"/>
          <w:sz w:val="20"/>
        </w:rPr>
        <w:t>Impact pour Presto : menace directe et immédiate sur tous les segments ERP suisses. Réponse stratégique urgente nécessaire — différenciation par rapport qualité/prix, réactivité logistique, et Suisse romande.</w:t>
      </w:r>
    </w:p>
    <w:p>
      <w:pPr>
        <w:pStyle w:val="Heading2"/>
        <w:spacing w:before="280" w:after="120"/>
      </w:pPr>
      <w:r>
        <w:rPr>
          <w:rFonts w:ascii="Calibri" w:hAnsi="Calibri"/>
          <w:color w:val="595959"/>
        </w:rPr>
        <w:t>7.2 Geberit</w:t>
      </w:r>
    </w:p>
    <w:p>
      <w:pPr>
        <w:pStyle w:val="ListBullet"/>
        <w:spacing w:before="80" w:after="80"/>
        <w:ind w:left="0"/>
      </w:pPr>
      <w:r>
        <w:rPr>
          <w:rFonts w:ascii="Calibri" w:hAnsi="Calibri"/>
          <w:b w:val="0"/>
          <w:i w:val="0"/>
          <w:sz w:val="20"/>
        </w:rPr>
        <w:t>Siège social : Rapperswil-Jona (Saint-Gall), Suisse. Coté SIX Swiss Exchange. CA mondial 2024 : CHF 3,08 Mds (+2,5% hors change). ~11 000 employés, 26 sites de production, 50+ pays. (geberit.ch / zonebourse.com)</w:t>
      </w:r>
    </w:p>
    <w:p>
      <w:pPr>
        <w:pStyle w:val="ListBullet"/>
        <w:spacing w:before="80" w:after="80"/>
        <w:ind w:left="0"/>
      </w:pPr>
      <w:r>
        <w:rPr>
          <w:rFonts w:ascii="Calibri" w:hAnsi="Calibri"/>
          <w:b w:val="0"/>
          <w:i w:val="0"/>
          <w:sz w:val="20"/>
        </w:rPr>
        <w:t>Spécialités : bâti-supports, systèmes canalisations, douches, produits salle de bains. ERP : aéroports, stades, bibliothèques, santé.</w:t>
      </w:r>
    </w:p>
    <w:p>
      <w:pPr>
        <w:pStyle w:val="ListBullet"/>
        <w:spacing w:before="80" w:after="80"/>
        <w:ind w:left="0"/>
      </w:pPr>
      <w:r>
        <w:rPr>
          <w:rFonts w:ascii="Calibri" w:hAnsi="Calibri"/>
          <w:b w:val="0"/>
          <w:i w:val="0"/>
          <w:sz w:val="20"/>
        </w:rPr>
        <w:t>Distribution Suisse : Geberit Distribution SA (Lausanne), réseau installateurs capillaire national, Meier Tobler.</w:t>
      </w:r>
    </w:p>
    <w:p>
      <w:pPr>
        <w:pStyle w:val="ListBullet"/>
        <w:spacing w:before="80" w:after="80"/>
        <w:ind w:left="0"/>
      </w:pPr>
      <w:r>
        <w:rPr>
          <w:rFonts w:ascii="Calibri" w:hAnsi="Calibri"/>
          <w:b/>
          <w:i w:val="0"/>
          <w:sz w:val="20"/>
        </w:rPr>
        <w:t xml:space="preserve">Forces : </w:t>
      </w:r>
      <w:r>
        <w:rPr>
          <w:rFonts w:ascii="Calibri" w:hAnsi="Calibri"/>
          <w:b w:val="0"/>
          <w:i w:val="0"/>
          <w:sz w:val="20"/>
        </w:rPr>
        <w:t>'Home market' suisse — image, confiance totale des installateurs, support technique imbattable localement.</w:t>
      </w:r>
    </w:p>
    <w:p>
      <w:pPr>
        <w:pStyle w:val="ListBullet"/>
        <w:spacing w:before="80" w:after="80"/>
        <w:ind w:left="0"/>
      </w:pPr>
      <w:r>
        <w:rPr>
          <w:rFonts w:ascii="Calibri" w:hAnsi="Calibri"/>
          <w:b/>
          <w:i w:val="0"/>
          <w:sz w:val="20"/>
        </w:rPr>
        <w:t xml:space="preserve">Faiblesses : </w:t>
      </w:r>
      <w:r>
        <w:rPr>
          <w:rFonts w:ascii="Calibri" w:hAnsi="Calibri"/>
          <w:b w:val="0"/>
          <w:i w:val="0"/>
          <w:sz w:val="20"/>
        </w:rPr>
        <w:t>Gamme moins spécialisée sur robinetterie temporisée ERP stricto sensu vs Delabie/Presto.</w:t>
      </w:r>
    </w:p>
    <w:p>
      <w:pPr>
        <w:pStyle w:val="Heading2"/>
        <w:spacing w:before="280" w:after="120"/>
      </w:pPr>
      <w:r>
        <w:rPr>
          <w:rFonts w:ascii="Calibri" w:hAnsi="Calibri"/>
          <w:color w:val="595959"/>
        </w:rPr>
        <w:t>7.3 Autres concurrents</w:t>
      </w:r>
    </w:p>
    <w:tbl>
      <w:tblPr>
        <w:tblStyle w:val="TableGrid"/>
        <w:tblW w:type="auto" w:w="0"/>
        <w:tblLook w:firstColumn="1" w:firstRow="1" w:lastColumn="0" w:lastRow="0" w:noHBand="0" w:noVBand="1" w:val="04A0"/>
      </w:tblPr>
      <w:tblGrid>
        <w:gridCol w:w="1568"/>
        <w:gridCol w:w="1568"/>
        <w:gridCol w:w="1568"/>
        <w:gridCol w:w="1568"/>
        <w:gridCol w:w="1568"/>
        <w:gridCol w:w="1568"/>
      </w:tblGrid>
      <w:tr>
        <w:tc>
          <w:tcPr>
            <w:tcW w:type="dxa" w:w="1568"/>
            <w:shd w:val="clear" w:color="auto" w:fill="EBEBEB"/>
          </w:tcPr>
          <w:p>
            <w:r>
              <w:rPr>
                <w:rFonts w:ascii="Calibri" w:hAnsi="Calibri"/>
              </w:rPr>
            </w:r>
            <w:r>
              <w:rPr>
                <w:rFonts w:ascii="Calibri" w:hAnsi="Calibri"/>
                <w:b/>
                <w:color w:val="595959"/>
                <w:sz w:val="18"/>
              </w:rPr>
              <w:t>Concurrent</w:t>
            </w:r>
          </w:p>
        </w:tc>
        <w:tc>
          <w:tcPr>
            <w:tcW w:type="dxa" w:w="1568"/>
            <w:shd w:val="clear" w:color="auto" w:fill="EBEBEB"/>
          </w:tcPr>
          <w:p>
            <w:r>
              <w:rPr>
                <w:rFonts w:ascii="Calibri" w:hAnsi="Calibri"/>
              </w:rPr>
            </w:r>
            <w:r>
              <w:rPr>
                <w:rFonts w:ascii="Calibri" w:hAnsi="Calibri"/>
                <w:b/>
                <w:color w:val="595959"/>
                <w:sz w:val="18"/>
              </w:rPr>
              <w:t>Groupe / Pays</w:t>
            </w:r>
          </w:p>
        </w:tc>
        <w:tc>
          <w:tcPr>
            <w:tcW w:type="dxa" w:w="1568"/>
            <w:shd w:val="clear" w:color="auto" w:fill="EBEBEB"/>
          </w:tcPr>
          <w:p>
            <w:r>
              <w:rPr>
                <w:rFonts w:ascii="Calibri" w:hAnsi="Calibri"/>
              </w:rPr>
            </w:r>
            <w:r>
              <w:rPr>
                <w:rFonts w:ascii="Calibri" w:hAnsi="Calibri"/>
                <w:b/>
                <w:color w:val="595959"/>
                <w:sz w:val="18"/>
              </w:rPr>
              <w:t>Positionnement</w:t>
            </w:r>
          </w:p>
        </w:tc>
        <w:tc>
          <w:tcPr>
            <w:tcW w:type="dxa" w:w="1568"/>
            <w:shd w:val="clear" w:color="auto" w:fill="EBEBEB"/>
          </w:tcPr>
          <w:p>
            <w:r>
              <w:rPr>
                <w:rFonts w:ascii="Calibri" w:hAnsi="Calibri"/>
              </w:rPr>
            </w:r>
            <w:r>
              <w:rPr>
                <w:rFonts w:ascii="Calibri" w:hAnsi="Calibri"/>
                <w:b/>
                <w:color w:val="595959"/>
                <w:sz w:val="18"/>
              </w:rPr>
              <w:t>Gamme ERP</w:t>
            </w:r>
          </w:p>
        </w:tc>
        <w:tc>
          <w:tcPr>
            <w:tcW w:type="dxa" w:w="1568"/>
            <w:shd w:val="clear" w:color="auto" w:fill="EBEBEB"/>
          </w:tcPr>
          <w:p>
            <w:r>
              <w:rPr>
                <w:rFonts w:ascii="Calibri" w:hAnsi="Calibri"/>
              </w:rPr>
            </w:r>
            <w:r>
              <w:rPr>
                <w:rFonts w:ascii="Calibri" w:hAnsi="Calibri"/>
                <w:b/>
                <w:color w:val="595959"/>
                <w:sz w:val="18"/>
              </w:rPr>
              <w:t>Canal CH</w:t>
            </w:r>
          </w:p>
        </w:tc>
        <w:tc>
          <w:tcPr>
            <w:tcW w:type="dxa" w:w="1568"/>
            <w:shd w:val="clear" w:color="auto" w:fill="EBEBEB"/>
          </w:tcPr>
          <w:p>
            <w:r>
              <w:rPr>
                <w:rFonts w:ascii="Calibri" w:hAnsi="Calibri"/>
              </w:rPr>
            </w:r>
            <w:r>
              <w:rPr>
                <w:rFonts w:ascii="Calibri" w:hAnsi="Calibri"/>
                <w:b/>
                <w:color w:val="595959"/>
                <w:sz w:val="18"/>
              </w:rPr>
              <w:t>Forces / Faiblesses</w:t>
            </w:r>
          </w:p>
        </w:tc>
      </w:tr>
      <w:tr>
        <w:tc>
          <w:tcPr>
            <w:tcW w:type="dxa" w:w="1568"/>
          </w:tcPr>
          <w:p>
            <w:r>
              <w:rPr>
                <w:rFonts w:ascii="Calibri" w:hAnsi="Calibri"/>
              </w:rPr>
            </w:r>
            <w:r>
              <w:rPr>
                <w:rFonts w:ascii="Calibri" w:hAnsi="Calibri"/>
                <w:sz w:val="18"/>
              </w:rPr>
              <w:t>Delabie + KWC</w:t>
            </w:r>
          </w:p>
        </w:tc>
        <w:tc>
          <w:tcPr>
            <w:tcW w:type="dxa" w:w="1568"/>
          </w:tcPr>
          <w:p>
            <w:r>
              <w:rPr>
                <w:rFonts w:ascii="Calibri" w:hAnsi="Calibri"/>
              </w:rPr>
            </w:r>
            <w:r>
              <w:rPr>
                <w:rFonts w:ascii="Calibri" w:hAnsi="Calibri"/>
                <w:sz w:val="18"/>
              </w:rPr>
              <w:t>France / Suisse (post-acq.)</w:t>
            </w:r>
          </w:p>
        </w:tc>
        <w:tc>
          <w:tcPr>
            <w:tcW w:type="dxa" w:w="1568"/>
          </w:tcPr>
          <w:p>
            <w:r>
              <w:rPr>
                <w:rFonts w:ascii="Calibri" w:hAnsi="Calibri"/>
              </w:rPr>
            </w:r>
            <w:r>
              <w:rPr>
                <w:rFonts w:ascii="Calibri" w:hAnsi="Calibri"/>
                <w:sz w:val="18"/>
              </w:rPr>
              <w:t>Haut de gamme, spécialiste ERP</w:t>
            </w:r>
          </w:p>
        </w:tc>
        <w:tc>
          <w:tcPr>
            <w:tcW w:type="dxa" w:w="1568"/>
          </w:tcPr>
          <w:p>
            <w:r>
              <w:rPr>
                <w:rFonts w:ascii="Calibri" w:hAnsi="Calibri"/>
              </w:rPr>
            </w:r>
            <w:r>
              <w:rPr>
                <w:rFonts w:ascii="Calibri" w:hAnsi="Calibri"/>
                <w:sz w:val="18"/>
              </w:rPr>
              <w:t>Complet (temporisée, anti-vand., PMR, IR)</w:t>
            </w:r>
          </w:p>
        </w:tc>
        <w:tc>
          <w:tcPr>
            <w:tcW w:type="dxa" w:w="1568"/>
          </w:tcPr>
          <w:p>
            <w:r>
              <w:rPr>
                <w:rFonts w:ascii="Calibri" w:hAnsi="Calibri"/>
              </w:rPr>
            </w:r>
            <w:r>
              <w:rPr>
                <w:rFonts w:ascii="Calibri" w:hAnsi="Calibri"/>
                <w:sz w:val="18"/>
              </w:rPr>
              <w:t>Distributeurs + installateurs anciens KWC</w:t>
            </w:r>
          </w:p>
        </w:tc>
        <w:tc>
          <w:tcPr>
            <w:tcW w:type="dxa" w:w="1568"/>
          </w:tcPr>
          <w:p>
            <w:r>
              <w:rPr>
                <w:rFonts w:ascii="Calibri" w:hAnsi="Calibri"/>
              </w:rPr>
            </w:r>
            <w:r>
              <w:rPr>
                <w:rFonts w:ascii="Calibri" w:hAnsi="Calibri"/>
                <w:sz w:val="18"/>
              </w:rPr>
              <w:t>F: production locale, marques reconnues ; f: intégration en cours</w:t>
            </w:r>
          </w:p>
        </w:tc>
      </w:tr>
      <w:tr>
        <w:tc>
          <w:tcPr>
            <w:tcW w:type="dxa" w:w="1568"/>
          </w:tcPr>
          <w:p>
            <w:r>
              <w:rPr>
                <w:rFonts w:ascii="Calibri" w:hAnsi="Calibri"/>
              </w:rPr>
            </w:r>
            <w:r>
              <w:rPr>
                <w:rFonts w:ascii="Calibri" w:hAnsi="Calibri"/>
                <w:sz w:val="18"/>
              </w:rPr>
              <w:t>Geberit</w:t>
            </w:r>
          </w:p>
        </w:tc>
        <w:tc>
          <w:tcPr>
            <w:tcW w:type="dxa" w:w="1568"/>
          </w:tcPr>
          <w:p>
            <w:r>
              <w:rPr>
                <w:rFonts w:ascii="Calibri" w:hAnsi="Calibri"/>
              </w:rPr>
            </w:r>
            <w:r>
              <w:rPr>
                <w:rFonts w:ascii="Calibri" w:hAnsi="Calibri"/>
                <w:sz w:val="18"/>
              </w:rPr>
              <w:t>Suisse</w:t>
            </w:r>
          </w:p>
        </w:tc>
        <w:tc>
          <w:tcPr>
            <w:tcW w:type="dxa" w:w="1568"/>
          </w:tcPr>
          <w:p>
            <w:r>
              <w:rPr>
                <w:rFonts w:ascii="Calibri" w:hAnsi="Calibri"/>
              </w:rPr>
            </w:r>
            <w:r>
              <w:rPr>
                <w:rFonts w:ascii="Calibri" w:hAnsi="Calibri"/>
                <w:sz w:val="18"/>
              </w:rPr>
              <w:t>Leader sanitaire global</w:t>
            </w:r>
          </w:p>
        </w:tc>
        <w:tc>
          <w:tcPr>
            <w:tcW w:type="dxa" w:w="1568"/>
          </w:tcPr>
          <w:p>
            <w:r>
              <w:rPr>
                <w:rFonts w:ascii="Calibri" w:hAnsi="Calibri"/>
              </w:rPr>
            </w:r>
            <w:r>
              <w:rPr>
                <w:rFonts w:ascii="Calibri" w:hAnsi="Calibri"/>
                <w:sz w:val="18"/>
              </w:rPr>
              <w:t>Bâti-supports, douches (moins focalisé rob. temporisée)</w:t>
            </w:r>
          </w:p>
        </w:tc>
        <w:tc>
          <w:tcPr>
            <w:tcW w:type="dxa" w:w="1568"/>
          </w:tcPr>
          <w:p>
            <w:r>
              <w:rPr>
                <w:rFonts w:ascii="Calibri" w:hAnsi="Calibri"/>
              </w:rPr>
            </w:r>
            <w:r>
              <w:rPr>
                <w:rFonts w:ascii="Calibri" w:hAnsi="Calibri"/>
                <w:sz w:val="18"/>
              </w:rPr>
              <w:t>Réseau capillaire CH, Meier Tobler</w:t>
            </w:r>
          </w:p>
        </w:tc>
        <w:tc>
          <w:tcPr>
            <w:tcW w:type="dxa" w:w="1568"/>
          </w:tcPr>
          <w:p>
            <w:r>
              <w:rPr>
                <w:rFonts w:ascii="Calibri" w:hAnsi="Calibri"/>
              </w:rPr>
            </w:r>
            <w:r>
              <w:rPr>
                <w:rFonts w:ascii="Calibri" w:hAnsi="Calibri"/>
                <w:sz w:val="18"/>
              </w:rPr>
              <w:t>F: home market suisse ; f: moins spécialisé temporisateurs ERP</w:t>
            </w:r>
          </w:p>
        </w:tc>
      </w:tr>
      <w:tr>
        <w:tc>
          <w:tcPr>
            <w:tcW w:type="dxa" w:w="1568"/>
          </w:tcPr>
          <w:p>
            <w:r>
              <w:rPr>
                <w:rFonts w:ascii="Calibri" w:hAnsi="Calibri"/>
              </w:rPr>
            </w:r>
            <w:r>
              <w:rPr>
                <w:rFonts w:ascii="Calibri" w:hAnsi="Calibri"/>
                <w:sz w:val="18"/>
              </w:rPr>
              <w:t>Grohe</w:t>
            </w:r>
          </w:p>
        </w:tc>
        <w:tc>
          <w:tcPr>
            <w:tcW w:type="dxa" w:w="1568"/>
          </w:tcPr>
          <w:p>
            <w:r>
              <w:rPr>
                <w:rFonts w:ascii="Calibri" w:hAnsi="Calibri"/>
              </w:rPr>
            </w:r>
            <w:r>
              <w:rPr>
                <w:rFonts w:ascii="Calibri" w:hAnsi="Calibri"/>
                <w:sz w:val="18"/>
              </w:rPr>
              <w:t>Allemagne (LIXIL Japon)</w:t>
            </w:r>
          </w:p>
        </w:tc>
        <w:tc>
          <w:tcPr>
            <w:tcW w:type="dxa" w:w="1568"/>
          </w:tcPr>
          <w:p>
            <w:r>
              <w:rPr>
                <w:rFonts w:ascii="Calibri" w:hAnsi="Calibri"/>
              </w:rPr>
            </w:r>
            <w:r>
              <w:rPr>
                <w:rFonts w:ascii="Calibri" w:hAnsi="Calibri"/>
                <w:sz w:val="18"/>
              </w:rPr>
              <w:t>Milieu-haut de gamme</w:t>
            </w:r>
          </w:p>
        </w:tc>
        <w:tc>
          <w:tcPr>
            <w:tcW w:type="dxa" w:w="1568"/>
          </w:tcPr>
          <w:p>
            <w:r>
              <w:rPr>
                <w:rFonts w:ascii="Calibri" w:hAnsi="Calibri"/>
              </w:rPr>
            </w:r>
            <w:r>
              <w:rPr>
                <w:rFonts w:ascii="Calibri" w:hAnsi="Calibri"/>
                <w:sz w:val="18"/>
              </w:rPr>
              <w:t>Thermostatique, infrarouge</w:t>
            </w:r>
          </w:p>
        </w:tc>
        <w:tc>
          <w:tcPr>
            <w:tcW w:type="dxa" w:w="1568"/>
          </w:tcPr>
          <w:p>
            <w:r>
              <w:rPr>
                <w:rFonts w:ascii="Calibri" w:hAnsi="Calibri"/>
              </w:rPr>
            </w:r>
            <w:r>
              <w:rPr>
                <w:rFonts w:ascii="Calibri" w:hAnsi="Calibri"/>
                <w:sz w:val="18"/>
              </w:rPr>
              <w:t>Meier Tobler, revendeurs</w:t>
            </w:r>
          </w:p>
        </w:tc>
        <w:tc>
          <w:tcPr>
            <w:tcW w:type="dxa" w:w="1568"/>
          </w:tcPr>
          <w:p>
            <w:r>
              <w:rPr>
                <w:rFonts w:ascii="Calibri" w:hAnsi="Calibri"/>
              </w:rPr>
            </w:r>
            <w:r>
              <w:rPr>
                <w:rFonts w:ascii="Calibri" w:hAnsi="Calibri"/>
                <w:sz w:val="18"/>
              </w:rPr>
              <w:t>F: notoriété ; f: CA ERP CH non disponible</w:t>
            </w:r>
          </w:p>
        </w:tc>
      </w:tr>
      <w:tr>
        <w:tc>
          <w:tcPr>
            <w:tcW w:type="dxa" w:w="1568"/>
          </w:tcPr>
          <w:p>
            <w:r>
              <w:rPr>
                <w:rFonts w:ascii="Calibri" w:hAnsi="Calibri"/>
              </w:rPr>
            </w:r>
            <w:r>
              <w:rPr>
                <w:rFonts w:ascii="Calibri" w:hAnsi="Calibri"/>
                <w:sz w:val="18"/>
              </w:rPr>
              <w:t>Hansgrohe</w:t>
            </w:r>
          </w:p>
        </w:tc>
        <w:tc>
          <w:tcPr>
            <w:tcW w:type="dxa" w:w="1568"/>
          </w:tcPr>
          <w:p>
            <w:r>
              <w:rPr>
                <w:rFonts w:ascii="Calibri" w:hAnsi="Calibri"/>
              </w:rPr>
            </w:r>
            <w:r>
              <w:rPr>
                <w:rFonts w:ascii="Calibri" w:hAnsi="Calibri"/>
                <w:sz w:val="18"/>
              </w:rPr>
              <w:t>Allemagne</w:t>
            </w:r>
          </w:p>
        </w:tc>
        <w:tc>
          <w:tcPr>
            <w:tcW w:type="dxa" w:w="1568"/>
          </w:tcPr>
          <w:p>
            <w:r>
              <w:rPr>
                <w:rFonts w:ascii="Calibri" w:hAnsi="Calibri"/>
              </w:rPr>
            </w:r>
            <w:r>
              <w:rPr>
                <w:rFonts w:ascii="Calibri" w:hAnsi="Calibri"/>
                <w:sz w:val="18"/>
              </w:rPr>
              <w:t>Premium</w:t>
            </w:r>
          </w:p>
        </w:tc>
        <w:tc>
          <w:tcPr>
            <w:tcW w:type="dxa" w:w="1568"/>
          </w:tcPr>
          <w:p>
            <w:r>
              <w:rPr>
                <w:rFonts w:ascii="Calibri" w:hAnsi="Calibri"/>
              </w:rPr>
            </w:r>
            <w:r>
              <w:rPr>
                <w:rFonts w:ascii="Calibri" w:hAnsi="Calibri"/>
                <w:sz w:val="18"/>
              </w:rPr>
              <w:t>HansaPublic (infrarouge, électronique)</w:t>
            </w:r>
          </w:p>
        </w:tc>
        <w:tc>
          <w:tcPr>
            <w:tcW w:type="dxa" w:w="1568"/>
          </w:tcPr>
          <w:p>
            <w:r>
              <w:rPr>
                <w:rFonts w:ascii="Calibri" w:hAnsi="Calibri"/>
              </w:rPr>
            </w:r>
            <w:r>
              <w:rPr>
                <w:rFonts w:ascii="Calibri" w:hAnsi="Calibri"/>
                <w:sz w:val="18"/>
              </w:rPr>
              <w:t>hansgrohe.ch, revendeurs</w:t>
            </w:r>
          </w:p>
        </w:tc>
        <w:tc>
          <w:tcPr>
            <w:tcW w:type="dxa" w:w="1568"/>
          </w:tcPr>
          <w:p>
            <w:r>
              <w:rPr>
                <w:rFonts w:ascii="Calibri" w:hAnsi="Calibri"/>
              </w:rPr>
            </w:r>
            <w:r>
              <w:rPr>
                <w:rFonts w:ascii="Calibri" w:hAnsi="Calibri"/>
                <w:sz w:val="18"/>
              </w:rPr>
              <w:t>F: design premium ; f: réseau limité ERP</w:t>
            </w:r>
          </w:p>
        </w:tc>
      </w:tr>
      <w:tr>
        <w:tc>
          <w:tcPr>
            <w:tcW w:type="dxa" w:w="1568"/>
          </w:tcPr>
          <w:p>
            <w:r>
              <w:rPr>
                <w:rFonts w:ascii="Calibri" w:hAnsi="Calibri"/>
              </w:rPr>
            </w:r>
            <w:r>
              <w:rPr>
                <w:rFonts w:ascii="Calibri" w:hAnsi="Calibri"/>
                <w:sz w:val="18"/>
              </w:rPr>
              <w:t>Franke</w:t>
            </w:r>
          </w:p>
        </w:tc>
        <w:tc>
          <w:tcPr>
            <w:tcW w:type="dxa" w:w="1568"/>
          </w:tcPr>
          <w:p>
            <w:r>
              <w:rPr>
                <w:rFonts w:ascii="Calibri" w:hAnsi="Calibri"/>
              </w:rPr>
            </w:r>
            <w:r>
              <w:rPr>
                <w:rFonts w:ascii="Calibri" w:hAnsi="Calibri"/>
                <w:sz w:val="18"/>
              </w:rPr>
              <w:t>Suisse (Arlesheim)</w:t>
            </w:r>
          </w:p>
        </w:tc>
        <w:tc>
          <w:tcPr>
            <w:tcW w:type="dxa" w:w="1568"/>
          </w:tcPr>
          <w:p>
            <w:r>
              <w:rPr>
                <w:rFonts w:ascii="Calibri" w:hAnsi="Calibri"/>
              </w:rPr>
            </w:r>
            <w:r>
              <w:rPr>
                <w:rFonts w:ascii="Calibri" w:hAnsi="Calibri"/>
                <w:sz w:val="18"/>
              </w:rPr>
              <w:t>A vendu KWC Pro à Delabie</w:t>
            </w:r>
          </w:p>
        </w:tc>
        <w:tc>
          <w:tcPr>
            <w:tcW w:type="dxa" w:w="1568"/>
          </w:tcPr>
          <w:p>
            <w:r>
              <w:rPr>
                <w:rFonts w:ascii="Calibri" w:hAnsi="Calibri"/>
              </w:rPr>
            </w:r>
            <w:r>
              <w:rPr>
                <w:rFonts w:ascii="Calibri" w:hAnsi="Calibri"/>
                <w:sz w:val="18"/>
              </w:rPr>
              <w:t>Retrait ERP collectif (depuis 2024)</w:t>
            </w:r>
          </w:p>
        </w:tc>
        <w:tc>
          <w:tcPr>
            <w:tcW w:type="dxa" w:w="1568"/>
          </w:tcPr>
          <w:p>
            <w:r>
              <w:rPr>
                <w:rFonts w:ascii="Calibri" w:hAnsi="Calibri"/>
              </w:rPr>
            </w:r>
            <w:r>
              <w:rPr>
                <w:rFonts w:ascii="Calibri" w:hAnsi="Calibri"/>
                <w:sz w:val="18"/>
              </w:rPr>
              <w:t>—</w:t>
            </w:r>
          </w:p>
        </w:tc>
        <w:tc>
          <w:tcPr>
            <w:tcW w:type="dxa" w:w="1568"/>
          </w:tcPr>
          <w:p>
            <w:r>
              <w:rPr>
                <w:rFonts w:ascii="Calibri" w:hAnsi="Calibri"/>
              </w:rPr>
            </w:r>
            <w:r>
              <w:rPr>
                <w:rFonts w:ascii="Calibri" w:hAnsi="Calibri"/>
                <w:sz w:val="18"/>
              </w:rPr>
              <w:t>Retrait du segment — opportunité pour Presto</w:t>
            </w:r>
          </w:p>
        </w:tc>
      </w:tr>
      <w:tr>
        <w:tc>
          <w:tcPr>
            <w:tcW w:type="dxa" w:w="1568"/>
          </w:tcPr>
          <w:p>
            <w:r>
              <w:rPr>
                <w:rFonts w:ascii="Calibri" w:hAnsi="Calibri"/>
              </w:rPr>
            </w:r>
            <w:r>
              <w:rPr>
                <w:rFonts w:ascii="Calibri" w:hAnsi="Calibri"/>
                <w:sz w:val="18"/>
              </w:rPr>
              <w:t>Presto</w:t>
            </w:r>
          </w:p>
        </w:tc>
        <w:tc>
          <w:tcPr>
            <w:tcW w:type="dxa" w:w="1568"/>
          </w:tcPr>
          <w:p>
            <w:r>
              <w:rPr>
                <w:rFonts w:ascii="Calibri" w:hAnsi="Calibri"/>
              </w:rPr>
            </w:r>
            <w:r>
              <w:rPr>
                <w:rFonts w:ascii="Calibri" w:hAnsi="Calibri"/>
                <w:sz w:val="18"/>
              </w:rPr>
              <w:t>France</w:t>
            </w:r>
          </w:p>
        </w:tc>
        <w:tc>
          <w:tcPr>
            <w:tcW w:type="dxa" w:w="1568"/>
          </w:tcPr>
          <w:p>
            <w:r>
              <w:rPr>
                <w:rFonts w:ascii="Calibri" w:hAnsi="Calibri"/>
              </w:rPr>
            </w:r>
            <w:r>
              <w:rPr>
                <w:rFonts w:ascii="Calibri" w:hAnsi="Calibri"/>
                <w:sz w:val="18"/>
              </w:rPr>
              <w:t>Spécialiste ERP</w:t>
            </w:r>
          </w:p>
        </w:tc>
        <w:tc>
          <w:tcPr>
            <w:tcW w:type="dxa" w:w="1568"/>
          </w:tcPr>
          <w:p>
            <w:r>
              <w:rPr>
                <w:rFonts w:ascii="Calibri" w:hAnsi="Calibri"/>
              </w:rPr>
            </w:r>
            <w:r>
              <w:rPr>
                <w:rFonts w:ascii="Calibri" w:hAnsi="Calibri"/>
                <w:sz w:val="18"/>
              </w:rPr>
              <w:t>Temporisée, IR, anti-vand., PMR, encastrée</w:t>
            </w:r>
          </w:p>
        </w:tc>
        <w:tc>
          <w:tcPr>
            <w:tcW w:type="dxa" w:w="1568"/>
          </w:tcPr>
          <w:p>
            <w:r>
              <w:rPr>
                <w:rFonts w:ascii="Calibri" w:hAnsi="Calibri"/>
              </w:rPr>
            </w:r>
            <w:r>
              <w:rPr>
                <w:rFonts w:ascii="Calibri" w:hAnsi="Calibri"/>
                <w:sz w:val="18"/>
              </w:rPr>
              <w:t>3 commerciaux terrain</w:t>
            </w:r>
          </w:p>
        </w:tc>
        <w:tc>
          <w:tcPr>
            <w:tcW w:type="dxa" w:w="1568"/>
          </w:tcPr>
          <w:p>
            <w:r>
              <w:rPr>
                <w:rFonts w:ascii="Calibri" w:hAnsi="Calibri"/>
              </w:rPr>
            </w:r>
            <w:r>
              <w:rPr>
                <w:rFonts w:ascii="Calibri" w:hAnsi="Calibri"/>
                <w:sz w:val="18"/>
              </w:rPr>
              <w:t>F: expertise ERP, rapport Q/P ; f: pas de filiale, notoriété à construire</w:t>
            </w:r>
          </w:p>
        </w:tc>
      </w:tr>
    </w:tbl>
    <w:p>
      <w:pPr>
        <w:spacing w:before="80" w:after="80"/>
      </w:pPr>
    </w:p>
    <w:p>
      <w:pPr>
        <w:spacing w:before="80" w:after="80"/>
      </w:pPr>
      <w:r>
        <w:rPr>
          <w:rFonts w:ascii="Calibri" w:hAnsi="Calibri"/>
          <w:b w:val="0"/>
          <w:i/>
          <w:color w:val="595959"/>
          <w:sz w:val="18"/>
        </w:rPr>
        <w:t>⚠ [DONNÉE NON DISPONIBLE — parts de marché précises CHF des concurrents en robinetterie ERP Suisse — à estimer via entretiens Meier Tobler ou installateurs]</w:t>
      </w:r>
    </w:p>
    <w:p>
      <w:pPr>
        <w:pStyle w:val="Heading2"/>
        <w:spacing w:before="280" w:after="120"/>
      </w:pPr>
      <w:r>
        <w:rPr>
          <w:rFonts w:ascii="Calibri" w:hAnsi="Calibri"/>
          <w:color w:val="595959"/>
        </w:rPr>
        <w:t>7.4 Opportunités de différenciation pour Presto</w:t>
      </w:r>
    </w:p>
    <w:p>
      <w:pPr>
        <w:pStyle w:val="ListBullet"/>
        <w:spacing w:before="80" w:after="80"/>
        <w:ind w:left="0"/>
      </w:pPr>
      <w:r>
        <w:rPr>
          <w:rFonts w:ascii="Calibri" w:hAnsi="Calibri"/>
          <w:b w:val="0"/>
          <w:i w:val="0"/>
          <w:sz w:val="20"/>
        </w:rPr>
        <w:t>Niche anti-vandalisme inox : KWC/Aquarotter désormais chez Delabie — les anciens clients KWC cherchant à diversifier leurs achats peuvent se reporter sur Presto. Argument prix/qualité alternatif.</w:t>
      </w:r>
    </w:p>
    <w:p>
      <w:pPr>
        <w:pStyle w:val="ListBullet"/>
        <w:spacing w:before="80" w:after="80"/>
        <w:ind w:left="0"/>
      </w:pPr>
      <w:r>
        <w:rPr>
          <w:rFonts w:ascii="Calibri" w:hAnsi="Calibri"/>
          <w:b w:val="0"/>
          <w:i w:val="0"/>
          <w:sz w:val="20"/>
        </w:rPr>
        <w:t>Suisse romande : marché naturel francophone (26% population, Genève, Vaud, Valais, Neuchâtel) — avantage commercial direct, documentation FR disponible, proximité culturelle forte.</w:t>
      </w:r>
    </w:p>
    <w:p>
      <w:pPr>
        <w:pStyle w:val="ListBullet"/>
        <w:spacing w:before="80" w:after="80"/>
        <w:ind w:left="0"/>
      </w:pPr>
      <w:r>
        <w:rPr>
          <w:rFonts w:ascii="Calibri" w:hAnsi="Calibri"/>
          <w:b w:val="0"/>
          <w:i w:val="0"/>
          <w:sz w:val="20"/>
        </w:rPr>
        <w:t>Rapport qualité/prix : alternative crédible à Delabie sur segments à budget contraint (communes, cantons, petits ERP). Profondeur de gamme ERP comparable.</w:t>
      </w:r>
    </w:p>
    <w:p>
      <w:pPr>
        <w:pStyle w:val="ListBullet"/>
        <w:spacing w:before="80" w:after="80"/>
        <w:ind w:left="0"/>
      </w:pPr>
      <w:r>
        <w:rPr>
          <w:rFonts w:ascii="Calibri" w:hAnsi="Calibri"/>
          <w:b w:val="0"/>
          <w:i w:val="0"/>
          <w:sz w:val="20"/>
        </w:rPr>
        <w:t>Robinetterie infrarouge connectée (IoT) : segment en forte croissance (smart building CHF 1,35 Md). Presto peut se différencier sur ce créneau technologique.</w:t>
      </w:r>
    </w:p>
    <w:p>
      <w:pPr>
        <w:pStyle w:val="ListBullet"/>
        <w:spacing w:before="80" w:after="80"/>
        <w:ind w:left="0"/>
      </w:pPr>
      <w:r>
        <w:rPr>
          <w:rFonts w:ascii="Calibri" w:hAnsi="Calibri"/>
          <w:b w:val="0"/>
          <w:i w:val="0"/>
          <w:sz w:val="20"/>
        </w:rPr>
        <w:t>PMR (SIA 500) : obligatoire dans tout ERP neuf → levier de prescription systématique via architectes et BET.</w:t>
      </w:r>
    </w:p>
    <w:p>
      <w:pPr>
        <w:pStyle w:val="ListBullet"/>
        <w:spacing w:before="80" w:after="80"/>
        <w:ind w:left="0"/>
      </w:pPr>
      <w:r>
        <w:rPr>
          <w:rFonts w:ascii="Calibri" w:hAnsi="Calibri"/>
          <w:b w:val="0"/>
          <w:i w:val="0"/>
          <w:sz w:val="20"/>
        </w:rPr>
        <w:t>Arguments écologiques : sans plomb (conforme OPBD), économiseurs eau, durabilité longue → parfaitement alignés avec exigences helvétiques. Stratégie environnement 2050.</w:t>
      </w:r>
    </w:p>
    <w:p>
      <w:pPr>
        <w:spacing w:before="80" w:after="80"/>
      </w:pPr>
    </w:p>
    <w:p>
      <w:pPr>
        <w:pStyle w:val="Heading1"/>
        <w:pageBreakBefore/>
        <w:spacing w:before="280" w:after="120"/>
      </w:pPr>
      <w:r>
        <w:rPr>
          <w:rFonts w:ascii="Calibri" w:hAnsi="Calibri"/>
          <w:color w:val="595959"/>
        </w:rPr>
        <w:t>PARTIE 8 — NORMES &amp; CERTIFICATIONS ROBINETTERIE</w:t>
      </w:r>
    </w:p>
    <w:p>
      <w:pPr>
        <w:pStyle w:val="Heading2"/>
        <w:spacing w:before="280" w:after="120"/>
      </w:pPr>
      <w:r>
        <w:rPr>
          <w:rFonts w:ascii="Calibri" w:hAnsi="Calibri"/>
          <w:color w:val="595959"/>
        </w:rPr>
        <w:t>8.1 Certification SVGW (ZertW) — certification eau potable suisse</w:t>
      </w:r>
    </w:p>
    <w:p>
      <w:pPr>
        <w:pStyle w:val="ListBullet"/>
        <w:spacing w:before="80" w:after="80"/>
        <w:ind w:left="0"/>
      </w:pPr>
      <w:r>
        <w:rPr>
          <w:rFonts w:ascii="Calibri" w:hAnsi="Calibri"/>
          <w:b/>
          <w:i w:val="0"/>
          <w:sz w:val="20"/>
        </w:rPr>
        <w:t xml:space="preserve">Organisme : </w:t>
      </w:r>
      <w:r>
        <w:rPr>
          <w:rFonts w:ascii="Calibri" w:hAnsi="Calibri"/>
          <w:b w:val="0"/>
          <w:i w:val="0"/>
          <w:sz w:val="20"/>
        </w:rPr>
        <w:t>SVGW (Association suisse du gaz et des eaux / Schweizerischer Verein des Gas- und Wasserfaches). Accrédité SAS selon SN EN ISO/IEC 17065 (n° SCESp 0028). Sièges : Zurich, Lausanne, Bellinzone.</w:t>
      </w:r>
    </w:p>
    <w:p>
      <w:pPr>
        <w:pStyle w:val="ListBullet"/>
        <w:spacing w:before="80" w:after="80"/>
        <w:ind w:left="0"/>
      </w:pPr>
      <w:r>
        <w:rPr>
          <w:rFonts w:ascii="Calibri" w:hAnsi="Calibri"/>
          <w:b/>
          <w:i w:val="0"/>
          <w:sz w:val="20"/>
        </w:rPr>
        <w:t xml:space="preserve">Principe : </w:t>
      </w:r>
      <w:r>
        <w:rPr>
          <w:rFonts w:ascii="Calibri" w:hAnsi="Calibri"/>
          <w:b w:val="0"/>
          <w:i w:val="0"/>
          <w:sz w:val="20"/>
        </w:rPr>
        <w:t>Obligatoire de facto pour tout produit en contact avec l'eau potable en Suisse. Le marquage CE européen seul est insuffisant (Suisse hors UE).</w:t>
      </w:r>
    </w:p>
    <w:p>
      <w:pPr>
        <w:pStyle w:val="ListBullet"/>
        <w:spacing w:before="80" w:after="80"/>
        <w:ind w:left="0"/>
      </w:pPr>
      <w:r>
        <w:rPr>
          <w:rFonts w:ascii="Calibri" w:hAnsi="Calibri"/>
          <w:b/>
          <w:i w:val="0"/>
          <w:sz w:val="20"/>
        </w:rPr>
        <w:t xml:space="preserve">Durée et renouvellement : </w:t>
      </w:r>
      <w:r>
        <w:rPr>
          <w:rFonts w:ascii="Calibri" w:hAnsi="Calibri"/>
          <w:b w:val="0"/>
          <w:i w:val="0"/>
          <w:sz w:val="20"/>
        </w:rPr>
        <w:t>5 ans, renouvelable. Toute modification hydraulique impose une nouvelle certification.</w:t>
      </w:r>
    </w:p>
    <w:p>
      <w:pPr>
        <w:pStyle w:val="ListBullet"/>
        <w:spacing w:before="80" w:after="80"/>
        <w:ind w:left="0"/>
      </w:pPr>
      <w:r>
        <w:rPr>
          <w:rFonts w:ascii="Calibri" w:hAnsi="Calibri"/>
          <w:b/>
          <w:i w:val="0"/>
          <w:sz w:val="20"/>
        </w:rPr>
        <w:t xml:space="preserve">Périmètre testé : </w:t>
      </w:r>
      <w:r>
        <w:rPr>
          <w:rFonts w:ascii="Calibri" w:hAnsi="Calibri"/>
          <w:b w:val="0"/>
          <w:i w:val="0"/>
          <w:sz w:val="20"/>
        </w:rPr>
        <w:t>Hygiène, hydraulique (débits, pressions), mécanique (endurance, étanchéité), physique.</w:t>
      </w:r>
    </w:p>
    <w:p>
      <w:pPr>
        <w:pStyle w:val="ListBullet"/>
        <w:spacing w:before="80" w:after="80"/>
        <w:ind w:left="0"/>
      </w:pPr>
      <w:r>
        <w:rPr>
          <w:rFonts w:ascii="Calibri" w:hAnsi="Calibri"/>
          <w:b/>
          <w:i w:val="0"/>
          <w:sz w:val="20"/>
        </w:rPr>
        <w:t xml:space="preserve">Contact : </w:t>
      </w:r>
      <w:r>
        <w:rPr>
          <w:rFonts w:ascii="Calibri" w:hAnsi="Calibri"/>
          <w:b w:val="0"/>
          <w:i w:val="0"/>
          <w:sz w:val="20"/>
        </w:rPr>
        <w:t>info@svgw.ch | +41 44 288 33 33 | svgw.ch/fr/certification/certification-des-produits/</w:t>
      </w:r>
    </w:p>
    <w:p>
      <w:pPr>
        <w:pStyle w:val="ListBullet"/>
        <w:spacing w:before="80" w:after="80"/>
        <w:ind w:left="0"/>
      </w:pPr>
      <w:r>
        <w:rPr>
          <w:rFonts w:ascii="Calibri" w:hAnsi="Calibri"/>
          <w:b w:val="0"/>
          <w:i w:val="0"/>
          <w:sz w:val="20"/>
        </w:rPr>
        <w:t>Coûts et délais : [NON DISPONIBLES — à demander directement à SVGW. Estimer 3-6 mois selon volume et complexité de la gamme.]</w:t>
      </w:r>
    </w:p>
    <w:p>
      <w:pPr>
        <w:pStyle w:val="ListBullet"/>
        <w:spacing w:before="80" w:after="80"/>
        <w:ind w:left="0"/>
      </w:pPr>
      <w:r>
        <w:rPr>
          <w:rFonts w:ascii="Calibri" w:hAnsi="Calibri"/>
          <w:b w:val="0"/>
          <w:i w:val="0"/>
          <w:sz w:val="20"/>
        </w:rPr>
        <w:t>Lien avec certifications françaises : les produits conformes NF/ACS français sont proches des exigences SVGW mais ne sont pas automatiquement acceptés. L'ACS peut être présenté comme document de support.</w:t>
      </w:r>
    </w:p>
    <w:p>
      <w:pPr>
        <w:pStyle w:val="Heading2"/>
        <w:spacing w:before="280" w:after="120"/>
      </w:pPr>
      <w:r>
        <w:rPr>
          <w:rFonts w:ascii="Calibri" w:hAnsi="Calibri"/>
          <w:color w:val="595959"/>
        </w:rPr>
        <w:t>8.2 Directive W3 SVGW (installations eau potable en bâtiment)</w:t>
      </w:r>
    </w:p>
    <w:p>
      <w:pPr>
        <w:pStyle w:val="ListBullet"/>
        <w:spacing w:before="80" w:after="80"/>
        <w:ind w:left="0"/>
      </w:pPr>
      <w:r>
        <w:rPr>
          <w:rFonts w:ascii="Calibri" w:hAnsi="Calibri"/>
          <w:b w:val="0"/>
          <w:i w:val="0"/>
          <w:sz w:val="20"/>
        </w:rPr>
        <w:t>Vitesse max. conduites distribution : 1,0 — 2,0 m/s. Pertes de charge compteurs eau : 20-40 kPa. Pertes de charge groupes appareils : 100 kPa standard.</w:t>
      </w:r>
    </w:p>
    <w:p>
      <w:pPr>
        <w:pStyle w:val="ListBullet"/>
        <w:spacing w:before="80" w:after="80"/>
        <w:ind w:left="0"/>
      </w:pPr>
      <w:r>
        <w:rPr>
          <w:rFonts w:ascii="Calibri" w:hAnsi="Calibri"/>
          <w:b w:val="0"/>
          <w:i w:val="0"/>
          <w:sz w:val="20"/>
        </w:rPr>
        <w:t>Compléments : W3/C3 (hygiène eau potable en bâtiment), W3/C4 (autocontrôle qualité eau).</w:t>
      </w:r>
    </w:p>
    <w:p>
      <w:pPr>
        <w:pStyle w:val="ListBullet"/>
        <w:spacing w:before="80" w:after="80"/>
        <w:ind w:left="0"/>
      </w:pPr>
      <w:r>
        <w:rPr>
          <w:rFonts w:ascii="Calibri" w:hAnsi="Calibri"/>
          <w:b w:val="0"/>
          <w:i w:val="0"/>
          <w:sz w:val="20"/>
        </w:rPr>
        <w:t>Implications pour Presto : les robinets temporisés doivent respecter ces valeurs de débit et pression. À intégrer dans les fiches techniques suisses.</w:t>
      </w:r>
    </w:p>
    <w:p>
      <w:pPr>
        <w:pStyle w:val="Heading2"/>
        <w:spacing w:before="280" w:after="120"/>
      </w:pPr>
      <w:r>
        <w:rPr>
          <w:rFonts w:ascii="Calibri" w:hAnsi="Calibri"/>
          <w:color w:val="595959"/>
        </w:rPr>
        <w:t>8.3 Normes EN applicables (adoptées en Suisse via SNV)</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EBEBEB"/>
          </w:tcPr>
          <w:p>
            <w:r>
              <w:rPr>
                <w:rFonts w:ascii="Calibri" w:hAnsi="Calibri"/>
              </w:rPr>
            </w:r>
            <w:r>
              <w:rPr>
                <w:rFonts w:ascii="Calibri" w:hAnsi="Calibri"/>
                <w:b/>
                <w:color w:val="595959"/>
                <w:sz w:val="18"/>
              </w:rPr>
              <w:t>Norme</w:t>
            </w:r>
          </w:p>
        </w:tc>
        <w:tc>
          <w:tcPr>
            <w:tcW w:type="dxa" w:w="2351"/>
            <w:shd w:val="clear" w:color="auto" w:fill="EBEBEB"/>
          </w:tcPr>
          <w:p>
            <w:r>
              <w:rPr>
                <w:rFonts w:ascii="Calibri" w:hAnsi="Calibri"/>
              </w:rPr>
            </w:r>
            <w:r>
              <w:rPr>
                <w:rFonts w:ascii="Calibri" w:hAnsi="Calibri"/>
                <w:b/>
                <w:color w:val="595959"/>
                <w:sz w:val="18"/>
              </w:rPr>
              <w:t>Objet</w:t>
            </w:r>
          </w:p>
        </w:tc>
        <w:tc>
          <w:tcPr>
            <w:tcW w:type="dxa" w:w="2351"/>
            <w:shd w:val="clear" w:color="auto" w:fill="EBEBEB"/>
          </w:tcPr>
          <w:p>
            <w:r>
              <w:rPr>
                <w:rFonts w:ascii="Calibri" w:hAnsi="Calibri"/>
              </w:rPr>
            </w:r>
            <w:r>
              <w:rPr>
                <w:rFonts w:ascii="Calibri" w:hAnsi="Calibri"/>
                <w:b/>
                <w:color w:val="595959"/>
                <w:sz w:val="18"/>
              </w:rPr>
              <w:t>Pertinence Presto</w:t>
            </w:r>
          </w:p>
        </w:tc>
        <w:tc>
          <w:tcPr>
            <w:tcW w:type="dxa" w:w="2351"/>
            <w:shd w:val="clear" w:color="auto" w:fill="EBEBEB"/>
          </w:tcPr>
          <w:p>
            <w:r>
              <w:rPr>
                <w:rFonts w:ascii="Calibri" w:hAnsi="Calibri"/>
              </w:rPr>
            </w:r>
            <w:r>
              <w:rPr>
                <w:rFonts w:ascii="Calibri" w:hAnsi="Calibri"/>
                <w:b/>
                <w:color w:val="595959"/>
                <w:sz w:val="18"/>
              </w:rPr>
              <w:t>Implications techniques</w:t>
            </w:r>
          </w:p>
        </w:tc>
      </w:tr>
      <w:tr>
        <w:tc>
          <w:tcPr>
            <w:tcW w:type="dxa" w:w="2351"/>
          </w:tcPr>
          <w:p>
            <w:r>
              <w:rPr>
                <w:rFonts w:ascii="Calibri" w:hAnsi="Calibri"/>
              </w:rPr>
            </w:r>
            <w:r>
              <w:rPr>
                <w:rFonts w:ascii="Calibri" w:hAnsi="Calibri"/>
                <w:sz w:val="18"/>
              </w:rPr>
              <w:t>EN 200</w:t>
            </w:r>
          </w:p>
        </w:tc>
        <w:tc>
          <w:tcPr>
            <w:tcW w:type="dxa" w:w="2351"/>
          </w:tcPr>
          <w:p>
            <w:r>
              <w:rPr>
                <w:rFonts w:ascii="Calibri" w:hAnsi="Calibri"/>
              </w:rPr>
            </w:r>
            <w:r>
              <w:rPr>
                <w:rFonts w:ascii="Calibri" w:hAnsi="Calibri"/>
                <w:sz w:val="18"/>
              </w:rPr>
              <w:t>Robinetterie sanitaire générale (eau froide et chaude)</w:t>
            </w:r>
          </w:p>
        </w:tc>
        <w:tc>
          <w:tcPr>
            <w:tcW w:type="dxa" w:w="2351"/>
          </w:tcPr>
          <w:p>
            <w:r>
              <w:rPr>
                <w:rFonts w:ascii="Calibri" w:hAnsi="Calibri"/>
              </w:rPr>
            </w:r>
            <w:r>
              <w:rPr>
                <w:rFonts w:ascii="Calibri" w:hAnsi="Calibri"/>
                <w:sz w:val="18"/>
              </w:rPr>
              <w:t>Base pour toute robinetterie ERP</w:t>
            </w:r>
          </w:p>
        </w:tc>
        <w:tc>
          <w:tcPr>
            <w:tcW w:type="dxa" w:w="2351"/>
          </w:tcPr>
          <w:p>
            <w:r>
              <w:rPr>
                <w:rFonts w:ascii="Calibri" w:hAnsi="Calibri"/>
              </w:rPr>
            </w:r>
            <w:r>
              <w:rPr>
                <w:rFonts w:ascii="Calibri" w:hAnsi="Calibri"/>
                <w:sz w:val="18"/>
              </w:rPr>
              <w:t>Pression nominale PN10, tests endurance, étanchéité, débit, acoustique</w:t>
            </w:r>
          </w:p>
        </w:tc>
      </w:tr>
      <w:tr>
        <w:tc>
          <w:tcPr>
            <w:tcW w:type="dxa" w:w="2351"/>
          </w:tcPr>
          <w:p>
            <w:r>
              <w:rPr>
                <w:rFonts w:ascii="Calibri" w:hAnsi="Calibri"/>
              </w:rPr>
            </w:r>
            <w:r>
              <w:rPr>
                <w:rFonts w:ascii="Calibri" w:hAnsi="Calibri"/>
                <w:sz w:val="18"/>
              </w:rPr>
              <w:t>EN 816</w:t>
            </w:r>
          </w:p>
        </w:tc>
        <w:tc>
          <w:tcPr>
            <w:tcW w:type="dxa" w:w="2351"/>
          </w:tcPr>
          <w:p>
            <w:r>
              <w:rPr>
                <w:rFonts w:ascii="Calibri" w:hAnsi="Calibri"/>
              </w:rPr>
            </w:r>
            <w:r>
              <w:rPr>
                <w:rFonts w:ascii="Calibri" w:hAnsi="Calibri"/>
                <w:sz w:val="18"/>
              </w:rPr>
              <w:t>Robinets à fermeture automatique (temporisés) PN10</w:t>
            </w:r>
          </w:p>
        </w:tc>
        <w:tc>
          <w:tcPr>
            <w:tcW w:type="dxa" w:w="2351"/>
          </w:tcPr>
          <w:p>
            <w:r>
              <w:rPr>
                <w:rFonts w:ascii="Calibri" w:hAnsi="Calibri"/>
              </w:rPr>
            </w:r>
            <w:r>
              <w:rPr>
                <w:rFonts w:ascii="Calibri" w:hAnsi="Calibri"/>
                <w:sz w:val="18"/>
              </w:rPr>
              <w:t>CŒUR DE MÉTIER Presto — prioritaire</w:t>
            </w:r>
          </w:p>
        </w:tc>
        <w:tc>
          <w:tcPr>
            <w:tcW w:type="dxa" w:w="2351"/>
          </w:tcPr>
          <w:p>
            <w:r>
              <w:rPr>
                <w:rFonts w:ascii="Calibri" w:hAnsi="Calibri"/>
              </w:rPr>
            </w:r>
            <w:r>
              <w:rPr>
                <w:rFonts w:ascii="Calibri" w:hAnsi="Calibri"/>
                <w:sz w:val="18"/>
              </w:rPr>
              <w:t>Tests durée fermeture, volume délivré, résistance pressions, endurance mécanique</w:t>
            </w:r>
          </w:p>
        </w:tc>
      </w:tr>
      <w:tr>
        <w:tc>
          <w:tcPr>
            <w:tcW w:type="dxa" w:w="2351"/>
          </w:tcPr>
          <w:p>
            <w:r>
              <w:rPr>
                <w:rFonts w:ascii="Calibri" w:hAnsi="Calibri"/>
              </w:rPr>
            </w:r>
            <w:r>
              <w:rPr>
                <w:rFonts w:ascii="Calibri" w:hAnsi="Calibri"/>
                <w:sz w:val="18"/>
              </w:rPr>
              <w:t>EN 817</w:t>
            </w:r>
          </w:p>
        </w:tc>
        <w:tc>
          <w:tcPr>
            <w:tcW w:type="dxa" w:w="2351"/>
          </w:tcPr>
          <w:p>
            <w:r>
              <w:rPr>
                <w:rFonts w:ascii="Calibri" w:hAnsi="Calibri"/>
              </w:rPr>
            </w:r>
            <w:r>
              <w:rPr>
                <w:rFonts w:ascii="Calibri" w:hAnsi="Calibri"/>
                <w:sz w:val="18"/>
              </w:rPr>
              <w:t>Mitigeurs mécaniques PN10</w:t>
            </w:r>
          </w:p>
        </w:tc>
        <w:tc>
          <w:tcPr>
            <w:tcW w:type="dxa" w:w="2351"/>
          </w:tcPr>
          <w:p>
            <w:r>
              <w:rPr>
                <w:rFonts w:ascii="Calibri" w:hAnsi="Calibri"/>
              </w:rPr>
            </w:r>
            <w:r>
              <w:rPr>
                <w:rFonts w:ascii="Calibri" w:hAnsi="Calibri"/>
                <w:sz w:val="18"/>
              </w:rPr>
              <w:t>Mitigeurs thermostatiques</w:t>
            </w:r>
          </w:p>
        </w:tc>
        <w:tc>
          <w:tcPr>
            <w:tcW w:type="dxa" w:w="2351"/>
          </w:tcPr>
          <w:p>
            <w:r>
              <w:rPr>
                <w:rFonts w:ascii="Calibri" w:hAnsi="Calibri"/>
              </w:rPr>
            </w:r>
            <w:r>
              <w:rPr>
                <w:rFonts w:ascii="Calibri" w:hAnsi="Calibri"/>
                <w:sz w:val="18"/>
              </w:rPr>
              <w:t>Mélange eau F/C, limites anti-brûlure, PN10</w:t>
            </w:r>
          </w:p>
        </w:tc>
      </w:tr>
      <w:tr>
        <w:tc>
          <w:tcPr>
            <w:tcW w:type="dxa" w:w="2351"/>
          </w:tcPr>
          <w:p>
            <w:r>
              <w:rPr>
                <w:rFonts w:ascii="Calibri" w:hAnsi="Calibri"/>
              </w:rPr>
            </w:r>
            <w:r>
              <w:rPr>
                <w:rFonts w:ascii="Calibri" w:hAnsi="Calibri"/>
                <w:sz w:val="18"/>
              </w:rPr>
              <w:t>EN 1112</w:t>
            </w:r>
          </w:p>
        </w:tc>
        <w:tc>
          <w:tcPr>
            <w:tcW w:type="dxa" w:w="2351"/>
          </w:tcPr>
          <w:p>
            <w:r>
              <w:rPr>
                <w:rFonts w:ascii="Calibri" w:hAnsi="Calibri"/>
              </w:rPr>
            </w:r>
            <w:r>
              <w:rPr>
                <w:rFonts w:ascii="Calibri" w:hAnsi="Calibri"/>
                <w:sz w:val="18"/>
              </w:rPr>
              <w:t>Douches sanitaires PN10</w:t>
            </w:r>
          </w:p>
        </w:tc>
        <w:tc>
          <w:tcPr>
            <w:tcW w:type="dxa" w:w="2351"/>
          </w:tcPr>
          <w:p>
            <w:r>
              <w:rPr>
                <w:rFonts w:ascii="Calibri" w:hAnsi="Calibri"/>
              </w:rPr>
            </w:r>
            <w:r>
              <w:rPr>
                <w:rFonts w:ascii="Calibri" w:hAnsi="Calibri"/>
                <w:sz w:val="18"/>
              </w:rPr>
              <w:t>Douches ERP (sport, santé, prison)</w:t>
            </w:r>
          </w:p>
        </w:tc>
        <w:tc>
          <w:tcPr>
            <w:tcW w:type="dxa" w:w="2351"/>
          </w:tcPr>
          <w:p>
            <w:r>
              <w:rPr>
                <w:rFonts w:ascii="Calibri" w:hAnsi="Calibri"/>
              </w:rPr>
            </w:r>
            <w:r>
              <w:rPr>
                <w:rFonts w:ascii="Calibri" w:hAnsi="Calibri"/>
                <w:sz w:val="18"/>
              </w:rPr>
              <w:t>Tests pression dynamique, débit, anti-retour</w:t>
            </w:r>
          </w:p>
        </w:tc>
      </w:tr>
      <w:tr>
        <w:tc>
          <w:tcPr>
            <w:tcW w:type="dxa" w:w="2351"/>
          </w:tcPr>
          <w:p>
            <w:r>
              <w:rPr>
                <w:rFonts w:ascii="Calibri" w:hAnsi="Calibri"/>
              </w:rPr>
            </w:r>
            <w:r>
              <w:rPr>
                <w:rFonts w:ascii="Calibri" w:hAnsi="Calibri"/>
                <w:sz w:val="18"/>
              </w:rPr>
              <w:t>EN 1113</w:t>
            </w:r>
          </w:p>
        </w:tc>
        <w:tc>
          <w:tcPr>
            <w:tcW w:type="dxa" w:w="2351"/>
          </w:tcPr>
          <w:p>
            <w:r>
              <w:rPr>
                <w:rFonts w:ascii="Calibri" w:hAnsi="Calibri"/>
              </w:rPr>
            </w:r>
            <w:r>
              <w:rPr>
                <w:rFonts w:ascii="Calibri" w:hAnsi="Calibri"/>
                <w:sz w:val="18"/>
              </w:rPr>
              <w:t>Flexibles de douche</w:t>
            </w:r>
          </w:p>
        </w:tc>
        <w:tc>
          <w:tcPr>
            <w:tcW w:type="dxa" w:w="2351"/>
          </w:tcPr>
          <w:p>
            <w:r>
              <w:rPr>
                <w:rFonts w:ascii="Calibri" w:hAnsi="Calibri"/>
              </w:rPr>
            </w:r>
            <w:r>
              <w:rPr>
                <w:rFonts w:ascii="Calibri" w:hAnsi="Calibri"/>
                <w:sz w:val="18"/>
              </w:rPr>
              <w:t>Accessoires douches ERP</w:t>
            </w:r>
          </w:p>
        </w:tc>
        <w:tc>
          <w:tcPr>
            <w:tcW w:type="dxa" w:w="2351"/>
          </w:tcPr>
          <w:p>
            <w:r>
              <w:rPr>
                <w:rFonts w:ascii="Calibri" w:hAnsi="Calibri"/>
              </w:rPr>
            </w:r>
            <w:r>
              <w:rPr>
                <w:rFonts w:ascii="Calibri" w:hAnsi="Calibri"/>
                <w:sz w:val="18"/>
              </w:rPr>
              <w:t>Résistance pression, durabilité</w:t>
            </w:r>
          </w:p>
        </w:tc>
      </w:tr>
      <w:tr>
        <w:tc>
          <w:tcPr>
            <w:tcW w:type="dxa" w:w="2351"/>
          </w:tcPr>
          <w:p>
            <w:r>
              <w:rPr>
                <w:rFonts w:ascii="Calibri" w:hAnsi="Calibri"/>
              </w:rPr>
            </w:r>
            <w:r>
              <w:rPr>
                <w:rFonts w:ascii="Calibri" w:hAnsi="Calibri"/>
                <w:sz w:val="18"/>
              </w:rPr>
              <w:t>prSIA 500:2025</w:t>
            </w:r>
          </w:p>
        </w:tc>
        <w:tc>
          <w:tcPr>
            <w:tcW w:type="dxa" w:w="2351"/>
          </w:tcPr>
          <w:p>
            <w:r>
              <w:rPr>
                <w:rFonts w:ascii="Calibri" w:hAnsi="Calibri"/>
              </w:rPr>
            </w:r>
            <w:r>
              <w:rPr>
                <w:rFonts w:ascii="Calibri" w:hAnsi="Calibri"/>
                <w:sz w:val="18"/>
              </w:rPr>
              <w:t>Constructions sans obstacles (PMR)</w:t>
            </w:r>
          </w:p>
        </w:tc>
        <w:tc>
          <w:tcPr>
            <w:tcW w:type="dxa" w:w="2351"/>
          </w:tcPr>
          <w:p>
            <w:r>
              <w:rPr>
                <w:rFonts w:ascii="Calibri" w:hAnsi="Calibri"/>
              </w:rPr>
            </w:r>
            <w:r>
              <w:rPr>
                <w:rFonts w:ascii="Calibri" w:hAnsi="Calibri"/>
                <w:sz w:val="18"/>
              </w:rPr>
              <w:t>Obligatoire ERP neufs et rénovés</w:t>
            </w:r>
          </w:p>
        </w:tc>
        <w:tc>
          <w:tcPr>
            <w:tcW w:type="dxa" w:w="2351"/>
          </w:tcPr>
          <w:p>
            <w:r>
              <w:rPr>
                <w:rFonts w:ascii="Calibri" w:hAnsi="Calibri"/>
              </w:rPr>
            </w:r>
            <w:r>
              <w:rPr>
                <w:rFonts w:ascii="Calibri" w:hAnsi="Calibri"/>
                <w:sz w:val="18"/>
              </w:rPr>
              <w:t>Hauteur 90-130 cm, levier ou IR préférés, espace fauteuil roulant 1,50 m</w:t>
            </w:r>
          </w:p>
        </w:tc>
      </w:tr>
    </w:tbl>
    <w:p>
      <w:pPr>
        <w:spacing w:before="80" w:after="80"/>
      </w:pPr>
    </w:p>
    <w:p>
      <w:pPr>
        <w:pStyle w:val="Heading2"/>
        <w:spacing w:before="280" w:after="120"/>
      </w:pPr>
      <w:r>
        <w:rPr>
          <w:rFonts w:ascii="Calibri" w:hAnsi="Calibri"/>
          <w:color w:val="595959"/>
        </w:rPr>
        <w:t>8.4 Réglementation eau potable OPBD</w:t>
      </w:r>
    </w:p>
    <w:p>
      <w:pPr>
        <w:pStyle w:val="ListBullet"/>
        <w:spacing w:before="80" w:after="80"/>
        <w:ind w:left="0"/>
      </w:pPr>
      <w:r>
        <w:rPr>
          <w:rFonts w:ascii="Calibri" w:hAnsi="Calibri"/>
          <w:b w:val="0"/>
          <w:i w:val="0"/>
          <w:sz w:val="20"/>
        </w:rPr>
        <w:t>OPBD (Ordonnance sur les denrées alimentaires — eau potable) : matériaux en contact eau potable très strictement réglementés.</w:t>
      </w:r>
    </w:p>
    <w:p>
      <w:pPr>
        <w:pStyle w:val="ListBullet"/>
        <w:spacing w:before="80" w:after="80"/>
        <w:ind w:left="0"/>
      </w:pPr>
      <w:r>
        <w:rPr>
          <w:rFonts w:ascii="Calibri" w:hAnsi="Calibri"/>
          <w:b w:val="0"/>
          <w:i w:val="0"/>
          <w:sz w:val="20"/>
        </w:rPr>
        <w:t>Interdiction du plomb depuis 1904 — standard mondial le plus ancien. Laiton sans plomb obligatoire : alliages CC246E (CuSi4Zn9MnP) et équivalents certifiés SVGW.</w:t>
      </w:r>
    </w:p>
    <w:p>
      <w:pPr>
        <w:pStyle w:val="ListBullet"/>
        <w:spacing w:before="80" w:after="80"/>
        <w:ind w:left="0"/>
      </w:pPr>
      <w:r>
        <w:rPr>
          <w:rFonts w:ascii="Calibri" w:hAnsi="Calibri"/>
          <w:b w:val="0"/>
          <w:i w:val="0"/>
          <w:sz w:val="20"/>
        </w:rPr>
        <w:t>Matières plastiques : doivent figurer sur listes positives SVGW. Non-conformité = retrait du marché.</w:t>
      </w:r>
    </w:p>
    <w:p>
      <w:pPr>
        <w:pStyle w:val="ListBullet"/>
        <w:spacing w:before="80" w:after="80"/>
        <w:ind w:left="0"/>
      </w:pPr>
      <w:r>
        <w:rPr>
          <w:rFonts w:ascii="Calibri" w:hAnsi="Calibri"/>
          <w:b w:val="0"/>
          <w:i w:val="0"/>
          <w:sz w:val="20"/>
        </w:rPr>
        <w:t>Implication Presto : vérifier conformité OPBD pour chaque référence avant commercialisation en Suisse. (blv.admin.ch / svgw.ch)</w:t>
      </w:r>
    </w:p>
    <w:p>
      <w:pPr>
        <w:pStyle w:val="Heading2"/>
        <w:spacing w:before="280" w:after="120"/>
      </w:pPr>
      <w:r>
        <w:rPr>
          <w:rFonts w:ascii="Calibri" w:hAnsi="Calibri"/>
          <w:color w:val="595959"/>
        </w:rPr>
        <w:t>8.5 Norme SIA 500 (accessibilité PMR)</w:t>
      </w:r>
    </w:p>
    <w:p>
      <w:pPr>
        <w:pStyle w:val="ListBullet"/>
        <w:spacing w:before="80" w:after="80"/>
        <w:ind w:left="0"/>
      </w:pPr>
      <w:r>
        <w:rPr>
          <w:rFonts w:ascii="Calibri" w:hAnsi="Calibri"/>
          <w:b w:val="0"/>
          <w:i w:val="0"/>
          <w:sz w:val="20"/>
        </w:rPr>
        <w:t>Révision en cours : prSIA 500:2025-07 (consultation publique). Obligatoire dans tout ERP neuf ou rénové (droit cantonal bâtiment harmonisé). (sia.ch)</w:t>
      </w:r>
    </w:p>
    <w:p>
      <w:pPr>
        <w:pStyle w:val="ListBullet"/>
        <w:spacing w:before="80" w:after="80"/>
        <w:ind w:left="0"/>
      </w:pPr>
      <w:r>
        <w:rPr>
          <w:rFonts w:ascii="Calibri" w:hAnsi="Calibri"/>
          <w:b w:val="0"/>
          <w:i w:val="0"/>
          <w:sz w:val="20"/>
        </w:rPr>
        <w:t>Hauteur robinetterie / commandes : 90 à 130 cm du sol. Type préféré : robinetterie à levier ou infrarouge.</w:t>
      </w:r>
    </w:p>
    <w:p>
      <w:pPr>
        <w:pStyle w:val="ListBullet"/>
        <w:spacing w:before="80" w:after="80"/>
        <w:ind w:left="0"/>
      </w:pPr>
      <w:r>
        <w:rPr>
          <w:rFonts w:ascii="Calibri" w:hAnsi="Calibri"/>
          <w:b w:val="0"/>
          <w:i w:val="0"/>
          <w:sz w:val="20"/>
        </w:rPr>
        <w:t>Espace lavabo : approche frontale fauteuil roulant requise. Zone de rotation : minimum 1,50 m de diamètre.</w:t>
      </w:r>
    </w:p>
    <w:p>
      <w:pPr>
        <w:pStyle w:val="Heading2"/>
        <w:spacing w:before="280" w:after="120"/>
      </w:pPr>
      <w:r>
        <w:rPr>
          <w:rFonts w:ascii="Calibri" w:hAnsi="Calibri"/>
          <w:color w:val="595959"/>
        </w:rPr>
        <w:t>8.6 Suissetec — rôle prescripteur</w:t>
      </w:r>
    </w:p>
    <w:p>
      <w:pPr>
        <w:pStyle w:val="ListBullet"/>
        <w:spacing w:before="80" w:after="80"/>
        <w:ind w:left="0"/>
      </w:pPr>
      <w:r>
        <w:rPr>
          <w:rFonts w:ascii="Calibri" w:hAnsi="Calibri"/>
          <w:b w:val="0"/>
          <w:i w:val="0"/>
          <w:sz w:val="20"/>
        </w:rPr>
        <w:t>3 600 entreprises membres, 24 sections régionales. Diffuse les directives SVGW aux installateurs et prescripteurs.</w:t>
      </w:r>
    </w:p>
    <w:p>
      <w:pPr>
        <w:pStyle w:val="ListBullet"/>
        <w:spacing w:before="80" w:after="80"/>
        <w:ind w:left="0"/>
      </w:pPr>
      <w:r>
        <w:rPr>
          <w:rFonts w:ascii="Calibri" w:hAnsi="Calibri"/>
          <w:b w:val="0"/>
          <w:i w:val="0"/>
          <w:sz w:val="20"/>
        </w:rPr>
        <w:t>Formation 'Connaissances techniques Eau potable' pour installateurs. Référencement Presto auprès de Suissetec = levier de prescription indirecte à activer.</w:t>
      </w:r>
    </w:p>
    <w:p>
      <w:pPr>
        <w:pStyle w:val="Heading2"/>
        <w:spacing w:before="280" w:after="120"/>
      </w:pPr>
      <w:r>
        <w:rPr>
          <w:rFonts w:ascii="Calibri" w:hAnsi="Calibri"/>
          <w:color w:val="595959"/>
        </w:rPr>
        <w:t>8.7 Comparaison avec normes françaises</w:t>
      </w:r>
    </w:p>
    <w:p>
      <w:pPr>
        <w:pStyle w:val="ListBullet"/>
        <w:spacing w:before="80" w:after="80"/>
        <w:ind w:left="0"/>
      </w:pPr>
      <w:r>
        <w:rPr>
          <w:rFonts w:ascii="Calibri" w:hAnsi="Calibri"/>
          <w:b w:val="0"/>
          <w:i w:val="0"/>
          <w:sz w:val="20"/>
        </w:rPr>
        <w:t>Marquage CE/EN : valable en Suisse pour les normes EN harmonisées. Ne remplace pas SVGW pour eau potable.</w:t>
      </w:r>
    </w:p>
    <w:p>
      <w:pPr>
        <w:pStyle w:val="ListBullet"/>
        <w:spacing w:before="80" w:after="80"/>
        <w:ind w:left="0"/>
      </w:pPr>
      <w:r>
        <w:rPr>
          <w:rFonts w:ascii="Calibri" w:hAnsi="Calibri"/>
          <w:b w:val="0"/>
          <w:i w:val="0"/>
          <w:sz w:val="20"/>
        </w:rPr>
        <w:t>NF/ACS (France) vs SVGW (Suisse) : normes proches mais procédures distinctes. Aucune équivalence automatique. L'ACS peut accélérer l'obtention de la SVGW.</w:t>
      </w:r>
    </w:p>
    <w:p>
      <w:pPr>
        <w:pStyle w:val="ListBullet"/>
        <w:spacing w:before="80" w:after="80"/>
        <w:ind w:left="0"/>
      </w:pPr>
      <w:r>
        <w:rPr>
          <w:rFonts w:ascii="Calibri" w:hAnsi="Calibri"/>
          <w:b w:val="0"/>
          <w:i w:val="0"/>
          <w:sz w:val="20"/>
        </w:rPr>
        <w:t>Droits de douane : 0% sur HS 8481 depuis janvier 2024. Pas de barrière tarifaire pour produits français importés. (kmu.admin.ch)</w:t>
      </w:r>
    </w:p>
    <w:p>
      <w:pPr>
        <w:spacing w:before="80" w:after="80"/>
      </w:pPr>
    </w:p>
    <w:p>
      <w:pPr>
        <w:pStyle w:val="Heading1"/>
        <w:pageBreakBefore/>
        <w:spacing w:before="280" w:after="120"/>
      </w:pPr>
      <w:r>
        <w:rPr>
          <w:rFonts w:ascii="Calibri" w:hAnsi="Calibri"/>
          <w:color w:val="595959"/>
        </w:rPr>
        <w:t>PARTIE 9 — POINTS À REVÉRIFIER</w:t>
      </w:r>
    </w:p>
    <w:p>
      <w:pPr>
        <w:spacing w:before="80" w:after="80"/>
      </w:pPr>
      <w:r>
        <w:rPr>
          <w:rFonts w:ascii="Calibri" w:hAnsi="Calibri"/>
          <w:b w:val="0"/>
          <w:i/>
          <w:sz w:val="20"/>
        </w:rPr>
        <w:t>Données incertaines ou manquantes à revalider par recherche complémentaire ou terrain :</w:t>
      </w:r>
    </w:p>
    <w:p>
      <w:pPr>
        <w:spacing w:before="80" w:after="80"/>
      </w:pPr>
    </w:p>
    <w:p>
      <w:pPr>
        <w:pStyle w:val="ListBullet"/>
        <w:spacing w:before="80" w:after="80"/>
        <w:ind w:left="0"/>
      </w:pPr>
      <w:r>
        <w:rPr>
          <w:rFonts w:ascii="Calibri" w:hAnsi="Calibri"/>
          <w:b/>
          <w:i w:val="0"/>
          <w:sz w:val="20"/>
        </w:rPr>
        <w:t xml:space="preserve">Certification SVGW des produits Presto : </w:t>
      </w:r>
      <w:r>
        <w:rPr>
          <w:rFonts w:ascii="Calibri" w:hAnsi="Calibri"/>
          <w:b w:val="0"/>
          <w:i w:val="0"/>
          <w:sz w:val="20"/>
        </w:rPr>
        <w:t>Les commerciaux terrain ont-ils des produits certifiés SVGW ? Si non, c'est la priorité #1 avant tout développement commercial significatif. Contact : info@svgw.ch | +41 44 288 33 33.</w:t>
      </w:r>
    </w:p>
    <w:p>
      <w:pPr>
        <w:pStyle w:val="ListBullet"/>
        <w:spacing w:before="80" w:after="80"/>
        <w:ind w:left="0"/>
      </w:pPr>
      <w:r>
        <w:rPr>
          <w:rFonts w:ascii="Calibri" w:hAnsi="Calibri"/>
          <w:b/>
          <w:i w:val="0"/>
          <w:sz w:val="20"/>
        </w:rPr>
        <w:t xml:space="preserve">Taille de marché robinetterie collective CH : </w:t>
      </w:r>
      <w:r>
        <w:rPr>
          <w:rFonts w:ascii="Calibri" w:hAnsi="Calibri"/>
          <w:b w:val="0"/>
          <w:i w:val="0"/>
          <w:sz w:val="20"/>
        </w:rPr>
        <w:t>Aucune donnée directe. À obtenir via Meier Tobler (demande confidentielle), SVGW, Suissetec. Alternative : commander l'étude BRG Suisse si elle existe (europe@brgbuildingsolutions.com).</w:t>
      </w:r>
    </w:p>
    <w:p>
      <w:pPr>
        <w:pStyle w:val="ListBullet"/>
        <w:spacing w:before="80" w:after="80"/>
        <w:ind w:left="0"/>
      </w:pPr>
      <w:r>
        <w:rPr>
          <w:rFonts w:ascii="Calibri" w:hAnsi="Calibri"/>
          <w:b/>
          <w:i w:val="0"/>
          <w:sz w:val="20"/>
        </w:rPr>
        <w:t xml:space="preserve">Ajustement structurel +12% : </w:t>
      </w:r>
      <w:r>
        <w:rPr>
          <w:rFonts w:ascii="Calibri" w:hAnsi="Calibri"/>
          <w:b w:val="0"/>
          <w:i w:val="0"/>
          <w:sz w:val="20"/>
        </w:rPr>
        <w:t>Hypothèse à confirmer par interviews terrain (Meier Tobler, installateurs). Variables utilisées : marché premium, culture entretien, prix CHF. Tester aussi avec PIB/hab en PPA.</w:t>
      </w:r>
    </w:p>
    <w:p>
      <w:pPr>
        <w:pStyle w:val="ListBullet"/>
        <w:spacing w:before="80" w:after="80"/>
        <w:ind w:left="0"/>
      </w:pPr>
      <w:r>
        <w:rPr>
          <w:rFonts w:ascii="Calibri" w:hAnsi="Calibri"/>
          <w:b/>
          <w:i w:val="0"/>
          <w:sz w:val="20"/>
        </w:rPr>
        <w:t xml:space="preserve">Données scolaires actualisées : </w:t>
      </w:r>
      <w:r>
        <w:rPr>
          <w:rFonts w:ascii="Calibri" w:hAnsi="Calibri"/>
          <w:b w:val="0"/>
          <w:i w:val="0"/>
          <w:sz w:val="20"/>
        </w:rPr>
        <w:t>Le parc scolaire (~11 700 établissements) est daté de 2017/18. Actualiser via OFS : bfs.admin.ch/fr/home/statistiques/education-science/institutions-eleves-etudiants.html</w:t>
      </w:r>
    </w:p>
    <w:p>
      <w:pPr>
        <w:pStyle w:val="ListBullet"/>
        <w:spacing w:before="80" w:after="80"/>
        <w:ind w:left="0"/>
      </w:pPr>
      <w:r>
        <w:rPr>
          <w:rFonts w:ascii="Calibri" w:hAnsi="Calibri"/>
          <w:b/>
          <w:i w:val="0"/>
          <w:sz w:val="20"/>
        </w:rPr>
        <w:t xml:space="preserve">Dépenses sport % PIB Suisse : </w:t>
      </w:r>
      <w:r>
        <w:rPr>
          <w:rFonts w:ascii="Calibri" w:hAnsi="Calibri"/>
          <w:b w:val="0"/>
          <w:i w:val="0"/>
          <w:sz w:val="20"/>
        </w:rPr>
        <w:t>Non disponibles via Eurostat (CH hors UE). Chercher via OFS (statistiques sport) ou OFSPO (Office fédéral du sport, osp.admin.ch).</w:t>
      </w:r>
    </w:p>
    <w:p>
      <w:pPr>
        <w:pStyle w:val="ListBullet"/>
        <w:spacing w:before="80" w:after="80"/>
        <w:ind w:left="0"/>
      </w:pPr>
      <w:r>
        <w:rPr>
          <w:rFonts w:ascii="Calibri" w:hAnsi="Calibri"/>
          <w:b/>
          <w:i w:val="0"/>
          <w:sz w:val="20"/>
        </w:rPr>
        <w:t xml:space="preserve">Aéroports ZRH (Zurich) et BSL (Bâle-Mulhouse) : </w:t>
      </w:r>
      <w:r>
        <w:rPr>
          <w:rFonts w:ascii="Calibri" w:hAnsi="Calibri"/>
          <w:b w:val="0"/>
          <w:i w:val="0"/>
          <w:sz w:val="20"/>
        </w:rPr>
        <w:t>Projets d'expansion/rénovation non identifiés. Vérifier sur flughafen-zuerich.ch et euroairport.com.</w:t>
      </w:r>
    </w:p>
    <w:p>
      <w:pPr>
        <w:pStyle w:val="ListBullet"/>
        <w:spacing w:before="80" w:after="80"/>
        <w:ind w:left="0"/>
      </w:pPr>
      <w:r>
        <w:rPr>
          <w:rFonts w:ascii="Calibri" w:hAnsi="Calibri"/>
          <w:b/>
          <w:i w:val="0"/>
          <w:sz w:val="20"/>
        </w:rPr>
        <w:t xml:space="preserve">CHUV Lausanne : </w:t>
      </w:r>
      <w:r>
        <w:rPr>
          <w:rFonts w:ascii="Calibri" w:hAnsi="Calibri"/>
          <w:b w:val="0"/>
          <w:i w:val="0"/>
          <w:sz w:val="20"/>
        </w:rPr>
        <w:t>Projets de rénovation hospitalière en cours non chiffrés. Vérifier sur chuv.ch ou simap.ch.</w:t>
      </w:r>
    </w:p>
    <w:p>
      <w:pPr>
        <w:pStyle w:val="ListBullet"/>
        <w:spacing w:before="80" w:after="80"/>
        <w:ind w:left="0"/>
      </w:pPr>
      <w:r>
        <w:rPr>
          <w:rFonts w:ascii="Calibri" w:hAnsi="Calibri"/>
          <w:b/>
          <w:i w:val="0"/>
          <w:sz w:val="20"/>
        </w:rPr>
        <w:t xml:space="preserve">Nombre campings / HPA Suisse : </w:t>
      </w:r>
      <w:r>
        <w:rPr>
          <w:rFonts w:ascii="Calibri" w:hAnsi="Calibri"/>
          <w:b w:val="0"/>
          <w:i w:val="0"/>
          <w:sz w:val="20"/>
        </w:rPr>
        <w:t>Non trouvé. Chercher via OFS tourisme ou TCS (Touring Club Suisse, tcs.ch).</w:t>
      </w:r>
    </w:p>
    <w:p>
      <w:pPr>
        <w:pStyle w:val="ListBullet"/>
        <w:spacing w:before="80" w:after="80"/>
        <w:ind w:left="0"/>
      </w:pPr>
      <w:r>
        <w:rPr>
          <w:rFonts w:ascii="Calibri" w:hAnsi="Calibri"/>
          <w:b/>
          <w:i w:val="0"/>
          <w:sz w:val="20"/>
        </w:rPr>
        <w:t xml:space="preserve">Parts de marché concurrents (Grohe, Hansgrohe, Delabie) en CH : </w:t>
      </w:r>
      <w:r>
        <w:rPr>
          <w:rFonts w:ascii="Calibri" w:hAnsi="Calibri"/>
          <w:b w:val="0"/>
          <w:i w:val="0"/>
          <w:sz w:val="20"/>
        </w:rPr>
        <w:t>Non disponibles. À estimer via entretiens Meier Tobler ou installateurs.</w:t>
      </w:r>
    </w:p>
    <w:p>
      <w:pPr>
        <w:pStyle w:val="ListBullet"/>
        <w:spacing w:before="80" w:after="80"/>
        <w:ind w:left="0"/>
      </w:pPr>
      <w:r>
        <w:rPr>
          <w:rFonts w:ascii="Calibri" w:hAnsi="Calibri"/>
          <w:b/>
          <w:i w:val="0"/>
          <w:sz w:val="20"/>
        </w:rPr>
        <w:t xml:space="preserve">Prix catalogue robinetterie collective CHF : </w:t>
      </w:r>
      <w:r>
        <w:rPr>
          <w:rFonts w:ascii="Calibri" w:hAnsi="Calibri"/>
          <w:b w:val="0"/>
          <w:i w:val="0"/>
          <w:sz w:val="20"/>
        </w:rPr>
        <w:t>Aucun exemple trouvé. À obtenir via Meier Tobler ou catalogues Delabie/KWC (kwc.com). Indicateur de positionnement tarifaire essentiel.</w:t>
      </w:r>
    </w:p>
    <w:p>
      <w:pPr>
        <w:pStyle w:val="ListBullet"/>
        <w:spacing w:before="80" w:after="80"/>
        <w:ind w:left="0"/>
      </w:pPr>
      <w:r>
        <w:rPr>
          <w:rFonts w:ascii="Calibri" w:hAnsi="Calibri"/>
          <w:b/>
          <w:i w:val="0"/>
          <w:sz w:val="20"/>
        </w:rPr>
        <w:t xml:space="preserve">Appels d'offres simap.ch : </w:t>
      </w:r>
      <w:r>
        <w:rPr>
          <w:rFonts w:ascii="Calibri" w:hAnsi="Calibri"/>
          <w:b w:val="0"/>
          <w:i w:val="0"/>
          <w:sz w:val="20"/>
        </w:rPr>
        <w:t>Recherche directe sur simap.ch (CPV 44411000) requise. Mots-clés : Sanitär, Armaturen, Unterputz, robinetterie, temporisé. Archive pré-juillet 2024 séparée.</w:t>
      </w:r>
    </w:p>
    <w:p>
      <w:pPr>
        <w:pStyle w:val="ListBullet"/>
        <w:spacing w:before="80" w:after="80"/>
        <w:ind w:left="0"/>
      </w:pPr>
      <w:r>
        <w:rPr>
          <w:rFonts w:ascii="Calibri" w:hAnsi="Calibri"/>
          <w:b/>
          <w:i w:val="0"/>
          <w:sz w:val="20"/>
        </w:rPr>
        <w:t xml:space="preserve">Presto en Suisse : </w:t>
      </w:r>
      <w:r>
        <w:rPr>
          <w:rFonts w:ascii="Calibri" w:hAnsi="Calibri"/>
          <w:b w:val="0"/>
          <w:i w:val="0"/>
          <w:sz w:val="20"/>
        </w:rPr>
        <w:t>Coordonnées exactes des commerciaux terrain, clients actuels, produits déjà référencés, distributeurs partenaires CH.</w:t>
      </w:r>
    </w:p>
    <w:p>
      <w:pPr>
        <w:spacing w:before="80" w:after="80"/>
      </w:pP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Calibri" w:hAnsi="Calibri"/>
    </w:rPr>
  </w:style>
  <w:style w:type="character" w:customStyle="1" w:styleId="HeaderChar">
    <w:name w:val="Header Char"/>
    <w:basedOn w:val="DefaultParagraphFont"/>
    <w:link w:val="Header"/>
    <w:uiPriority w:val="99"/>
    <w:rsid w:val="00E618BF"/>
    <w:rPr>
      <w:rFonts w:ascii="Calibri" w:hAnsi="Calibri"/>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Calibri" w:hAnsi="Calibri"/>
    </w:rPr>
  </w:style>
  <w:style w:type="character" w:customStyle="1" w:styleId="FooterChar">
    <w:name w:val="Footer Char"/>
    <w:basedOn w:val="DefaultParagraphFont"/>
    <w:link w:val="Footer"/>
    <w:uiPriority w:val="99"/>
    <w:rsid w:val="00E618BF"/>
    <w:rPr>
      <w:rFonts w:ascii="Calibri" w:hAnsi="Calibri"/>
    </w:rPr>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Calibri" w:hAnsi="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Calibri" w:hAnsi="Calibr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Calibri" w:hAnsi="Calibr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Calibri" w:hAnsi="Calibr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Calibri" w:hAnsi="Calibr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Calibri" w:hAnsi="Calibri"/>
      <w:i/>
      <w:iCs/>
      <w:color w:val="404040" w:themeColor="text1" w:themeTint="BF"/>
      <w:sz w:val="20"/>
      <w:szCs w:val="20"/>
    </w:rPr>
  </w:style>
  <w:style w:type="character" w:default="1" w:styleId="DefaultParagraphFont">
    <w:name w:val="Default Paragraph Font"/>
    <w:uiPriority w:val="1"/>
    <w:semiHidden/>
    <w:unhideWhenUsed/>
    <w:rPr>
      <w:rFonts w:ascii="Calibri" w:hAnsi="Calibri"/>
    </w:rPr>
  </w:style>
  <w:style w:type="table" w:default="1" w:styleId="TableNormal">
    <w:name w:val="Normal Table"/>
    <w:uiPriority w:val="99"/>
    <w:semiHidden/>
    <w:unhideWhenUsed/>
    <w:rPr>
      <w:rFonts w:ascii="Calibri" w:hAnsi="Calibri"/>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Calibri" w:hAnsi="Calibri"/>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Calibri" w:hAnsi="Calibr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Calibri" w:hAnsi="Calibr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Calibri" w:hAnsi="Calibr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Calibri" w:hAnsi="Calibr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Calibri" w:hAnsi="Calibr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Calibri" w:hAnsi="Calibri"/>
    </w:rPr>
  </w:style>
  <w:style w:type="paragraph" w:styleId="BodyText">
    <w:name w:val="Body Text"/>
    <w:basedOn w:val="Normal"/>
    <w:link w:val="BodyTextChar"/>
    <w:uiPriority w:val="99"/>
    <w:unhideWhenUsed/>
    <w:rsid w:val="00AA1D8D"/>
    <w:pPr>
      <w:spacing w:after="120"/>
    </w:pPr>
    <w:rPr>
      <w:rFonts w:ascii="Calibri" w:hAnsi="Calibri"/>
    </w:rPr>
  </w:style>
  <w:style w:type="character" w:customStyle="1" w:styleId="BodyTextChar">
    <w:name w:val="Body Text Char"/>
    <w:basedOn w:val="DefaultParagraphFont"/>
    <w:link w:val="BodyText"/>
    <w:uiPriority w:val="99"/>
    <w:rsid w:val="00AA1D8D"/>
    <w:rPr>
      <w:rFonts w:ascii="Calibri" w:hAnsi="Calibri"/>
    </w:rPr>
  </w:style>
  <w:style w:type="paragraph" w:styleId="BodyText2">
    <w:name w:val="Body Text 2"/>
    <w:basedOn w:val="Normal"/>
    <w:link w:val="BodyText2Char"/>
    <w:uiPriority w:val="99"/>
    <w:unhideWhenUsed/>
    <w:rsid w:val="00AA1D8D"/>
    <w:pPr>
      <w:spacing w:after="120" w:line="480" w:lineRule="auto"/>
    </w:pPr>
    <w:rPr>
      <w:rFonts w:ascii="Calibri" w:hAnsi="Calibri"/>
    </w:rPr>
  </w:style>
  <w:style w:type="character" w:customStyle="1" w:styleId="BodyText2Char">
    <w:name w:val="Body Text 2 Char"/>
    <w:basedOn w:val="DefaultParagraphFont"/>
    <w:link w:val="BodyText2"/>
    <w:uiPriority w:val="99"/>
    <w:rsid w:val="00AA1D8D"/>
    <w:rPr>
      <w:rFonts w:ascii="Calibri" w:hAnsi="Calibri"/>
    </w:rPr>
  </w:style>
  <w:style w:type="paragraph" w:styleId="BodyText3">
    <w:name w:val="Body Text 3"/>
    <w:basedOn w:val="Normal"/>
    <w:link w:val="BodyText3Char"/>
    <w:uiPriority w:val="99"/>
    <w:unhideWhenUsed/>
    <w:rsid w:val="00AA1D8D"/>
    <w:pPr>
      <w:spacing w:after="120"/>
    </w:pPr>
    <w:rPr>
      <w:rFonts w:ascii="Calibri" w:hAnsi="Calibri"/>
      <w:sz w:val="16"/>
      <w:szCs w:val="16"/>
    </w:rPr>
  </w:style>
  <w:style w:type="character" w:customStyle="1" w:styleId="BodyText3Char">
    <w:name w:val="Body Text 3 Char"/>
    <w:basedOn w:val="DefaultParagraphFont"/>
    <w:link w:val="BodyText3"/>
    <w:uiPriority w:val="99"/>
    <w:rsid w:val="00AA1D8D"/>
    <w:rPr>
      <w:rFonts w:ascii="Calibri" w:hAnsi="Calibri"/>
      <w:sz w:val="16"/>
      <w:szCs w:val="16"/>
    </w:rPr>
  </w:style>
  <w:style w:type="paragraph" w:styleId="List">
    <w:name w:val="List"/>
    <w:basedOn w:val="Normal"/>
    <w:uiPriority w:val="99"/>
    <w:unhideWhenUsed/>
    <w:rsid w:val="00AA1D8D"/>
    <w:pPr>
      <w:ind w:left="360" w:hanging="360"/>
      <w:contextualSpacing/>
    </w:pPr>
    <w:rPr>
      <w:rFonts w:ascii="Calibri" w:hAnsi="Calibri"/>
    </w:rPr>
  </w:style>
  <w:style w:type="paragraph" w:styleId="List2">
    <w:name w:val="List 2"/>
    <w:basedOn w:val="Normal"/>
    <w:uiPriority w:val="99"/>
    <w:unhideWhenUsed/>
    <w:rsid w:val="00326F90"/>
    <w:pPr>
      <w:ind w:left="720" w:hanging="360"/>
      <w:contextualSpacing/>
    </w:pPr>
    <w:rPr>
      <w:rFonts w:ascii="Calibri" w:hAnsi="Calibri"/>
    </w:rPr>
  </w:style>
  <w:style w:type="paragraph" w:styleId="List3">
    <w:name w:val="List 3"/>
    <w:basedOn w:val="Normal"/>
    <w:uiPriority w:val="99"/>
    <w:unhideWhenUsed/>
    <w:rsid w:val="00326F90"/>
    <w:pPr>
      <w:ind w:left="1080" w:hanging="360"/>
      <w:contextualSpacing/>
    </w:pPr>
    <w:rPr>
      <w:rFonts w:ascii="Calibri" w:hAnsi="Calibri"/>
    </w:rPr>
  </w:style>
  <w:style w:type="paragraph" w:styleId="ListBullet">
    <w:name w:val="List Bullet"/>
    <w:basedOn w:val="Normal"/>
    <w:uiPriority w:val="99"/>
    <w:unhideWhenUsed/>
    <w:rsid w:val="00326F90"/>
    <w:pPr>
      <w:numPr>
        <w:numId w:val="1"/>
      </w:numPr>
      <w:contextualSpacing/>
    </w:pPr>
    <w:rPr>
      <w:rFonts w:ascii="Calibri" w:hAnsi="Calibri"/>
    </w:rPr>
  </w:style>
  <w:style w:type="paragraph" w:styleId="ListBullet2">
    <w:name w:val="List Bullet 2"/>
    <w:basedOn w:val="Normal"/>
    <w:uiPriority w:val="99"/>
    <w:unhideWhenUsed/>
    <w:rsid w:val="00326F90"/>
    <w:pPr>
      <w:numPr>
        <w:numId w:val="2"/>
      </w:numPr>
      <w:contextualSpacing/>
    </w:pPr>
    <w:rPr>
      <w:rFonts w:ascii="Calibri" w:hAnsi="Calibri"/>
    </w:rPr>
  </w:style>
  <w:style w:type="paragraph" w:styleId="ListBullet3">
    <w:name w:val="List Bullet 3"/>
    <w:basedOn w:val="Normal"/>
    <w:uiPriority w:val="99"/>
    <w:unhideWhenUsed/>
    <w:rsid w:val="00326F90"/>
    <w:pPr>
      <w:numPr>
        <w:numId w:val="3"/>
      </w:numPr>
      <w:contextualSpacing/>
    </w:pPr>
    <w:rPr>
      <w:rFonts w:ascii="Calibri" w:hAnsi="Calibri"/>
    </w:rPr>
  </w:style>
  <w:style w:type="paragraph" w:styleId="ListNumber">
    <w:name w:val="List Number"/>
    <w:basedOn w:val="Normal"/>
    <w:uiPriority w:val="99"/>
    <w:unhideWhenUsed/>
    <w:rsid w:val="00326F90"/>
    <w:pPr>
      <w:numPr>
        <w:numId w:val="5"/>
      </w:numPr>
      <w:contextualSpacing/>
    </w:pPr>
    <w:rPr>
      <w:rFonts w:ascii="Calibri" w:hAnsi="Calibri"/>
    </w:rPr>
  </w:style>
  <w:style w:type="paragraph" w:styleId="ListNumber2">
    <w:name w:val="List Number 2"/>
    <w:basedOn w:val="Normal"/>
    <w:uiPriority w:val="99"/>
    <w:unhideWhenUsed/>
    <w:rsid w:val="0029639D"/>
    <w:pPr>
      <w:numPr>
        <w:numId w:val="6"/>
      </w:numPr>
      <w:contextualSpacing/>
    </w:pPr>
    <w:rPr>
      <w:rFonts w:ascii="Calibri" w:hAnsi="Calibri"/>
    </w:rPr>
  </w:style>
  <w:style w:type="paragraph" w:styleId="ListNumber3">
    <w:name w:val="List Number 3"/>
    <w:basedOn w:val="Normal"/>
    <w:uiPriority w:val="99"/>
    <w:unhideWhenUsed/>
    <w:rsid w:val="0029639D"/>
    <w:pPr>
      <w:numPr>
        <w:numId w:val="7"/>
      </w:numPr>
      <w:contextualSpacing/>
    </w:pPr>
    <w:rPr>
      <w:rFonts w:ascii="Calibri" w:hAnsi="Calibri"/>
    </w:rPr>
  </w:style>
  <w:style w:type="paragraph" w:styleId="ListContinue">
    <w:name w:val="List Continue"/>
    <w:basedOn w:val="Normal"/>
    <w:uiPriority w:val="99"/>
    <w:unhideWhenUsed/>
    <w:rsid w:val="0029639D"/>
    <w:pPr>
      <w:spacing w:after="120"/>
      <w:ind w:left="360"/>
      <w:contextualSpacing/>
    </w:pPr>
    <w:rPr>
      <w:rFonts w:ascii="Calibri" w:hAnsi="Calibri"/>
    </w:rPr>
  </w:style>
  <w:style w:type="paragraph" w:styleId="ListContinue2">
    <w:name w:val="List Continue 2"/>
    <w:basedOn w:val="Normal"/>
    <w:uiPriority w:val="99"/>
    <w:unhideWhenUsed/>
    <w:rsid w:val="0029639D"/>
    <w:pPr>
      <w:spacing w:after="120"/>
      <w:ind w:left="720"/>
      <w:contextualSpacing/>
    </w:pPr>
    <w:rPr>
      <w:rFonts w:ascii="Calibri" w:hAnsi="Calibri"/>
    </w:rPr>
  </w:style>
  <w:style w:type="paragraph" w:styleId="ListContinue3">
    <w:name w:val="List Continue 3"/>
    <w:basedOn w:val="Normal"/>
    <w:uiPriority w:val="99"/>
    <w:unhideWhenUsed/>
    <w:rsid w:val="0029639D"/>
    <w:pPr>
      <w:spacing w:after="120"/>
      <w:ind w:left="1080"/>
      <w:contextualSpacing/>
    </w:pPr>
    <w:rPr>
      <w:rFonts w:ascii="Calibri" w:hAnsi="Calibri"/>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alibri" w:hAnsi="Calibri"/>
      <w:sz w:val="20"/>
      <w:szCs w:val="20"/>
    </w:rPr>
  </w:style>
  <w:style w:type="character" w:customStyle="1" w:styleId="MacroTextChar">
    <w:name w:val="Macro Text Char"/>
    <w:basedOn w:val="DefaultParagraphFont"/>
    <w:link w:val="MacroText"/>
    <w:uiPriority w:val="99"/>
    <w:rsid w:val="0029639D"/>
    <w:rPr>
      <w:rFonts w:ascii="Calibri" w:hAnsi="Calibri"/>
      <w:sz w:val="20"/>
      <w:szCs w:val="20"/>
    </w:rPr>
  </w:style>
  <w:style w:type="paragraph" w:styleId="Quote">
    <w:name w:val="Quote"/>
    <w:basedOn w:val="Normal"/>
    <w:next w:val="Normal"/>
    <w:link w:val="QuoteChar"/>
    <w:uiPriority w:val="29"/>
    <w:qFormat/>
    <w:rsid w:val="00FC693F"/>
    <w:rPr>
      <w:rFonts w:ascii="Calibri" w:hAnsi="Calibri"/>
      <w:i/>
      <w:iCs/>
      <w:color w:val="000000" w:themeColor="text1"/>
    </w:rPr>
  </w:style>
  <w:style w:type="character" w:customStyle="1" w:styleId="QuoteChar">
    <w:name w:val="Quote Char"/>
    <w:basedOn w:val="DefaultParagraphFont"/>
    <w:link w:val="Quote"/>
    <w:uiPriority w:val="29"/>
    <w:rsid w:val="00FC693F"/>
    <w:rPr>
      <w:rFonts w:ascii="Calibri" w:hAnsi="Calibri"/>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Calibri" w:hAnsi="Calibr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Calibri" w:hAnsi="Calibr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Calibri" w:hAnsi="Calibr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Calibri" w:hAnsi="Calibr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Calibri" w:hAnsi="Calibr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Calibri" w:hAnsi="Calibr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bCs/>
      <w:color w:val="4F81BD" w:themeColor="accent1"/>
      <w:sz w:val="18"/>
      <w:szCs w:val="18"/>
    </w:rPr>
  </w:style>
  <w:style w:type="character" w:styleId="Strong">
    <w:name w:val="Strong"/>
    <w:basedOn w:val="DefaultParagraphFont"/>
    <w:uiPriority w:val="22"/>
    <w:qFormat/>
    <w:rsid w:val="00FC693F"/>
    <w:rPr>
      <w:rFonts w:ascii="Calibri" w:hAnsi="Calibri"/>
      <w:b/>
      <w:bCs/>
    </w:rPr>
  </w:style>
  <w:style w:type="character" w:styleId="Emphasis">
    <w:name w:val="Emphasis"/>
    <w:basedOn w:val="DefaultParagraphFont"/>
    <w:uiPriority w:val="20"/>
    <w:qFormat/>
    <w:rsid w:val="00FC693F"/>
    <w:rPr>
      <w:rFonts w:ascii="Calibri" w:hAnsi="Calibri"/>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Calibri" w:hAnsi="Calibri"/>
      <w:b/>
      <w:bCs/>
      <w:i/>
      <w:iCs/>
      <w:color w:val="4F81BD" w:themeColor="accent1"/>
    </w:rPr>
  </w:style>
  <w:style w:type="character" w:customStyle="1" w:styleId="IntenseQuoteChar">
    <w:name w:val="Intense Quote Char"/>
    <w:basedOn w:val="DefaultParagraphFont"/>
    <w:link w:val="IntenseQuote"/>
    <w:uiPriority w:val="30"/>
    <w:rsid w:val="00FC693F"/>
    <w:rPr>
      <w:rFonts w:ascii="Calibri" w:hAnsi="Calibri"/>
      <w:b/>
      <w:bCs/>
      <w:i/>
      <w:iCs/>
      <w:color w:val="4F81BD" w:themeColor="accent1"/>
    </w:rPr>
  </w:style>
  <w:style w:type="character" w:styleId="SubtleEmphasis">
    <w:name w:val="Subtle Emphasis"/>
    <w:basedOn w:val="DefaultParagraphFont"/>
    <w:uiPriority w:val="19"/>
    <w:qFormat/>
    <w:rsid w:val="00FC693F"/>
    <w:rPr>
      <w:rFonts w:ascii="Calibri" w:hAnsi="Calibri"/>
      <w:i/>
      <w:iCs/>
      <w:color w:val="808080" w:themeColor="text1" w:themeTint="7F"/>
    </w:rPr>
  </w:style>
  <w:style w:type="character" w:styleId="IntenseEmphasis">
    <w:name w:val="Intense Emphasis"/>
    <w:basedOn w:val="DefaultParagraphFont"/>
    <w:uiPriority w:val="21"/>
    <w:qFormat/>
    <w:rsid w:val="00FC693F"/>
    <w:rPr>
      <w:rFonts w:ascii="Calibri" w:hAnsi="Calibri"/>
      <w:b/>
      <w:bCs/>
      <w:i/>
      <w:iCs/>
      <w:color w:val="4F81BD" w:themeColor="accent1"/>
    </w:rPr>
  </w:style>
  <w:style w:type="character" w:styleId="SubtleReference">
    <w:name w:val="Subtle Reference"/>
    <w:basedOn w:val="DefaultParagraphFont"/>
    <w:uiPriority w:val="31"/>
    <w:qFormat/>
    <w:rsid w:val="00FC693F"/>
    <w:rPr>
      <w:rFonts w:ascii="Calibri" w:hAnsi="Calibri"/>
      <w:smallCaps/>
      <w:color w:val="C0504D" w:themeColor="accent2"/>
      <w:u w:val="single"/>
    </w:rPr>
  </w:style>
  <w:style w:type="character" w:styleId="IntenseReference">
    <w:name w:val="Intense Reference"/>
    <w:basedOn w:val="DefaultParagraphFont"/>
    <w:uiPriority w:val="32"/>
    <w:qFormat/>
    <w:rsid w:val="00FC693F"/>
    <w:rPr>
      <w:rFonts w:ascii="Calibri" w:hAnsi="Calibri"/>
      <w:b/>
      <w:bCs/>
      <w:smallCaps/>
      <w:color w:val="C0504D" w:themeColor="accent2"/>
      <w:spacing w:val="5"/>
      <w:u w:val="single"/>
    </w:rPr>
  </w:style>
  <w:style w:type="character" w:styleId="BookTitle">
    <w:name w:val="Book Title"/>
    <w:basedOn w:val="DefaultParagraphFont"/>
    <w:uiPriority w:val="33"/>
    <w:qFormat/>
    <w:rsid w:val="00FC693F"/>
    <w:rPr>
      <w:rFonts w:ascii="Calibri" w:hAnsi="Calibri"/>
      <w:b/>
      <w:bCs/>
      <w:smallCaps/>
      <w:spacing w:val="5"/>
    </w:rPr>
  </w:style>
  <w:style w:type="paragraph" w:styleId="TOCHeading">
    <w:name w:val="TOC Heading"/>
    <w:basedOn w:val="Heading1"/>
    <w:next w:val="Normal"/>
    <w:uiPriority w:val="39"/>
    <w:semiHidden/>
    <w:unhideWhenUsed/>
    <w:qFormat/>
    <w:rsid w:val="00FC693F"/>
    <w:pPr>
      <w:outlineLvl w:val="9"/>
    </w:pPr>
    <w:rPr>
      <w:rFonts w:ascii="Calibri" w:hAnsi="Calibri"/>
    </w:rPr>
  </w:style>
  <w:style w:type="table" w:styleId="TableGrid">
    <w:name w:val="Table Grid"/>
    <w:basedOn w:val="TableNormal"/>
    <w:uiPriority w:val="59"/>
    <w:rsid w:val="00FC693F"/>
    <w:pPr>
      <w:spacing w:after="0" w:line="240" w:lineRule="auto"/>
    </w:pPr>
    <w:rPr>
      <w:rFonts w:ascii="Calibri" w:hAnsi="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Calibri" w:hAnsi="Calibri"/>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Calibri" w:hAnsi="Calibri"/>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Calibri" w:hAnsi="Calibri"/>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Calibri" w:hAnsi="Calibri"/>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Calibri" w:hAnsi="Calibri"/>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Calibri" w:hAnsi="Calibri"/>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Calibri" w:hAnsi="Calibri"/>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Calibri" w:hAnsi="Calibri"/>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Calibri" w:hAnsi="Calibri"/>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Calibri" w:hAnsi="Calibri"/>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Calibri" w:hAnsi="Calibri"/>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Calibri" w:hAnsi="Calibri"/>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Calibri" w:hAnsi="Calibri"/>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Calibri" w:hAnsi="Calibri"/>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Calibri" w:hAnsi="Calibri"/>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Calibri" w:hAnsi="Calibri"/>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Calibri" w:hAnsi="Calibri"/>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Calibri" w:hAnsi="Calibri"/>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Calibri" w:hAnsi="Calibri"/>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Calibri" w:hAnsi="Calibri"/>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Calibri" w:hAnsi="Calibri"/>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Calibri" w:hAnsi="Calibri"/>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Calibri" w:hAnsi="Calibri"/>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Calibri" w:hAnsi="Calibri"/>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Calibri" w:hAnsi="Calibri"/>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Calibri" w:hAnsi="Calibri"/>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Calibri" w:hAnsi="Calibri"/>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Calibri" w:hAnsi="Calibri"/>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Calibri" w:hAnsi="Calibri"/>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Calibri" w:hAnsi="Calibri"/>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Calibri" w:hAnsi="Calibri"/>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Calibri" w:hAnsi="Calibri"/>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Calibri" w:hAnsi="Calibri"/>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Calibri" w:hAnsi="Calibri"/>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Calibri" w:hAnsi="Calibri"/>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Calibri" w:hAnsi="Calibri"/>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Calibri" w:hAnsi="Calibri"/>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Calibri" w:hAnsi="Calibri"/>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Calibri" w:hAnsi="Calibri"/>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Calibri" w:hAnsi="Calibri"/>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Calibri" w:hAnsi="Calibri"/>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Calibri" w:hAnsi="Calibri"/>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Calibri" w:hAnsi="Calibr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Calibri" w:hAnsi="Calibr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Calibri" w:hAnsi="Calibr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Calibri" w:hAnsi="Calibr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Calibri" w:hAnsi="Calibr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Calibri" w:hAnsi="Calibr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Calibri" w:hAnsi="Calibr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Calibri" w:hAnsi="Calibri"/>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Calibri" w:hAnsi="Calibri"/>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Calibri" w:hAnsi="Calibri"/>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Calibri" w:hAnsi="Calibri"/>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Calibri" w:hAnsi="Calibri"/>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Calibri" w:hAnsi="Calibri"/>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Calibri" w:hAnsi="Calibri"/>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Calibri" w:hAnsi="Calibr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Calibri" w:hAnsi="Calibr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Calibri" w:hAnsi="Calibr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Calibri" w:hAnsi="Calibr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Calibri" w:hAnsi="Calibr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Calibri" w:hAnsi="Calibr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Calibri" w:hAnsi="Calibr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Calibri" w:hAnsi="Calibri"/>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Calibri" w:hAnsi="Calibri"/>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Calibri" w:hAnsi="Calibri"/>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Calibri" w:hAnsi="Calibri"/>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Calibri" w:hAnsi="Calibri"/>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Calibri" w:hAnsi="Calibri"/>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Calibri" w:hAnsi="Calibri"/>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Calibri" w:hAnsi="Calibri"/>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Calibri" w:hAnsi="Calibri"/>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Calibri" w:hAnsi="Calibri"/>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Calibri" w:hAnsi="Calibri"/>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Calibri" w:hAnsi="Calibri"/>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Calibri" w:hAnsi="Calibri"/>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Calibri" w:hAnsi="Calibri"/>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Calibri" w:hAnsi="Calibri"/>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Calibri" w:hAnsi="Calibri"/>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Calibri" w:hAnsi="Calibri"/>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Calibri" w:hAnsi="Calibri"/>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Calibri" w:hAnsi="Calibri"/>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Calibri" w:hAnsi="Calibri"/>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Calibri" w:hAnsi="Calibri"/>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Calibri" w:hAnsi="Calibri"/>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Calibri" w:hAnsi="Calibri"/>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Calibri" w:hAnsi="Calibri"/>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Calibri" w:hAnsi="Calibri"/>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Calibri" w:hAnsi="Calibri"/>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Calibri" w:hAnsi="Calibri"/>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Calibri" w:hAnsi="Calibri"/>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Calibri" w:hAnsi="Calibri"/>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Calibri" w:hAnsi="Calibri"/>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Calibri" w:hAnsi="Calibri"/>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Calibri" w:hAnsi="Calibri"/>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Calibri" w:hAnsi="Calibri"/>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Calibri" w:hAnsi="Calibri"/>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Calibri" w:hAnsi="Calibri"/>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