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MAB TURQUIE — ANNEXES &amp; SOURCES v1</w:t>
      </w:r>
    </w:p>
    <w:p>
      <w:pPr>
        <w:jc w:val="center"/>
      </w:pPr>
      <w:r>
        <w:rPr>
          <w:rFonts w:ascii="Calibri" w:hAnsi="Calibri"/>
          <w:sz w:val="22"/>
        </w:rPr>
        <w:t>Sources complètes, données brutes et compléments — Les Robinets Presto</w:t>
      </w:r>
    </w:p>
    <w:p/>
    <w:p>
      <w:pPr>
        <w:pStyle w:val="Heading1"/>
      </w:pPr>
      <w:r>
        <w:rPr>
          <w:rFonts w:ascii="Calibri" w:hAnsi="Calibri"/>
          <w:color w:val="1F497D"/>
        </w:rPr>
        <w:t>ANNEXE 1 — LISTE DES SOURCES UTILISÉES</w:t>
      </w:r>
    </w:p>
    <w:p>
      <w:r>
        <w:rPr>
          <w:i/>
        </w:rPr>
        <w:t>Toutes les sources consultées pour MAB_Turquie_Etude.docx v1 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Source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URL / Référence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Langue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Date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Direction Évaluation, Études et Prospective — Fiche pays Turquie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Source interne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Français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Juillet 2024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Dossier Turquie PPT 2 - FINAL — recherche interne propriétaire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Source interne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Français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2025-2026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Statista — Construction industry in Turkey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Source interne (study_id56671)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BRG Building Solutions — TR Bathrooms Full Report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Source interne (TR_Bathrooms_Full_Report_Apr21.pdf)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Avril 2021 (données 2020)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IMF World Economic Outlook — PIB/hab Turquie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imf.org / StatisticsTimes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Octobre 2025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TurkStat — Population Turquie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turkstat.gov.tr (via Turkish Minute)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Février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World Bank — Türkiye Earthquake Recovery and Reconstruction Project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worldbank.org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Juin 2023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World Bank/GFDRR — Estimation coût reconstruction post-séisme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worldbank.org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bne IntelliNews — Budget City Hospitals PPP 2025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intellinews.com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2025-2026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invest.gov.tr — City Hospitals Program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invest.gov.tr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decidehealth.world — Gaziantep City Hospital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decidehealth.world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Daily Sabah/AGBI — TOKİ 500 000 logements 2025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agbi.com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Octobre 2025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AGBI — Budget investissement public 2024 (éducation, projets)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agbi.com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Janvier 2024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ab.gov.tr — Union douanière UE-Turquie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ab.gov.tr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Turc/Anglais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Consulté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Parlement européen — Union douanière UE-Turquie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europarl.europa.eu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Français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JJRLAB — Barrières import / système TAREKS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jjrlab.com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2024-2025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trade.gov — Turkey Standards for Trade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trade.gov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Consulté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ECB eurofxref — Taux de change EUR/TRY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ecb.europa.eu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Février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Capital.com — Dépréciation livre turque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capital.com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Février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Trading Economics — Inflation, taux directeur, salaires Turquie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tradingeconomics.com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2024-2025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Mordor Intelligence — Turkey Construction Market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mordorintelligence.com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IMARC Group — Turkey Construction Market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imarcgroup.com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Verified Market Research — Turkey Construction Market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verifiedmarketresearch.com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GlobeNewswire/Research and Markets — Turkey Construction Industry Report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globenewswire.com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Avril et août 2025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Euroconstruct — Répartition résidentiel/non-résidentiel Europe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euroconstruct.org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2024-2025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OCDE — Education at a Glance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oecd.org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Türkiye Today — Coûts matériaux et main d'œuvre construction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turkiyetoday.com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Delabie.com — Filiales internationales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delabie.com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Français/Anglais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Consulté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MGK.ae — Distributeur Delabie UAE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mgk.ae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Consulté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Eczacıbaşı Holding / VitrA Global — Données groupe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eczacibasi.com.tr / vitraglobal.com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Anglais/Turc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Consulté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GPD.com.tr — Site fabricant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gpd.com.tr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Consulté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Creavit.com.tr — Communiqué Green Agreement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creavit.com.tr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Consulté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Kale Group / Kalepres.com — Données entreprise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kalepres.com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Turc/Anglais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Consulté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Grohe Türkiye / Hansgrohe Türkiye / Geberit Türkiye — Sites officiels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groheturkiye.com / hansgrohe.com.tr / geberit.com.tr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Coşan Ticaret — Référentiel normes TS EN robinetterie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Site fournisseur turc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Consulté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VitrA — Certificat conformité TS EN 1111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vitra.com.tr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Consulté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webdosya.csb.gov.tr — Bordereaux de prix Ministère Environnement/Urbanisme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csb.gov.tr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TSE (Türk Standartları Enstitüsü) — Procédure de certification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tse.org.tr / isonedir.com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2024-2025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EKAP — Plateforme marchés publics turcs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ekap.kik.gov.tr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Consulté 2026 (accès limité)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ANNEXE 2 — DONNÉES DE MARCHÉ ROBINETTERIE TURQUIE : ESTIMATIONS DÉTAILLÉES</w:t>
      </w:r>
    </w:p>
    <w:p>
      <w:r>
        <w:rPr>
          <w:rFonts w:ascii="Calibri" w:hAnsi="Calibri"/>
          <w:b w:val="0"/>
          <w:i w:val="0"/>
          <w:sz w:val="20"/>
        </w:rPr>
        <w:t>Détail complet du tableau BRG TR (TR_Bathrooms_Full_Report_Apr21.pdf, p.101) — Valeurs MSP 2020 et 2019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Produit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Volumes 2020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MSP Local 2020 (TRY)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Valeur 2020 (M TRY)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Valeur 2020 (M EUR)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Volumes 2019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Valeur 2019 (M EUR)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Bath Taps and Mixers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750 000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242,87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182,15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22,66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810 000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27,13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Bidet Taps and Mixers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96 000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201,31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19,33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2,40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104 000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2,89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Kitchen Taps and Mixers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1 510 000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181,30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228,47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28,42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1 612 000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33,66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Shower Taps and Mixers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1 220 000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223,50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272,67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33,92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1 290 000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39,78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Washbasin Taps and Mixers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3 200 000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164,73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527,14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65,57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3 430 000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77,90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GRAND TOTAL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6 776 000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181,49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1 229,75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152,96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7 246 000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181,36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Détail End-Use 2020 (BRG TR, p.108) — volumes en milliers de pièces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Produit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Housing RMI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New Housing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Non-Housing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Total 2020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Bath Taps and Mixers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483,20 (64,43%)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213,90 (28,52%)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52,91 (7,05%)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750,00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Bidet Taps and Mixers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73,37 (76,43%)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19,06 (19,85%)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3,57 (3,72%)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96,00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Kitchen Taps and Mixers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764,48 (50,63%)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700,34 (46,38%)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45,18 (2,99%)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1 510,00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Shower Taps and Mixers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537,49 (44,06%)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546,00 (44,75%)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136,51 (11,19%)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1 220,00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Washbasin Taps and Mixers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1 782,59 (55,71%)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1 173,57 (36,67%)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243,85 (7,62%)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3 200,00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GRAND TOTAL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3 641,13 (53,74%)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2 652,87 (39,15%)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482,01 (7,11%)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6 776,00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Répartition par type de produit (BRG TR, p.110) — éléments identifiés :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0"/>
        </w:rPr>
        <w:t>Electronic : 27,12K unités (0,40% du marché total), intégralement sur Washbasin Taps and Mixers.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0"/>
        </w:rPr>
        <w:t>Self-Closing : 195,22K unités (2,88% du marché total), intégralement sur Shower Taps and Mixers.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0"/>
        </w:rPr>
        <w:t>[DONNÉE NON DISPONIBLE — détail complet One Head/Pillar/Thermostatic/Two Head non extrait avec précision suffisante depuis le graphique source]</w:t>
      </w:r>
    </w:p>
    <w:p/>
    <w:p>
      <w:r>
        <w:rPr>
          <w:rFonts w:ascii="Calibri" w:hAnsi="Calibri"/>
          <w:b w:val="0"/>
          <w:i/>
          <w:color w:val="C05020"/>
          <w:sz w:val="18"/>
        </w:rPr>
        <w:t>⚠ Rappel méthodologique : la Méthode 2 officielle (Partie 6.2 du document principal) applique le coefficient ERP forfaitaire 10-15% (estimation interne Presto) au marché total BRG, conformément au protocole MAB v8 — elle ne doit pas être confondue avec le ratio Non-Housing réel de 7,11% présenté ci-dessus à titre de donnée BRG brute.</w:t>
      </w:r>
    </w:p>
    <w:p/>
    <w:p>
      <w:pPr>
        <w:pStyle w:val="Heading1"/>
      </w:pPr>
      <w:r>
        <w:rPr>
          <w:rFonts w:ascii="Calibri" w:hAnsi="Calibri"/>
          <w:color w:val="1F497D"/>
        </w:rPr>
        <w:t>ANNEXE 3 — DONNÉES CONSTRUCTION TURQUIE 2015-2026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Indicateur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Valeur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Année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Source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Contribution BTP au PIB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190,62 Md TRY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2015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TurkStat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Contribution BTP au PIB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1 466,47 Md TRY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TurkStat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Croissance BTP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-7,1%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Turkish Contractors Association/TurkStat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Croissance BTP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-8,6%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Turkish Contractors Association/TurkStat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Croissance BTP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+7,8%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Turkish Contractors Association/TurkStat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Croissance BTP (T2)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+6,5%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T2 2024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Turkish Contractors Association/TurkStat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Répartition résidentiel/non-résidentiel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79,7% / 20,3%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2017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Association of Turkish Construction Material Producers/TurkStat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Répartition résidentiel/non-résidentiel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76,5% / 23,5%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Association of Turkish Construction Material Producers/TurkStat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Valeur marché construction total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53 Mds$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Verified Market Research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Valeur marché construction total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117,75 Mds$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IMARC Group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Valeur marché construction total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173,56 Mds$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Mordor Intelligence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Renaissance Construction (revenus)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1 209 M$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Statista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Ant Yapi Industry &amp; Trade (revenus)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840 M$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Statista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Limak Insaat Sanayi ve Ticaret (revenus)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558 M$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Statista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Inflation coûts matériaux construction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+20-30%/an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2024-2025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Türkiye Today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Hausse salaires main d'œuvre qualifiée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+114% depuis 2023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Türkiye Today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Dépréciation TRY/USD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-17 à -21%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08/2024-09/2025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Trading Economics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ANNEXE 4 — PIPELINE INVESTISSEMENTS ERP TURQUIE 2023-2030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Programme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Budget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Période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Source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Türkiye Earthquake Recovery and Reconstruction Project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 Md$ (prêt BM) ; coût total 45-80 Mds$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2023-en cours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World Bank 06/2023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Reconstruction écoles post-séisme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160 M$ (58% salles réparées, 42% en reconstruction ~9 800)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2023-2025+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Dossier interne Presto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City Hospitals Program (PPP)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105 Mds TRY (2025, contractants) ; 202 Mds TRY total PPP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2016-en cours, &gt;20 ouverts depuis 2022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bne IntelliNews 2025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TOKİ Urban Transformation ("Century")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2 984 Mds TRY cumulés depuis 2002 ; nouveau volet 500K logements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Lancé 10/2025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Daily Sabah/AGBI 10/2025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Budget éducation total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150,78 Mds TRY pour 1 027 projets (15% budget investissement public)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AGBI 01/2024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Programme d'investissement public global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1,9 trillion TRY (46,2 Mds$) pour 3 783 projets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AGBI/GlobeNewswire 2025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Projets PPP achevés (tous secteurs)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270 projets, 204 Mds$ cumulés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Cumulé à 2025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Mordor Intelligence 2025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Réparations équipements sportifs post-séisme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28,27 M€ (29 livrés, 123 planifiés)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2023-2025+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Dossier interne Presto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Réparations mosquées post-séisme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3 800+ endommagées (34% du parc 11 provinces), 43% restant fin 2025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2023-2025+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Dossier interne Presto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ANNEXE 5 — DONNÉES ERP TURQUIE PAR SEGMENT (PARC INOX SANITAIRE)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Segment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Rang marché inox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% parc inox total ERP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Parc inox estimé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Durée de vie (standard/anti-vandale)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4.8 Pénitentiaire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1er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18-22%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200 000 pièces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15 ans / 12 ans (95% anti-vandale)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4.10 Lieux de culte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2e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12-15%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120-150 000 pièces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23 ans / 18 ans (15% anti-vandale)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4.1 Éducation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3e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13-16%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120-150 000 pièces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22 ans / 16 ans (15% anti-vandale)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4.2 Santé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4e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11-14%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105-135 000 pièces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19 ans / 25 ans (15% anti-vandale)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4.7 Sport &amp; Loisirs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5e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11-14%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100-130 000 pièces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19 ans / 16 ans (35% anti-vandale)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Segment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Parc total (établissements)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Source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4.1 Éducation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≈75 500 (80% public MEB, 20% privé, 208 universités YÖK)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Dossier interne Presto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4.2 Santé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≈1 560 hôpitaux (60% publics, 35% privés, 5% universitaires)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Dossier interne Presto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4.7 Sport &amp; Loisirs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≈4 500 équipements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Dossier interne Presto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4.8 Pénitentiaire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407 établissements, 402 000 incarcérés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Dossier interne Presto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4.10 Lieux de culte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≈82 000 mosquées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Dossier interne Presto</w:t>
            </w:r>
          </w:p>
        </w:tc>
      </w:tr>
    </w:tbl>
    <w:p/>
    <w:p>
      <w:r>
        <w:rPr>
          <w:rFonts w:ascii="Calibri" w:hAnsi="Calibri"/>
          <w:b w:val="0"/>
          <w:i/>
          <w:color w:val="C05020"/>
          <w:sz w:val="18"/>
        </w:rPr>
        <w:t>⚠ Ces données de parc (sources internes propriétaires) sont datées de la constitution du dossier de recherche (2025-2026) sans année de référence précise systématique — recommandation de sourcer chaque chiffre via les ministères compétents (MEB éducation, Ministère Santé, Ministère Justice, Diyanet) en phase terrain.</w:t>
      </w:r>
    </w:p>
    <w:p/>
    <w:p>
      <w:pPr>
        <w:pStyle w:val="Heading1"/>
      </w:pPr>
      <w:r>
        <w:rPr>
          <w:rFonts w:ascii="Calibri" w:hAnsi="Calibri"/>
          <w:color w:val="1F497D"/>
        </w:rPr>
        <w:t>ANNEXE 6 — DISTRIBUTEURS ROBINETTERIE TURQUIE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Holding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Nom commercial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Type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Profil produit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CA (M€)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Dépôts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Couverture géographique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ELGINKAN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ELEKS Foreign Trade Inc.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Wholesale/Exporter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Chauffage et bain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[NON DISP.]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[NON DISP.]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Europe, Moyen-Orient, CEI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ELGINKAN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ELMOR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Wholesale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Bain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[NON DISP.]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[NON DISP.]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Turquie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ECZACIBASI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INTEMA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Wholesale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Bain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[NON DISP.]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[NON DISP.]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Turquie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BAUHAUS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BAUHAUS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DIY Retailer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Assortiment DIY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[NON DISP.]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Istanbul(5), Ankara(3), Bursa(1), Antalya(1)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KOÇTAŞ YAPI MARKETLERI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KOÇTAŞ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DIY Retailer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Assortiment DIY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180 (2020)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171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Turquie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TEKFEN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TEKZEN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DIY Retailer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Assortiment DIY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190 (2020)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128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Turquie, Roumanie, Irak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Source : BRG TR Apr21, p.25 (III.2 — TR Summary of Leading Distributors).</w:t>
      </w:r>
    </w:p>
    <w:p/>
    <w:p>
      <w:pPr>
        <w:pStyle w:val="Heading1"/>
      </w:pPr>
      <w:r>
        <w:rPr>
          <w:rFonts w:ascii="Calibri" w:hAnsi="Calibri"/>
          <w:color w:val="1F497D"/>
        </w:rPr>
        <w:t>ANNEXE 7 — NORMES ET CERTIFICATIONS DÉTAILLÉES ROBINETTERIE TURQUIE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color w:val="1F497D"/>
                <w:sz w:val="14"/>
              </w:rPr>
              <w:t>Norme / Certification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color w:val="1F497D"/>
                <w:sz w:val="14"/>
              </w:rPr>
              <w:t>Référence complète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color w:val="1F497D"/>
                <w:sz w:val="14"/>
              </w:rPr>
              <w:t>Objet et champ d'application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color w:val="1F497D"/>
                <w:sz w:val="14"/>
              </w:rPr>
              <w:t>Exigences techniques détaillées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color w:val="1F497D"/>
                <w:sz w:val="14"/>
              </w:rPr>
              <w:t>Lien produits Presto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color w:val="1F497D"/>
                <w:sz w:val="14"/>
              </w:rPr>
              <w:t>Organisme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 EN 200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Adoption directe EN 200 par TSE/TSI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Robinets et mitigeurs sanitaires — exigences générales eau froide/chaude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Débit nominal, pression de service (PN10), étanchéité, résistance mécanique, matériaux (laiton chromé, copolymère acétal)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Base de toute la gamme robinetterie ERP Presto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 EN 817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Adoption directe EN 817 par TSE/TSI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Robinetterie monocommande (mitigeurs mécaniques) PN10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Tests d'endurance mécanique du levier, mélange eau froide/chaude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Mitigeurs thermostatiques Presto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 EN 1111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Adoption directe EN 1111 ; certificat type A-TSE-1111-03 (VitrA)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Robinetterie thermostatique PN10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Stabilité thermique, dispositif anti-brûlure, matériaux résistants à la corrosion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Mitigeurs thermostatiques Presto (santé, sport)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 EN 15091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Adoption EN 15091 (texte détaillé payant TSE)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Robinetterie à ouverture/fermeture électronique ("fotoselli")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[DONNÉE NON DISPONIBLE — temps de fermeture, alimentation, IP non confirmés]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Robinetterie sans contact/infrarouge Presto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 EN 816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Adoption EN 816, équivalent fonctionnel EN 12541 (FR)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Robinetterie à fermeture automatique temporisée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[DONNÉE NON DISPONIBLE — durée fermeture, débit limité non confirmés]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CŒUR DE GAMME — robinetterie temporisée push-button Presto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 EN 1112/1113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Adoption directe EN 1112/1113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Douchettes à main et flexibles de douche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Débit, résistance à la pression, durabilité du flexible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Douches ERP (sport, santé, prison)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 EN 274-1/2/3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Adoption directe EN 274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Siphons et raccords d'évacuation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Résistance ≥80°C, résistance aux acides, démontable/nettoyable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Accessoires complémentaires Presto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 EN 248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Adoption directe EN 248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Essais de corrosion des revêtements métalliques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Tests de résistance du chromage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Finitions robinetterie Presto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 EN ISO 3822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Adoption directe EN ISO 3822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Mesure acoustique des robinetteries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Tests de bruit en laboratoire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Conformité acoustique gamme Presto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TSE (certification générale)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Procédure TSE standard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Certification produit pour mise sur marché turque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Dépôt dossier, audit préliminaire, inspection site, certificat par référence norme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Prérequis pour toute commercialisation ERP en Turquie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TSE (Türk Standartları Enstitüsü)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Marquage CE (UE 305/2011)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Réglementation UE produits de construction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Mise sur marché UE — reconnu via union douanière mais insuffisant seul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Prérequis mais ne remplace pas le contrôle TSE/TAREKS à l'import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Tous produits Presto exportés vers la Turquie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Commission UE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RoHS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Directive UE 2011/65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Restriction substances dangereuses — équipements électriques/électroniques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Applicable à la robinetterie électronique/sans-contact Presto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Robinetterie électronique Presto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Commission UE / TSE (contrôle import)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ISO 9001 / ISO 14001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Normes internationales qualité/environnement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Systèmes de management qualité et environnemental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Attendus comme preuve de robustesse industrielle en appels d'offres publics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Certification fabricant Presto (déjà détenue en France à vérifier)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4"/>
              </w:rPr>
              <w:t>Organismes certificateurs internationaux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ANNEXE 8 — MATRICE DE CONFIANCE DONNÉES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4"/>
              </w:rPr>
              <w:t>Donnée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4"/>
              </w:rPr>
              <w:t>Valeur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4"/>
              </w:rPr>
              <w:t>Source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4"/>
              </w:rPr>
              <w:t>Niveau confiance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4"/>
              </w:rPr>
              <w:t>À revérifier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PIB/hab Turquie 2025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18 200-18 611 USD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IMF WEO 10/2025 / Worldometer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Moyenne (fourchette)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Choisir source unique IMF WEO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Population Turquie 2025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85,5-86,09 M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Source interne / TurkStat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Marché construction total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53-174 Mds$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Multi-cabinets (Mordor, IMARC, VMR, R&amp;M)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Faible (écart large)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Source TurkStat officielle à privilégier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Contribution BTP au PIB 2023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1 466,47 Md TRY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TurkStat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Répartition résidentiel/non-résidentiel 2023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76,5% / 23,5%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TurkStat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Marché robinetterie ERP Turquie (interne)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~56 M€, ~4M pièces, TCAC ~4%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Dossier interne propriétaire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Moyenne (méthode non détaillée)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Confronter aux Méthodes 1 &amp; 2 officielles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Total taps &amp; mixers TR 2020 (BRG)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6 776 000 unités, 1 229,75 M TRY, 152,96 M EUR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BRG TR Apr21, p.101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Haute (donnée directe fabricants)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Mise à jour post-2021 recommandée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Non-Housing volume 2020 (BRG)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482 010 unités (7,11%)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BRG TR Apr21, p.108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Présence Delabie Turquie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Absente/non confirmée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Recherche web croisée + Delabie.com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Haute (absence)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Contact direct export Delabie recommandé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Parc pénitentiaire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407 établissements, 402 000 incarcérés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Dossier interne propriétaire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Moyenne-haute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Sourcer via Ministère Justice turc / Prison Insider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Parc mosquées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≈82 000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Dossier interne propriétaire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Moyenne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Sourcer via Diyanet officiel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Parc hospitalier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≈1 560 hôpitaux (60% publics)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Dossier interne propriétaire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Moyenne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Sourcer via Ministère Santé turc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Parc scolaire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≈75 500 établissements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Dossier interne propriétaire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Moyenne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Sourcer via MEB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Normes TS EN robinetterie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TS EN 200/817/1111/15091/816/1112/1113/274/248/ISO3822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Coşan Ticaret, VitrA, CSB (bordereaux prix)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Moyenne-haute (nomenclature confirmée, détails partiels)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Détails TS EN 15091 et 816 à compléter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Coefficient d'extrapolation X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0,470 brut / 0,423 ajusté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Calcul propre (formule MAB)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Haute (calcul) / Moyenne (input PIB/hab)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Lié à la fiabilisation du PIB/hab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Programmes investissement (City Hospitals, TOKİ, reconstruction)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Chiffrés et datés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bne IntelliNews, invest.gov.tr, AGBI, World Bank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Taux de change EUR/TRY 2026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≈51 TRY/EUR, -27%/an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ECB eurofxref / Capital.com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4"/>
              </w:rPr>
              <w:t>Volatilité continue à surveiller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