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MAB BELGIQUE — Annexes &amp; Sources</w:t>
      </w:r>
    </w:p>
    <w:p>
      <w:pPr>
        <w:jc w:val="center"/>
      </w:pPr>
      <w:r>
        <w:t>Les Robinets Presto — Usage interne confidentiel — Juin 2026</w:t>
      </w:r>
    </w:p>
    <w:p/>
    <w:p>
      <w:pPr>
        <w:pStyle w:val="Heading1"/>
      </w:pPr>
      <w:r>
        <w:rPr>
          <w:color w:val="1F497D"/>
        </w:rPr>
        <w:t>ANNEXE A — Sources utilisées</w:t>
      </w:r>
    </w:p>
    <w:p>
      <w:r>
        <w:t>Toutes les URL ont été consultées en juin 2026.</w:t>
      </w:r>
    </w:p>
    <w:p/>
    <w:p>
      <w:pPr>
        <w:pStyle w:val="Heading2"/>
      </w:pPr>
      <w:r>
        <w:rPr>
          <w:color w:val="1F497D"/>
        </w:rPr>
        <w:t>Partie 1 — Contexte pays</w:t>
      </w:r>
    </w:p>
    <w:p>
      <w:r>
        <w:rPr>
          <w:b w:val="0"/>
        </w:rPr>
        <w:t>• Coface — Fiche risque pays Belgique 2025</w:t>
      </w:r>
      <w:r>
        <w:rPr>
          <w:sz w:val="16"/>
        </w:rPr>
        <w:br/>
        <w:t xml:space="preserve">  https://www.coface.com/fr/actualites-economie-conseils-d-experts/tableau-de-bord-des-risques-economiques/fiches-risques-pays/belgique</w:t>
      </w:r>
    </w:p>
    <w:p>
      <w:r>
        <w:rPr>
          <w:b w:val="0"/>
        </w:rPr>
        <w:t>• SPF Économie — Perspectives macroéconomiques Belgique 2025</w:t>
      </w:r>
      <w:r>
        <w:rPr>
          <w:sz w:val="16"/>
        </w:rPr>
        <w:br/>
        <w:t xml:space="preserve">  https://economie.fgov.be</w:t>
      </w:r>
    </w:p>
    <w:p>
      <w:r>
        <w:rPr>
          <w:b w:val="0"/>
        </w:rPr>
        <w:t>• DG Trésor — Relations bilatérales France-Belgique 2025</w:t>
      </w:r>
      <w:r>
        <w:rPr>
          <w:sz w:val="16"/>
        </w:rPr>
        <w:br/>
        <w:t xml:space="preserve">  https://www.tresor.economie.gouv.fr/Pays/BE/relations-bilaterales</w:t>
      </w:r>
    </w:p>
    <w:p>
      <w:r>
        <w:rPr>
          <w:b w:val="0"/>
        </w:rPr>
        <w:t>• Banque Nationale de Belgique (BNB) — IDE 2024</w:t>
      </w:r>
      <w:r>
        <w:rPr>
          <w:sz w:val="16"/>
        </w:rPr>
        <w:br/>
        <w:t xml:space="preserve">  https://www.nbb.be</w:t>
      </w:r>
    </w:p>
    <w:p>
      <w:r>
        <w:rPr>
          <w:b w:val="0"/>
        </w:rPr>
        <w:t>• Worldometer — PIB/hab France et Belgique 2025</w:t>
      </w:r>
      <w:r>
        <w:rPr>
          <w:sz w:val="16"/>
        </w:rPr>
        <w:br/>
        <w:t xml:space="preserve">  https://www.worldometers.info</w:t>
      </w:r>
    </w:p>
    <w:p>
      <w:r>
        <w:rPr>
          <w:b w:val="0"/>
        </w:rPr>
        <w:t>• ITU — Digital Development Dashboard 2025</w:t>
      </w:r>
      <w:r>
        <w:rPr>
          <w:sz w:val="16"/>
        </w:rPr>
        <w:br/>
        <w:t xml:space="preserve">  https://www.itu.int</w:t>
      </w:r>
    </w:p>
    <w:p>
      <w:r>
        <w:rPr>
          <w:b w:val="0"/>
        </w:rPr>
        <w:t>• Eurostat — R&amp;D Belgique 2024</w:t>
      </w:r>
      <w:r>
        <w:rPr>
          <w:sz w:val="16"/>
        </w:rPr>
        <w:br/>
        <w:t xml:space="preserve">  https://ec.europa.eu/eurostat</w:t>
      </w:r>
    </w:p>
    <w:p>
      <w:r>
        <w:rPr>
          <w:b w:val="0"/>
        </w:rPr>
        <w:t>• EIB — UZ Leuven modernisation 2025</w:t>
      </w:r>
      <w:r>
        <w:rPr>
          <w:sz w:val="16"/>
        </w:rPr>
        <w:br/>
        <w:t xml:space="preserve">  https://www.eib.org/en/press/all/2025-027-uz-leuven-gets-support-from-eib-for-modernisation-and-expansion</w:t>
      </w:r>
    </w:p>
    <w:p>
      <w:pPr>
        <w:pStyle w:val="Heading2"/>
      </w:pPr>
      <w:r>
        <w:rPr>
          <w:color w:val="1F497D"/>
        </w:rPr>
        <w:t>Partie 2 — Construction</w:t>
      </w:r>
    </w:p>
    <w:p>
      <w:r>
        <w:rPr>
          <w:b w:val="0"/>
        </w:rPr>
        <w:t>• ConsTrack360 / ResearchAndMarkets — Belgium Construction Market 2025</w:t>
      </w:r>
      <w:r>
        <w:rPr>
          <w:sz w:val="16"/>
        </w:rPr>
        <w:br/>
        <w:t xml:space="preserve">  https://www.researchandmarkets.com/reports/5938983/belgium-construction-market-size-trends</w:t>
      </w:r>
    </w:p>
    <w:p>
      <w:r>
        <w:rPr>
          <w:b w:val="0"/>
        </w:rPr>
        <w:t>• FIEC — Statistical Report Belgium 2024</w:t>
      </w:r>
      <w:r>
        <w:rPr>
          <w:sz w:val="16"/>
        </w:rPr>
        <w:br/>
        <w:t xml:space="preserve">  https://fiec-statistical-report.eu/belgium</w:t>
      </w:r>
    </w:p>
    <w:p>
      <w:r>
        <w:rPr>
          <w:b w:val="0"/>
        </w:rPr>
        <w:t>• Embuild — Secteur construction en recul 2025</w:t>
      </w:r>
      <w:r>
        <w:rPr>
          <w:sz w:val="16"/>
        </w:rPr>
        <w:br/>
        <w:t xml:space="preserve">  https://embuild.be/fr/le-secteur-de-la-construction-et-de-l%E2%80%99installation-en-recul-pour-la-quatri%C3%A8me-ann%C3%A9e-cons%C3%A9cutive</w:t>
      </w:r>
    </w:p>
    <w:p>
      <w:r>
        <w:rPr>
          <w:b w:val="0"/>
        </w:rPr>
        <w:t>• ING Think — Belgian construction sector 2025</w:t>
      </w:r>
      <w:r>
        <w:rPr>
          <w:sz w:val="16"/>
        </w:rPr>
        <w:br/>
        <w:t xml:space="preserve">  https://think.ing.com/articles/the-construction-sector-in-belgium-is-expected-to-contribute-to-gdp-growth-in-2025/</w:t>
      </w:r>
    </w:p>
    <w:p>
      <w:r>
        <w:rPr>
          <w:b w:val="0"/>
        </w:rPr>
        <w:t>• Trading Economics — Belgium Construction GDP</w:t>
      </w:r>
      <w:r>
        <w:rPr>
          <w:sz w:val="16"/>
        </w:rPr>
        <w:br/>
        <w:t xml:space="preserve">  https://tradingeconomics.com/belgium/construction-output</w:t>
      </w:r>
    </w:p>
    <w:p>
      <w:r>
        <w:rPr>
          <w:b w:val="0"/>
        </w:rPr>
        <w:t>• Allianz Trade — Analyse secteur construction Belgique 2025</w:t>
      </w:r>
      <w:r>
        <w:rPr>
          <w:sz w:val="16"/>
        </w:rPr>
        <w:br/>
        <w:t xml:space="preserve">  https://www.allianz-trade.com/fr_BE/actualites/dernieres-actualites/risques-sectoriels/secteur-construction.html</w:t>
      </w:r>
    </w:p>
    <w:p>
      <w:r>
        <w:rPr>
          <w:b w:val="0"/>
        </w:rPr>
        <w:t>• GlobalData — Belgium Construction Market H2 2025</w:t>
      </w:r>
      <w:r>
        <w:rPr>
          <w:sz w:val="16"/>
        </w:rPr>
        <w:br/>
        <w:t xml:space="preserve">  https://www.globaldata.com/store/report/belgium-construction-market-analysis/</w:t>
      </w:r>
    </w:p>
    <w:p>
      <w:r>
        <w:rPr>
          <w:b w:val="0"/>
        </w:rPr>
        <w:t>• KBC — Residential renovations Belgium 2024</w:t>
      </w:r>
      <w:r>
        <w:rPr>
          <w:sz w:val="16"/>
        </w:rPr>
        <w:br/>
        <w:t xml:space="preserve">  https://www.kbc.com/en/economics/publications/residential-renovations-in-belgium-at-the-current-pace-we-won-t-make-it.html</w:t>
      </w:r>
    </w:p>
    <w:p>
      <w:pPr>
        <w:pStyle w:val="Heading2"/>
      </w:pPr>
      <w:r>
        <w:rPr>
          <w:color w:val="1F497D"/>
        </w:rPr>
        <w:t>Partie 3 — Construction non-résidentielle</w:t>
      </w:r>
    </w:p>
    <w:p>
      <w:r>
        <w:rPr>
          <w:b w:val="0"/>
        </w:rPr>
        <w:t>• Embuild — Neuf et rénov. non-résidentiel 2024-2025</w:t>
      </w:r>
      <w:r>
        <w:rPr>
          <w:sz w:val="16"/>
        </w:rPr>
        <w:br/>
        <w:t xml:space="preserve">  https://embuild.be/fr/le-secteur-de-la-construction-et-de-l%E2%80%99installation-en-recul-pour-la-quatri%C3%A8me-ann%C3%A9e-cons%C3%A9cutive</w:t>
      </w:r>
    </w:p>
    <w:p>
      <w:r>
        <w:rPr>
          <w:b w:val="0"/>
        </w:rPr>
        <w:t>• FIEC Statistical Report — Belgium 2024</w:t>
      </w:r>
      <w:r>
        <w:rPr>
          <w:sz w:val="16"/>
        </w:rPr>
        <w:br/>
        <w:t xml:space="preserve">  https://fiec-statistical-report.eu/belgium</w:t>
      </w:r>
    </w:p>
    <w:p>
      <w:r>
        <w:rPr>
          <w:b w:val="0"/>
        </w:rPr>
        <w:t>• Brussels Times — ZIN Brussels WTC project</w:t>
      </w:r>
      <w:r>
        <w:rPr>
          <w:sz w:val="16"/>
        </w:rPr>
        <w:br/>
        <w:t xml:space="preserve">  https://www.brusselstimes.com</w:t>
      </w:r>
    </w:p>
    <w:p>
      <w:pPr>
        <w:pStyle w:val="Heading2"/>
      </w:pPr>
      <w:r>
        <w:rPr>
          <w:color w:val="1F497D"/>
        </w:rPr>
        <w:t>Partie 4 — Segments ERP</w:t>
      </w:r>
    </w:p>
    <w:p>
      <w:r>
        <w:rPr>
          <w:b w:val="0"/>
        </w:rPr>
        <w:t>• InfraPPPWorld — Flanders school infrastructure 3.2 Md€</w:t>
      </w:r>
      <w:r>
        <w:rPr>
          <w:sz w:val="16"/>
        </w:rPr>
        <w:br/>
        <w:t xml:space="preserve">  https://www.infrapppworld.com/update/flanders-commits-32-billion-to-build-and-renovate-schools-including-full-asbestos-removal</w:t>
      </w:r>
    </w:p>
    <w:p>
      <w:r>
        <w:rPr>
          <w:b w:val="0"/>
        </w:rPr>
        <w:t>• Le Spécialiste — Plan hôpitaux wallons 1,9 Md€</w:t>
      </w:r>
      <w:r>
        <w:rPr>
          <w:sz w:val="16"/>
        </w:rPr>
        <w:br/>
        <w:t xml:space="preserve">  https://www.lespecialiste.be/fr/actualites/2-milliards-d-rsquo-euros-pour-les-hopitaux-wallons.html</w:t>
      </w:r>
    </w:p>
    <w:p>
      <w:r>
        <w:rPr>
          <w:b w:val="0"/>
        </w:rPr>
        <w:t>• EIB — UZ Leuven 230 M€</w:t>
      </w:r>
      <w:r>
        <w:rPr>
          <w:sz w:val="16"/>
        </w:rPr>
        <w:br/>
        <w:t xml:space="preserve">  https://www.eib.org/en/press/all/2025-027-uz-leuven-gets-support-from-eib-for-modernisation-and-expansion</w:t>
      </w:r>
    </w:p>
    <w:p>
      <w:r>
        <w:rPr>
          <w:b w:val="0"/>
        </w:rPr>
        <w:t>• EIB — Belgium infrastructure study</w:t>
      </w:r>
      <w:r>
        <w:rPr>
          <w:sz w:val="16"/>
        </w:rPr>
        <w:br/>
        <w:t xml:space="preserve">  https://www.eib.org/en/projects/all/20190629</w:t>
      </w:r>
    </w:p>
    <w:p>
      <w:r>
        <w:rPr>
          <w:b w:val="0"/>
        </w:rPr>
        <w:t>• Gouvernement wallon — Infrasports Q2 2024 (29 M€)</w:t>
      </w:r>
      <w:r>
        <w:rPr>
          <w:sz w:val="16"/>
        </w:rPr>
        <w:br/>
        <w:t xml:space="preserve">  https://dolimont.wallonie.be/home/communiques-de-presse/communiques-de-presse-du-ministre-president/presses/pres-de-29-millions-pour-les-infrastructures-sportives-wallonnes-au-2eme-trimestre-2024.html</w:t>
      </w:r>
    </w:p>
    <w:p>
      <w:r>
        <w:rPr>
          <w:b w:val="0"/>
        </w:rPr>
        <w:t>• Brussels Times — 43 M€ sports infrastructure</w:t>
      </w:r>
      <w:r>
        <w:rPr>
          <w:sz w:val="16"/>
        </w:rPr>
        <w:br/>
        <w:t xml:space="preserve">  https://www.brusselstimes.com/254072/brussels-to-invest-e43-million-in-new-sports-infrastructure</w:t>
      </w:r>
    </w:p>
    <w:p>
      <w:r>
        <w:rPr>
          <w:b w:val="0"/>
        </w:rPr>
        <w:t>• Jan De Nul — Prison Anvers 2024</w:t>
      </w:r>
      <w:r>
        <w:rPr>
          <w:sz w:val="16"/>
        </w:rPr>
        <w:br/>
        <w:t xml:space="preserve">  https://www.jandenul.com/news/official-foundation-stone-laying-new-prison-antwerp</w:t>
      </w:r>
    </w:p>
    <w:p>
      <w:r>
        <w:rPr>
          <w:b w:val="0"/>
        </w:rPr>
        <w:t>• Prison Insider — Belgium prisons 2024-2025</w:t>
      </w:r>
      <w:r>
        <w:rPr>
          <w:sz w:val="16"/>
        </w:rPr>
        <w:br/>
        <w:t xml:space="preserve">  https://www.prison-insider.com/en/countryprofile/belgique-2024</w:t>
      </w:r>
    </w:p>
    <w:p>
      <w:r>
        <w:rPr>
          <w:b w:val="0"/>
        </w:rPr>
        <w:t>• Justice Trends — Belgian correctional system</w:t>
      </w:r>
      <w:r>
        <w:rPr>
          <w:sz w:val="16"/>
        </w:rPr>
        <w:br/>
        <w:t xml:space="preserve">  https://justice-trends.press/strategic-planning-and-the-development-of-the-belgian-correctional-system/</w:t>
      </w:r>
    </w:p>
    <w:p>
      <w:r>
        <w:rPr>
          <w:b w:val="0"/>
        </w:rPr>
        <w:t>• Fallz Hotels — Belgium hotel industry 2024-2025</w:t>
      </w:r>
      <w:r>
        <w:rPr>
          <w:sz w:val="16"/>
        </w:rPr>
        <w:br/>
        <w:t xml:space="preserve">  https://www.fallzhotels.com/belgiums-hotel-industry-in-2024-a-cultural-and-business-tourism-revival-and-whats-ahead-for-2025</w:t>
      </w:r>
    </w:p>
    <w:p>
      <w:r>
        <w:rPr>
          <w:b w:val="0"/>
        </w:rPr>
        <w:t>• Hospitality Design — The Standard Brussels 2025</w:t>
      </w:r>
      <w:r>
        <w:rPr>
          <w:sz w:val="16"/>
        </w:rPr>
        <w:br/>
        <w:t xml:space="preserve">  https://hospitalitydesign.com/news/hotels-resorts/the-standard-brussels/</w:t>
      </w:r>
    </w:p>
    <w:p>
      <w:r>
        <w:rPr>
          <w:b w:val="0"/>
        </w:rPr>
        <w:t>• Brussels Morning — Waregem invest 108 M€ roads/schools/sports</w:t>
      </w:r>
      <w:r>
        <w:rPr>
          <w:sz w:val="16"/>
        </w:rPr>
        <w:br/>
        <w:t xml:space="preserve">  https://brusselsmorning.com/waregem-invests-e108-million-in-roads-schools-and-sports/84924/</w:t>
      </w:r>
    </w:p>
    <w:p>
      <w:pPr>
        <w:pStyle w:val="Heading2"/>
      </w:pPr>
      <w:r>
        <w:rPr>
          <w:color w:val="1F497D"/>
        </w:rPr>
        <w:t>Partie 5 — Robinetterie générale</w:t>
      </w:r>
    </w:p>
    <w:p>
      <w:r>
        <w:rPr>
          <w:b w:val="0"/>
        </w:rPr>
        <w:t>• Xerfi — Marché robinetterie de bâtiment France 2023</w:t>
      </w:r>
      <w:r>
        <w:rPr>
          <w:sz w:val="16"/>
        </w:rPr>
        <w:br/>
        <w:t xml:space="preserve">  https://www.xerfi.com/presentationetude/le-marche-de-la-robinetterie-de-batiment_MAC11</w:t>
      </w:r>
    </w:p>
    <w:p>
      <w:r>
        <w:rPr>
          <w:b w:val="0"/>
        </w:rPr>
        <w:t>• IndexBox — Belgium taps and valves imports 2024</w:t>
      </w:r>
      <w:r>
        <w:rPr>
          <w:sz w:val="16"/>
        </w:rPr>
        <w:br/>
        <w:t xml:space="preserve">  https://www.indexbox.io/blog/tap-and-valve-european-union-market-overview-2024-9/</w:t>
      </w:r>
    </w:p>
    <w:p>
      <w:r>
        <w:rPr>
          <w:b w:val="0"/>
        </w:rPr>
        <w:t>• Mordor Intelligence — Europe Faucet Market</w:t>
      </w:r>
      <w:r>
        <w:rPr>
          <w:sz w:val="16"/>
        </w:rPr>
        <w:br/>
        <w:t xml:space="preserve">  https://www.mordorintelligence.com/industry-reports/europe-faucet-market</w:t>
      </w:r>
    </w:p>
    <w:p>
      <w:r>
        <w:rPr>
          <w:b w:val="0"/>
        </w:rPr>
        <w:t>• Facq.be — Ideal Standard distribution Belgium</w:t>
      </w:r>
      <w:r>
        <w:rPr>
          <w:sz w:val="16"/>
        </w:rPr>
        <w:br/>
        <w:t xml:space="preserve">  https://www.facq.be/en/private-customers/our-brands/ideal-standard</w:t>
      </w:r>
    </w:p>
    <w:p>
      <w:pPr>
        <w:pStyle w:val="Heading2"/>
      </w:pPr>
      <w:r>
        <w:rPr>
          <w:color w:val="1F497D"/>
        </w:rPr>
        <w:t>Partie 6 — Robinetterie collective</w:t>
      </w:r>
    </w:p>
    <w:p>
      <w:r>
        <w:rPr>
          <w:b w:val="0"/>
        </w:rPr>
        <w:t>• Source interne Presto — Cas Belgique 2025</w:t>
      </w:r>
      <w:r>
        <w:rPr>
          <w:sz w:val="16"/>
        </w:rPr>
        <w:br/>
        <w:t xml:space="preserve">  Source interne MAB-core — MAB - Cas Belgique.md</w:t>
      </w:r>
    </w:p>
    <w:p>
      <w:r>
        <w:rPr>
          <w:b w:val="0"/>
        </w:rPr>
        <w:t>• Source interne Presto — Base marché FR 120 M€</w:t>
      </w:r>
      <w:r>
        <w:rPr>
          <w:sz w:val="16"/>
        </w:rPr>
        <w:br/>
        <w:t xml:space="preserve">  Source interne MAB-core — EMAE Extrapolation</w:t>
      </w:r>
    </w:p>
    <w:p>
      <w:r>
        <w:rPr>
          <w:b w:val="0"/>
        </w:rPr>
        <w:t>• Worldometer — PIB/hab France/Belgique 2025</w:t>
      </w:r>
      <w:r>
        <w:rPr>
          <w:sz w:val="16"/>
        </w:rPr>
        <w:br/>
        <w:t xml:space="preserve">  https://www.worldometers.info</w:t>
      </w:r>
    </w:p>
    <w:p>
      <w:r>
        <w:rPr>
          <w:b w:val="0"/>
        </w:rPr>
        <w:t>• Wallonie — Programme PLAGE</w:t>
      </w:r>
      <w:r>
        <w:rPr>
          <w:sz w:val="16"/>
        </w:rPr>
        <w:br/>
        <w:t xml:space="preserve">  https://infrastructures.wallonie.be</w:t>
      </w:r>
    </w:p>
    <w:p>
      <w:r>
        <w:rPr>
          <w:b w:val="0"/>
        </w:rPr>
        <w:t>• Wallonie — Programme UREBA</w:t>
      </w:r>
      <w:r>
        <w:rPr>
          <w:sz w:val="16"/>
        </w:rPr>
        <w:br/>
        <w:t xml:space="preserve">  https://energie.wallonie.be</w:t>
      </w:r>
    </w:p>
    <w:p>
      <w:pPr>
        <w:pStyle w:val="Heading2"/>
      </w:pPr>
      <w:r>
        <w:rPr>
          <w:color w:val="1F497D"/>
        </w:rPr>
        <w:t>Partie 7 — Concurrents</w:t>
      </w:r>
    </w:p>
    <w:p>
      <w:r>
        <w:rPr>
          <w:b w:val="0"/>
        </w:rPr>
        <w:t>• Trendstop / Le Vif — Delabie Benelux SRL CA 12,9 M€</w:t>
      </w:r>
      <w:r>
        <w:rPr>
          <w:sz w:val="16"/>
        </w:rPr>
        <w:br/>
        <w:t xml:space="preserve">  https://trendstop.levif.be/fr/detail/501668657/delabie-benelux.aspx</w:t>
      </w:r>
    </w:p>
    <w:p>
      <w:r>
        <w:rPr>
          <w:b w:val="0"/>
        </w:rPr>
        <w:t>• Wikipedia — Delabie groupe</w:t>
      </w:r>
      <w:r>
        <w:rPr>
          <w:sz w:val="16"/>
        </w:rPr>
        <w:br/>
        <w:t xml:space="preserve">  https://fr.wikipedia.org/wiki/Delabie</w:t>
      </w:r>
    </w:p>
    <w:p>
      <w:r>
        <w:rPr>
          <w:b w:val="0"/>
        </w:rPr>
        <w:t>• Delabie Benelux — Site officiel</w:t>
      </w:r>
      <w:r>
        <w:rPr>
          <w:sz w:val="16"/>
        </w:rPr>
        <w:br/>
        <w:t xml:space="preserve">  https://www.delabiebenelux.com/fr</w:t>
      </w:r>
    </w:p>
    <w:p>
      <w:r>
        <w:rPr>
          <w:b w:val="0"/>
        </w:rPr>
        <w:t>• Delabie — Site groupe international</w:t>
      </w:r>
      <w:r>
        <w:rPr>
          <w:sz w:val="16"/>
        </w:rPr>
        <w:br/>
        <w:t xml:space="preserve">  https://www.delabie.com/</w:t>
      </w:r>
    </w:p>
    <w:p>
      <w:r>
        <w:rPr>
          <w:b w:val="0"/>
        </w:rPr>
        <w:t>• LinkedIn — Ideal Standard International NV Belgium</w:t>
      </w:r>
      <w:r>
        <w:rPr>
          <w:sz w:val="16"/>
        </w:rPr>
        <w:br/>
        <w:t xml:space="preserve">  https://be.linkedin.com/company/ideal-standard-international-nv</w:t>
      </w:r>
    </w:p>
    <w:p>
      <w:r>
        <w:rPr>
          <w:b w:val="0"/>
        </w:rPr>
        <w:t>• Installation &amp; Construction BE — Delabie leader ERP</w:t>
      </w:r>
      <w:r>
        <w:rPr>
          <w:sz w:val="16"/>
        </w:rPr>
        <w:br/>
        <w:t xml:space="preserve">  https://installationetconstruction.be/sanitaire/le-leader-europeen-du-marche-de-la-robinetterie-et-des-sanitaires-pour-les-lieux-publics-presente-de-nombreuses-nouveautes/</w:t>
      </w:r>
    </w:p>
    <w:p>
      <w:r>
        <w:rPr>
          <w:b w:val="0"/>
        </w:rPr>
        <w:t>• ExportHub — Intersan NV Belgium anti-vandal</w:t>
      </w:r>
      <w:r>
        <w:rPr>
          <w:sz w:val="16"/>
        </w:rPr>
        <w:br/>
        <w:t xml:space="preserve">  https://www.exporthub.com/intersan-nv-8215585/vandalproof-collective-sanitary-ware.html</w:t>
      </w:r>
    </w:p>
    <w:p>
      <w:r>
        <w:rPr>
          <w:b w:val="0"/>
        </w:rPr>
        <w:t>• Presto.fr — Organisation internationale</w:t>
      </w:r>
      <w:r>
        <w:rPr>
          <w:sz w:val="16"/>
        </w:rPr>
        <w:br/>
        <w:t xml:space="preserve">  https://presto.fr/en/company/organisation/</w:t>
      </w:r>
    </w:p>
    <w:p>
      <w:r>
        <w:rPr>
          <w:b w:val="0"/>
        </w:rPr>
        <w:t>• Banio.be — Grohe, Hansgrohe distribution Belgique</w:t>
      </w:r>
      <w:r>
        <w:rPr>
          <w:sz w:val="16"/>
        </w:rPr>
        <w:br/>
        <w:t xml:space="preserve">  https://www.banio.be/fr/8-robinetterie-lavabo</w:t>
      </w:r>
    </w:p>
    <w:p>
      <w:pPr>
        <w:pStyle w:val="Heading2"/>
      </w:pPr>
      <w:r>
        <w:rPr>
          <w:color w:val="1F497D"/>
        </w:rPr>
        <w:t>Partie 8 — Normes &amp; Certifications</w:t>
      </w:r>
    </w:p>
    <w:p>
      <w:r>
        <w:rPr>
          <w:b w:val="0"/>
        </w:rPr>
        <w:t>• BELGAQUA — Agrément matériaux HYDROCHECK</w:t>
      </w:r>
      <w:r>
        <w:rPr>
          <w:sz w:val="16"/>
        </w:rPr>
        <w:br/>
        <w:t xml:space="preserve">  https://www.belgaqua.be/fr</w:t>
      </w:r>
    </w:p>
    <w:p>
      <w:r>
        <w:rPr>
          <w:b w:val="0"/>
        </w:rPr>
        <w:t>• AVK Valves BE — Initiative 4MS et EUPL 2026/2032</w:t>
      </w:r>
      <w:r>
        <w:rPr>
          <w:sz w:val="16"/>
        </w:rPr>
        <w:br/>
        <w:t xml:space="preserve">  https://www.avkvalves.be/fr-be/nouvelles/nouvelles-eau-potable/nouvelle-l%C3%A9gislation-eau-potable</w:t>
      </w:r>
    </w:p>
    <w:p>
      <w:r>
        <w:rPr>
          <w:b w:val="0"/>
        </w:rPr>
        <w:t>• BENOR ASBL — Label BENOR</w:t>
      </w:r>
      <w:r>
        <w:rPr>
          <w:sz w:val="16"/>
        </w:rPr>
        <w:br/>
        <w:t xml:space="preserve">  https://www.benor.be/fr/benor-asbl/label-benor/</w:t>
      </w:r>
    </w:p>
    <w:p>
      <w:r>
        <w:rPr>
          <w:b w:val="0"/>
        </w:rPr>
        <w:t>• BUCP — Agrément Technique ATG</w:t>
      </w:r>
      <w:r>
        <w:rPr>
          <w:sz w:val="16"/>
        </w:rPr>
        <w:br/>
        <w:t xml:space="preserve">  https://bucp.be/certification-produit-2/agrement-technique-atg/?lang=fr</w:t>
      </w:r>
    </w:p>
    <w:p>
      <w:r>
        <w:rPr>
          <w:b w:val="0"/>
        </w:rPr>
        <w:t>• COPRO — Processus ATG</w:t>
      </w:r>
      <w:r>
        <w:rPr>
          <w:sz w:val="16"/>
        </w:rPr>
        <w:br/>
        <w:t xml:space="preserve">  https://www.copro.eu/fr/agrement-technique</w:t>
      </w:r>
    </w:p>
    <w:p>
      <w:r>
        <w:rPr>
          <w:b w:val="0"/>
        </w:rPr>
        <w:t>• Metrotime — Normes plomberie France/Belgique NBN EN 806</w:t>
      </w:r>
      <w:r>
        <w:rPr>
          <w:sz w:val="16"/>
        </w:rPr>
        <w:br/>
        <w:t xml:space="preserve">  https://www.metrotime.be/fr/news/les-differences-entre-les-normes-de-plomberie-en-france-et-en-belgique</w:t>
      </w:r>
    </w:p>
    <w:p>
      <w:r>
        <w:rPr>
          <w:b w:val="0"/>
        </w:rPr>
        <w:t>• Buildwise — NBN EN 806-2</w:t>
      </w:r>
      <w:r>
        <w:rPr>
          <w:sz w:val="16"/>
        </w:rPr>
        <w:br/>
        <w:t xml:space="preserve">  https://www.buildwise.be/fr/normes-et-reglementations/chercher/nbn-en-806-2-fr/</w:t>
      </w:r>
    </w:p>
    <w:p>
      <w:r>
        <w:rPr>
          <w:b w:val="0"/>
        </w:rPr>
        <w:t>• Environnement Wallonie — Cadre réglementaire eau</w:t>
      </w:r>
      <w:r>
        <w:rPr>
          <w:sz w:val="16"/>
        </w:rPr>
        <w:br/>
        <w:t xml:space="preserve">  https://environnement.wallonie.be/home/milieux/eau/etat-des-eaux/eau-de-distribution/cadre-reglementaire.html</w:t>
      </w:r>
    </w:p>
    <w:p>
      <w:r>
        <w:rPr>
          <w:b w:val="0"/>
        </w:rPr>
        <w:t>• IDRAL — Marquage CE robinetterie UE 305/2011</w:t>
      </w:r>
      <w:r>
        <w:rPr>
          <w:sz w:val="16"/>
        </w:rPr>
        <w:br/>
        <w:t xml:space="preserve">  https://www.idral.it/fr/blog/le-correct-usage-ou-non-marquage-ce-a-22</w:t>
      </w:r>
    </w:p>
    <w:p>
      <w:r>
        <w:rPr>
          <w:b w:val="0"/>
        </w:rPr>
        <w:t>• Cehtra — Directive UE 2020/2184 eau potable</w:t>
      </w:r>
      <w:r>
        <w:rPr>
          <w:sz w:val="16"/>
        </w:rPr>
        <w:br/>
        <w:t xml:space="preserve">  https://www.cehtra.com/fr/post/directive-ue-2020-2184-qualite-eau-potable</w:t>
      </w:r>
    </w:p>
    <w:p>
      <w:r>
        <w:rPr>
          <w:b w:val="0"/>
        </w:rPr>
        <w:t>• Eloy Water — Certification BENOR produits eau</w:t>
      </w:r>
      <w:r>
        <w:rPr>
          <w:sz w:val="16"/>
        </w:rPr>
        <w:br/>
        <w:t xml:space="preserve">  https://www.eloywater.com/be/blog/certification-benor/</w:t>
      </w:r>
    </w:p>
    <w:p>
      <w:r>
        <w:rPr>
          <w:b w:val="0"/>
        </w:rPr>
        <w:t>• Batiments Wallonie CCTB — Robinets et clapets spécifications</w:t>
      </w:r>
      <w:r>
        <w:rPr>
          <w:sz w:val="16"/>
        </w:rPr>
        <w:br/>
        <w:t xml:space="preserve">  https://batiments.wallonie.be/files/unzip/html_CCTB_01.13/resources/65-33-equipements-robinets-et-clapets.html</w:t>
      </w:r>
    </w:p>
    <w:p>
      <w:r>
        <w:rPr>
          <w:b w:val="0"/>
        </w:rPr>
        <w:t>• Delabie Benelux — Certifications hôpitaux</w:t>
      </w:r>
      <w:r>
        <w:rPr>
          <w:sz w:val="16"/>
        </w:rPr>
        <w:br/>
        <w:t xml:space="preserve">  https://www.delabiebenelux.com/ftp/documents/fre-FR/nos-services/normes/certifications-hopitaux.pdf</w:t>
      </w:r>
    </w:p>
    <w:p>
      <w:r>
        <w:rPr>
          <w:b w:val="0"/>
        </w:rPr>
        <w:t>• Aquawal — Normes NBN EN robinets fonte ductile</w:t>
      </w:r>
      <w:r>
        <w:rPr>
          <w:sz w:val="16"/>
        </w:rPr>
        <w:br/>
        <w:t xml:space="preserve">  https://www.aquawal.be/servlet/Repository/1001_b.pdf?ID=899&amp;saveFile=true</w:t>
      </w:r>
    </w:p>
    <w:p>
      <w:r>
        <w:br w:type="page"/>
      </w:r>
    </w:p>
    <w:p>
      <w:pPr>
        <w:pStyle w:val="Heading1"/>
      </w:pPr>
      <w:r>
        <w:rPr>
          <w:color w:val="1F497D"/>
        </w:rPr>
        <w:t>ANNEXE B — Données brutes et compléments</w:t>
      </w:r>
    </w:p>
    <w:p>
      <w:pPr>
        <w:pStyle w:val="Heading2"/>
      </w:pPr>
      <w:r>
        <w:rPr>
          <w:color w:val="1F497D"/>
        </w:rPr>
        <w:t>B1. Indicateurs macro Belgique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Indicateur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703"/>
          </w:tcPr>
          <w:p>
            <w:r>
              <w:t>PIB/hab 2024</w:t>
            </w:r>
          </w:p>
        </w:tc>
        <w:tc>
          <w:tcPr>
            <w:tcW w:type="dxa" w:w="4703"/>
          </w:tcPr>
          <w:p>
            <w:r>
              <w:t>~46 000 USD (FMI / SPF Économie)</w:t>
            </w:r>
          </w:p>
        </w:tc>
      </w:tr>
      <w:tr>
        <w:tc>
          <w:tcPr>
            <w:tcW w:type="dxa" w:w="4703"/>
          </w:tcPr>
          <w:p>
            <w:r>
              <w:t>PIB total 2024</w:t>
            </w:r>
          </w:p>
        </w:tc>
        <w:tc>
          <w:tcPr>
            <w:tcW w:type="dxa" w:w="4703"/>
          </w:tcPr>
          <w:p>
            <w:r>
              <w:t>~636 Md USD</w:t>
            </w:r>
          </w:p>
        </w:tc>
      </w:tr>
      <w:tr>
        <w:tc>
          <w:tcPr>
            <w:tcW w:type="dxa" w:w="4703"/>
          </w:tcPr>
          <w:p>
            <w:r>
              <w:t>Population 01/01/2025</w:t>
            </w:r>
          </w:p>
        </w:tc>
        <w:tc>
          <w:tcPr>
            <w:tcW w:type="dxa" w:w="4703"/>
          </w:tcPr>
          <w:p>
            <w:r>
              <w:t>11 825 551 (Statbel)</w:t>
            </w:r>
          </w:p>
        </w:tc>
      </w:tr>
      <w:tr>
        <w:tc>
          <w:tcPr>
            <w:tcW w:type="dxa" w:w="4703"/>
          </w:tcPr>
          <w:p>
            <w:r>
              <w:t>Taux de chômage national 2024</w:t>
            </w:r>
          </w:p>
        </w:tc>
        <w:tc>
          <w:tcPr>
            <w:tcW w:type="dxa" w:w="4703"/>
          </w:tcPr>
          <w:p>
            <w:r>
              <w:t>5,8 % (Eurostat)</w:t>
            </w:r>
          </w:p>
        </w:tc>
      </w:tr>
      <w:tr>
        <w:tc>
          <w:tcPr>
            <w:tcW w:type="dxa" w:w="4703"/>
          </w:tcPr>
          <w:p>
            <w:r>
              <w:t>Déficit public 2025e</w:t>
            </w:r>
          </w:p>
        </w:tc>
        <w:tc>
          <w:tcPr>
            <w:tcW w:type="dxa" w:w="4703"/>
          </w:tcPr>
          <w:p>
            <w:r>
              <w:t>~5 % du PIB (Coface)</w:t>
            </w:r>
          </w:p>
        </w:tc>
      </w:tr>
      <w:tr>
        <w:tc>
          <w:tcPr>
            <w:tcW w:type="dxa" w:w="4703"/>
          </w:tcPr>
          <w:p>
            <w:r>
              <w:t>Dette publique 2025e</w:t>
            </w:r>
          </w:p>
        </w:tc>
        <w:tc>
          <w:tcPr>
            <w:tcW w:type="dxa" w:w="4703"/>
          </w:tcPr>
          <w:p>
            <w:r>
              <w:t>~108 % du PIB</w:t>
            </w:r>
          </w:p>
        </w:tc>
      </w:tr>
      <w:tr>
        <w:tc>
          <w:tcPr>
            <w:tcW w:type="dxa" w:w="4703"/>
          </w:tcPr>
          <w:p>
            <w:r>
              <w:t>Inflation 2025e / 2026e</w:t>
            </w:r>
          </w:p>
        </w:tc>
        <w:tc>
          <w:tcPr>
            <w:tcW w:type="dxa" w:w="4703"/>
          </w:tcPr>
          <w:p>
            <w:r>
              <w:t>3,0 % / 3,4 % (Eurostat / CE)</w:t>
            </w:r>
          </w:p>
        </w:tc>
      </w:tr>
      <w:tr>
        <w:tc>
          <w:tcPr>
            <w:tcW w:type="dxa" w:w="4703"/>
          </w:tcPr>
          <w:p>
            <w:r>
              <w:t>R&amp;D (% PIB) 2024</w:t>
            </w:r>
          </w:p>
        </w:tc>
        <w:tc>
          <w:tcPr>
            <w:tcW w:type="dxa" w:w="4703"/>
          </w:tcPr>
          <w:p>
            <w:r>
              <w:t>3,4 % — 2e UE</w:t>
            </w:r>
          </w:p>
        </w:tc>
      </w:tr>
      <w:tr>
        <w:tc>
          <w:tcPr>
            <w:tcW w:type="dxa" w:w="4703"/>
          </w:tcPr>
          <w:p>
            <w:r>
              <w:t>Maturité numérique 2025</w:t>
            </w:r>
          </w:p>
        </w:tc>
        <w:tc>
          <w:tcPr>
            <w:tcW w:type="dxa" w:w="4703"/>
          </w:tcPr>
          <w:p>
            <w:r>
              <w:t>IDI 89,8/100 — rang 20e mondial</w:t>
            </w:r>
          </w:p>
        </w:tc>
      </w:tr>
      <w:tr>
        <w:tc>
          <w:tcPr>
            <w:tcW w:type="dxa" w:w="4703"/>
          </w:tcPr>
          <w:p>
            <w:r>
              <w:t>E-commerce 2024</w:t>
            </w:r>
          </w:p>
        </w:tc>
        <w:tc>
          <w:tcPr>
            <w:tcW w:type="dxa" w:w="4703"/>
          </w:tcPr>
          <w:p>
            <w:r>
              <w:t>17,4 Md€ (+6,7 %), &gt;25 % dépenses consommateurs</w:t>
            </w:r>
          </w:p>
        </w:tc>
      </w:tr>
    </w:tbl>
    <w:p/>
    <w:p>
      <w:pPr>
        <w:pStyle w:val="Heading2"/>
      </w:pPr>
      <w:r>
        <w:rPr>
          <w:color w:val="1F497D"/>
        </w:rPr>
        <w:t>B2. Marché construction — données complémentaires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Indicateur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703"/>
          </w:tcPr>
          <w:p>
            <w:r>
              <w:t>Total marché construction 2024 (FIEC)</w:t>
            </w:r>
          </w:p>
        </w:tc>
        <w:tc>
          <w:tcPr>
            <w:tcW w:type="dxa" w:w="4703"/>
          </w:tcPr>
          <w:p>
            <w:r>
              <w:t>41 Md€ (périmètre large)</w:t>
            </w:r>
          </w:p>
        </w:tc>
      </w:tr>
      <w:tr>
        <w:tc>
          <w:tcPr>
            <w:tcW w:type="dxa" w:w="4703"/>
          </w:tcPr>
          <w:p>
            <w:r>
              <w:t>Total marché construction 2025 (ConsTrack360)</w:t>
            </w:r>
          </w:p>
        </w:tc>
        <w:tc>
          <w:tcPr>
            <w:tcW w:type="dxa" w:w="4703"/>
          </w:tcPr>
          <w:p>
            <w:r>
              <w:t>32,3 Md€ (construction stricte)</w:t>
            </w:r>
          </w:p>
        </w:tc>
      </w:tr>
      <w:tr>
        <w:tc>
          <w:tcPr>
            <w:tcW w:type="dxa" w:w="4703"/>
          </w:tcPr>
          <w:p>
            <w:r>
              <w:t>PIB sectoriel BTP T4 2025 (record)</w:t>
            </w:r>
          </w:p>
        </w:tc>
        <w:tc>
          <w:tcPr>
            <w:tcW w:type="dxa" w:w="4703"/>
          </w:tcPr>
          <w:p>
            <w:r>
              <w:t>7 097 M€ (Trading Economics)</w:t>
            </w:r>
          </w:p>
        </w:tc>
      </w:tr>
      <w:tr>
        <w:tc>
          <w:tcPr>
            <w:tcW w:type="dxa" w:w="4703"/>
          </w:tcPr>
          <w:p>
            <w:r>
              <w:t>PIB sectoriel BTP T1 2026</w:t>
            </w:r>
          </w:p>
        </w:tc>
        <w:tc>
          <w:tcPr>
            <w:tcW w:type="dxa" w:w="4703"/>
          </w:tcPr>
          <w:p>
            <w:r>
              <w:t>5 920 M€ (Trading Economics)</w:t>
            </w:r>
          </w:p>
        </w:tc>
      </w:tr>
      <w:tr>
        <w:tc>
          <w:tcPr>
            <w:tcW w:type="dxa" w:w="4703"/>
          </w:tcPr>
          <w:p>
            <w:r>
              <w:t>Moyenne historique PIB sectoriel 1995-2026</w:t>
            </w:r>
          </w:p>
        </w:tc>
        <w:tc>
          <w:tcPr>
            <w:tcW w:type="dxa" w:w="4703"/>
          </w:tcPr>
          <w:p>
            <w:r>
              <w:t>5 033 M€/trim. (Trading Economics)</w:t>
            </w:r>
          </w:p>
        </w:tc>
      </w:tr>
      <w:tr>
        <w:tc>
          <w:tcPr>
            <w:tcW w:type="dxa" w:w="4703"/>
          </w:tcPr>
          <w:p>
            <w:r>
              <w:t>Permis nouveaux logements 2024</w:t>
            </w:r>
          </w:p>
        </w:tc>
        <w:tc>
          <w:tcPr>
            <w:tcW w:type="dxa" w:w="4703"/>
          </w:tcPr>
          <w:p>
            <w:r>
              <w:t>-14 % vs 2023, -31 % à Bruxelles (Embuild)</w:t>
            </w:r>
          </w:p>
        </w:tc>
      </w:tr>
      <w:tr>
        <w:tc>
          <w:tcPr>
            <w:tcW w:type="dxa" w:w="4703"/>
          </w:tcPr>
          <w:p>
            <w:r>
              <w:t>Parc immobilier à rénover 2050</w:t>
            </w:r>
          </w:p>
        </w:tc>
        <w:tc>
          <w:tcPr>
            <w:tcW w:type="dxa" w:w="4703"/>
          </w:tcPr>
          <w:p>
            <w:r>
              <w:t>80 % des bâtiments (Embuild)</w:t>
            </w:r>
          </w:p>
        </w:tc>
      </w:tr>
      <w:tr>
        <w:tc>
          <w:tcPr>
            <w:tcW w:type="dxa" w:w="4703"/>
          </w:tcPr>
          <w:p>
            <w:r>
              <w:t>Coût rénovation totale Belgique</w:t>
            </w:r>
          </w:p>
        </w:tc>
        <w:tc>
          <w:tcPr>
            <w:tcW w:type="dxa" w:w="4703"/>
          </w:tcPr>
          <w:p>
            <w:r>
              <w:t>350 Md€ (BNB)</w:t>
            </w:r>
          </w:p>
        </w:tc>
      </w:tr>
      <w:tr>
        <w:tc>
          <w:tcPr>
            <w:tcW w:type="dxa" w:w="4703"/>
          </w:tcPr>
          <w:p>
            <w:r>
              <w:t>Taux de faillites BTP</w:t>
            </w:r>
          </w:p>
        </w:tc>
        <w:tc>
          <w:tcPr>
            <w:tcW w:type="dxa" w:w="4703"/>
          </w:tcPr>
          <w:p>
            <w:r>
              <w:t>+10 % vs pré-COVID (Coface 2025)</w:t>
            </w:r>
          </w:p>
        </w:tc>
      </w:tr>
      <w:tr>
        <w:tc>
          <w:tcPr>
            <w:tcW w:type="dxa" w:w="4703"/>
          </w:tcPr>
          <w:p>
            <w:r>
              <w:t>CAGR construction 2025-2029</w:t>
            </w:r>
          </w:p>
        </w:tc>
        <w:tc>
          <w:tcPr>
            <w:tcW w:type="dxa" w:w="4703"/>
          </w:tcPr>
          <w:p>
            <w:r>
              <w:t>2,9 % (ConsTrack360)</w:t>
            </w:r>
          </w:p>
        </w:tc>
      </w:tr>
      <w:tr>
        <w:tc>
          <w:tcPr>
            <w:tcW w:type="dxa" w:w="4703"/>
          </w:tcPr>
          <w:p>
            <w:r>
              <w:t>Marché 2029 projeté</w:t>
            </w:r>
          </w:p>
        </w:tc>
        <w:tc>
          <w:tcPr>
            <w:tcW w:type="dxa" w:w="4703"/>
          </w:tcPr>
          <w:p>
            <w:r>
              <w:t>37,5 Md€ (ConsTrack360)</w:t>
            </w:r>
          </w:p>
        </w:tc>
      </w:tr>
    </w:tbl>
    <w:p/>
    <w:p>
      <w:pPr>
        <w:pStyle w:val="Heading2"/>
      </w:pPr>
      <w:r>
        <w:rPr>
          <w:color w:val="1F497D"/>
        </w:rPr>
        <w:t>B3. Delabie Benelux — fiche détaillée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Paramètre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Valeur</w:t>
            </w:r>
          </w:p>
        </w:tc>
      </w:tr>
      <w:tr>
        <w:tc>
          <w:tcPr>
            <w:tcW w:type="dxa" w:w="4703"/>
          </w:tcPr>
          <w:p>
            <w:r>
              <w:t>Raison sociale</w:t>
            </w:r>
          </w:p>
        </w:tc>
        <w:tc>
          <w:tcPr>
            <w:tcW w:type="dxa" w:w="4703"/>
          </w:tcPr>
          <w:p>
            <w:r>
              <w:t>Delabie Benelux SRL</w:t>
            </w:r>
          </w:p>
        </w:tc>
      </w:tr>
      <w:tr>
        <w:tc>
          <w:tcPr>
            <w:tcW w:type="dxa" w:w="4703"/>
          </w:tcPr>
          <w:p>
            <w:r>
              <w:t>Numéro BCE</w:t>
            </w:r>
          </w:p>
        </w:tc>
        <w:tc>
          <w:tcPr>
            <w:tcW w:type="dxa" w:w="4703"/>
          </w:tcPr>
          <w:p>
            <w:r>
              <w:t>BE 0501.668.657</w:t>
            </w:r>
          </w:p>
        </w:tc>
      </w:tr>
      <w:tr>
        <w:tc>
          <w:tcPr>
            <w:tcW w:type="dxa" w:w="4703"/>
          </w:tcPr>
          <w:p>
            <w:r>
              <w:t>Siège</w:t>
            </w:r>
          </w:p>
        </w:tc>
        <w:tc>
          <w:tcPr>
            <w:tcW w:type="dxa" w:w="4703"/>
          </w:tcPr>
          <w:p>
            <w:r>
              <w:t>Sint-Pieters-Leeuw (1600), Flandre (périphérie Bruxelles)</w:t>
            </w:r>
          </w:p>
        </w:tc>
      </w:tr>
      <w:tr>
        <w:tc>
          <w:tcPr>
            <w:tcW w:type="dxa" w:w="4703"/>
          </w:tcPr>
          <w:p>
            <w:r>
              <w:t>Création</w:t>
            </w:r>
          </w:p>
        </w:tc>
        <w:tc>
          <w:tcPr>
            <w:tcW w:type="dxa" w:w="4703"/>
          </w:tcPr>
          <w:p>
            <w:r>
              <w:t>2013 (acquisition BSC Belgium)</w:t>
            </w:r>
          </w:p>
        </w:tc>
      </w:tr>
      <w:tr>
        <w:tc>
          <w:tcPr>
            <w:tcW w:type="dxa" w:w="4703"/>
          </w:tcPr>
          <w:p>
            <w:r>
              <w:t>CA Belgique</w:t>
            </w:r>
          </w:p>
        </w:tc>
        <w:tc>
          <w:tcPr>
            <w:tcW w:type="dxa" w:w="4703"/>
          </w:tcPr>
          <w:p>
            <w:r>
              <w:t>12 920 574 € (Trendstop/Le Vif — date non précisée)</w:t>
            </w:r>
          </w:p>
        </w:tc>
      </w:tr>
      <w:tr>
        <w:tc>
          <w:tcPr>
            <w:tcW w:type="dxa" w:w="4703"/>
          </w:tcPr>
          <w:p>
            <w:r>
              <w:t>Rang sectoriel (sanitaire fab.)</w:t>
            </w:r>
          </w:p>
        </w:tc>
        <w:tc>
          <w:tcPr>
            <w:tcW w:type="dxa" w:w="4703"/>
          </w:tcPr>
          <w:p>
            <w:r>
              <w:t>30e en Belgique</w:t>
            </w:r>
          </w:p>
        </w:tc>
      </w:tr>
      <w:tr>
        <w:tc>
          <w:tcPr>
            <w:tcW w:type="dxa" w:w="4703"/>
          </w:tcPr>
          <w:p>
            <w:r>
              <w:t>Groupe Delabie CA total</w:t>
            </w:r>
          </w:p>
        </w:tc>
        <w:tc>
          <w:tcPr>
            <w:tcW w:type="dxa" w:w="4703"/>
          </w:tcPr>
          <w:p>
            <w:r>
              <w:t>Non publié (groupe familial non coté)</w:t>
            </w:r>
          </w:p>
        </w:tc>
      </w:tr>
      <w:tr>
        <w:tc>
          <w:tcPr>
            <w:tcW w:type="dxa" w:w="4703"/>
          </w:tcPr>
          <w:p>
            <w:r>
              <w:t>Effectifs groupe</w:t>
            </w:r>
          </w:p>
        </w:tc>
        <w:tc>
          <w:tcPr>
            <w:tcW w:type="dxa" w:w="4703"/>
          </w:tcPr>
          <w:p>
            <w:r>
              <w:t>400-450 salariés (250 en France à Friville-Escarbotin)</w:t>
            </w:r>
          </w:p>
        </w:tc>
      </w:tr>
      <w:tr>
        <w:tc>
          <w:tcPr>
            <w:tcW w:type="dxa" w:w="4703"/>
          </w:tcPr>
          <w:p>
            <w:r>
              <w:t>Export groupe</w:t>
            </w:r>
          </w:p>
        </w:tc>
        <w:tc>
          <w:tcPr>
            <w:tcW w:type="dxa" w:w="4703"/>
          </w:tcPr>
          <w:p>
            <w:r>
              <w:t>40 % du CA, 90+ pays</w:t>
            </w:r>
          </w:p>
        </w:tc>
      </w:tr>
      <w:tr>
        <w:tc>
          <w:tcPr>
            <w:tcW w:type="dxa" w:w="4703"/>
          </w:tcPr>
          <w:p>
            <w:r>
              <w:t>PDM France collectivités</w:t>
            </w:r>
          </w:p>
        </w:tc>
        <w:tc>
          <w:tcPr>
            <w:tcW w:type="dxa" w:w="4703"/>
          </w:tcPr>
          <w:p>
            <w:r>
              <w:t>~65 % (source interne Presto)</w:t>
            </w:r>
          </w:p>
        </w:tc>
      </w:tr>
      <w:tr>
        <w:tc>
          <w:tcPr>
            <w:tcW w:type="dxa" w:w="4703"/>
          </w:tcPr>
          <w:p>
            <w:r>
              <w:t>PDM France hospitalier</w:t>
            </w:r>
          </w:p>
        </w:tc>
        <w:tc>
          <w:tcPr>
            <w:tcW w:type="dxa" w:w="4703"/>
          </w:tcPr>
          <w:p>
            <w:r>
              <w:t>~90 % (source interne Presto)</w:t>
            </w:r>
          </w:p>
        </w:tc>
      </w:tr>
      <w:tr>
        <w:tc>
          <w:tcPr>
            <w:tcW w:type="dxa" w:w="4703"/>
          </w:tcPr>
          <w:p>
            <w:r>
              <w:t>Site Benelux</w:t>
            </w:r>
          </w:p>
        </w:tc>
        <w:tc>
          <w:tcPr>
            <w:tcW w:type="dxa" w:w="4703"/>
          </w:tcPr>
          <w:p>
            <w:r>
              <w:t>delabiebenelux.com</w:t>
            </w:r>
          </w:p>
        </w:tc>
      </w:tr>
    </w:tbl>
    <w:p/>
    <w:p>
      <w:pPr>
        <w:pStyle w:val="Heading2"/>
      </w:pPr>
      <w:r>
        <w:rPr>
          <w:color w:val="1F497D"/>
        </w:rPr>
        <w:t>B4. Réglementation eau potable en Belgique — synthèse</w:t>
      </w:r>
    </w:p>
    <w:p>
      <w:pPr>
        <w:pStyle w:val="ListBullet"/>
        <w:ind w:left="360"/>
      </w:pPr>
      <w:r>
        <w:t>Compétence régionale : 3 régions (Flandre, Wallonie, Bruxelles) avec leurs propres réglementations, alignées sur la Directive UE 2020/2184.</w:t>
      </w:r>
    </w:p>
    <w:p>
      <w:pPr>
        <w:pStyle w:val="ListBullet"/>
        <w:ind w:left="360"/>
      </w:pPr>
      <w:r>
        <w:t>HYDROCHECK/BELGAQUA : tout matériau ou dispositif en contact avec l'eau potable doit être certifié pour être référencé par les distributeurs d'eau belges. Certificat valable 5 ans max.</w:t>
      </w:r>
    </w:p>
    <w:p>
      <w:pPr>
        <w:pStyle w:val="ListBullet"/>
        <w:ind w:left="360"/>
      </w:pPr>
      <w:r>
        <w:t>Clapets anti-retour : certifiés selon NBN EN 1717 (BELGAQUA).</w:t>
      </w:r>
    </w:p>
    <w:p>
      <w:pPr>
        <w:pStyle w:val="ListBullet"/>
        <w:ind w:left="360"/>
      </w:pPr>
      <w:r>
        <w:t>EUPL 2026 : nouvelles listes positives européennes actives au 31/12/2026. Approbations nationales antérieures (dont ACS France) valides jusqu'au 31/12/2032.</w:t>
      </w:r>
    </w:p>
    <w:p>
      <w:pPr>
        <w:pStyle w:val="ListBullet"/>
        <w:ind w:left="360"/>
      </w:pPr>
      <w:r>
        <w:t>Marchés publics : références au Répertoire BELGAQUA dans les cahiers des charges — obligation contractuelle de fait.</w:t>
      </w:r>
    </w:p>
    <w:p>
      <w:pPr>
        <w:pStyle w:val="ListBullet"/>
        <w:ind w:left="360"/>
      </w:pPr>
      <w:r>
        <w:t>Contrôles eau Wallonie : fréquence définie par volume produit. Résultats annuels transmis au SPW ARNE avant fin Q1 de l'année suivante.</w:t>
      </w:r>
    </w:p>
    <w:p>
      <w:pPr>
        <w:pStyle w:val="Heading2"/>
      </w:pPr>
      <w:r>
        <w:rPr>
          <w:color w:val="1F497D"/>
        </w:rPr>
        <w:t>B5. Programmes publics clés impactant la robinetterie ERP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Programme</w:t>
            </w:r>
          </w:p>
        </w:tc>
        <w:tc>
          <w:tcPr>
            <w:tcW w:type="dxa" w:w="4703"/>
          </w:tcPr>
          <w:p>
            <w:r>
              <w:rPr>
                <w:b/>
              </w:rPr>
              <w:t>Impact ERP</w:t>
            </w:r>
          </w:p>
        </w:tc>
      </w:tr>
      <w:tr>
        <w:tc>
          <w:tcPr>
            <w:tcW w:type="dxa" w:w="4703"/>
          </w:tcPr>
          <w:p>
            <w:r>
              <w:t>PLAGE (Flandre)</w:t>
            </w:r>
          </w:p>
        </w:tc>
        <w:tc>
          <w:tcPr>
            <w:tcW w:type="dxa" w:w="4703"/>
          </w:tcPr>
          <w:p>
            <w:r>
              <w:t>Économie d'énergie dans bâtiments publics — impose économiseurs d'eau certifiés</w:t>
            </w:r>
          </w:p>
        </w:tc>
      </w:tr>
      <w:tr>
        <w:tc>
          <w:tcPr>
            <w:tcW w:type="dxa" w:w="4703"/>
          </w:tcPr>
          <w:p>
            <w:r>
              <w:t>UREBA (Wallonie)</w:t>
            </w:r>
          </w:p>
        </w:tc>
        <w:tc>
          <w:tcPr>
            <w:tcW w:type="dxa" w:w="4703"/>
          </w:tcPr>
          <w:p>
            <w:r>
              <w:t>Rénovation énergétique bâtiments publics — subventions conditionnées à des équipements certifiés</w:t>
            </w:r>
          </w:p>
        </w:tc>
      </w:tr>
      <w:tr>
        <w:tc>
          <w:tcPr>
            <w:tcW w:type="dxa" w:w="4703"/>
          </w:tcPr>
          <w:p>
            <w:r>
              <w:t>Plan Hôpitaux Wallonie</w:t>
            </w:r>
          </w:p>
        </w:tc>
        <w:tc>
          <w:tcPr>
            <w:tcW w:type="dxa" w:w="4703"/>
          </w:tcPr>
          <w:p>
            <w:r>
              <w:t>1,9 Md€ sur 2024-2028 pour 49 établissements</w:t>
            </w:r>
          </w:p>
        </w:tc>
      </w:tr>
      <w:tr>
        <w:tc>
          <w:tcPr>
            <w:tcW w:type="dxa" w:w="4703"/>
          </w:tcPr>
          <w:p>
            <w:r>
              <w:t>Scholen van Morgen/Vlaanderen (Flandre)</w:t>
            </w:r>
          </w:p>
        </w:tc>
        <w:tc>
          <w:tcPr>
            <w:tcW w:type="dxa" w:w="4703"/>
          </w:tcPr>
          <w:p>
            <w:r>
              <w:t>PPP écoles — budgets record débloqués (part de 3,2 Md€ global)</w:t>
            </w:r>
          </w:p>
        </w:tc>
      </w:tr>
      <w:tr>
        <w:tc>
          <w:tcPr>
            <w:tcW w:type="dxa" w:w="4703"/>
          </w:tcPr>
          <w:p>
            <w:r>
              <w:t>Plan Maître III Prisons</w:t>
            </w:r>
          </w:p>
        </w:tc>
        <w:tc>
          <w:tcPr>
            <w:tcW w:type="dxa" w:w="4703"/>
          </w:tcPr>
          <w:p>
            <w:r>
              <w:t>4 nouvelles prisons + rénovations = marché anti-vandalisme captif</w:t>
            </w:r>
          </w:p>
        </w:tc>
      </w:tr>
      <w:tr>
        <w:tc>
          <w:tcPr>
            <w:tcW w:type="dxa" w:w="4703"/>
          </w:tcPr>
          <w:p>
            <w:r>
              <w:t>Brussels Sports</w:t>
            </w:r>
          </w:p>
        </w:tc>
        <w:tc>
          <w:tcPr>
            <w:tcW w:type="dxa" w:w="4703"/>
          </w:tcPr>
          <w:p>
            <w:r>
              <w:t>43 M€ nouvelles infrastructures sportives</w:t>
            </w:r>
          </w:p>
        </w:tc>
      </w:tr>
      <w:tr>
        <w:tc>
          <w:tcPr>
            <w:tcW w:type="dxa" w:w="4703"/>
          </w:tcPr>
          <w:p>
            <w:r>
              <w:t>Infrasports Wallonie</w:t>
            </w:r>
          </w:p>
        </w:tc>
        <w:tc>
          <w:tcPr>
            <w:tcW w:type="dxa" w:w="4703"/>
          </w:tcPr>
          <w:p>
            <w:r>
              <w:t>29 M€ Q2 2024 seul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MAB Belgique — Annexes &amp; Sources</dc:title>
  <dc:subject/>
  <dc:creator>Les Robinets Presto / MAB-core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