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MAB BELGIQUE — Étude de Marché Robinetterie ERP</w:t>
      </w:r>
    </w:p>
    <w:p>
      <w:pPr>
        <w:jc w:val="center"/>
      </w:pPr>
      <w:r>
        <w:t>Les Robinets Presto — Usage interne confidentiel — Juin 2026</w:t>
      </w:r>
    </w:p>
    <w:p/>
    <w:p>
      <w:pPr>
        <w:pStyle w:val="Heading1"/>
      </w:pPr>
      <w:r>
        <w:rPr>
          <w:color w:val="1F497D"/>
        </w:rPr>
        <w:t>RÉSUMÉ EXÉCUTIF</w:t>
      </w:r>
    </w:p>
    <w:p>
      <w:pPr>
        <w:pStyle w:val="ListBullet"/>
        <w:ind w:left="360"/>
      </w:pPr>
      <w:r>
        <w:t>Marché ERP estimé à 24-29 M€ (robinetterie collective stricte) — taille modeste mais stable, avec croissance structurelle de 3-4 %/an portée par la rénovation publique et les institutions UE/OTAN à Bruxelles.</w:t>
      </w:r>
    </w:p>
    <w:p>
      <w:pPr>
        <w:pStyle w:val="ListBullet"/>
        <w:ind w:left="360"/>
      </w:pPr>
      <w:r>
        <w:t>Construction belge atone en 2025 (-0,4 %), mais non-résidentiel neuf en légère reprise (+1,4 % en 2024) et pipelines d'investissements publics massifs : 3,2 Md€ pour les écoles flamandes, 1,9 Md€ pour les hôpitaux wallons, 4 nouvelles prisons planifiées.</w:t>
      </w:r>
    </w:p>
    <w:p>
      <w:pPr>
        <w:pStyle w:val="ListBullet"/>
        <w:ind w:left="360"/>
      </w:pPr>
      <w:r>
        <w:t>Delabie domine l'ERP collectif depuis sa filiale Benelux (CA ~12,9 M€ en Belgique) ; Ideal Standard (siège mondial à Bruxelles) est leader sur le résidentiel et le commercial généraliste.</w:t>
      </w:r>
    </w:p>
    <w:p>
      <w:pPr>
        <w:pStyle w:val="ListBullet"/>
        <w:ind w:left="360"/>
      </w:pPr>
      <w:r>
        <w:t>Marché biculturel : Flandre orientée vers les marques germaniques (Grohe, Hansgrohe), Wallonie/Bruxelles favorable aux marques françaises — avantage structurel pour Presto.</w:t>
      </w:r>
    </w:p>
    <w:p>
      <w:pPr>
        <w:pStyle w:val="ListBullet"/>
        <w:ind w:left="360"/>
      </w:pPr>
      <w:r>
        <w:t>Certification BELGAQUA/HYDROCHECK obligatoire pour tous les équipements en contact eau potable — à obtenir avant toute démarche commerciale sérieuse. ACS France reconnu pendant la période transitoire (jusqu'en 2032).</w:t>
      </w:r>
    </w:p>
    <w:p>
      <w:r>
        <w:br w:type="page"/>
      </w:r>
    </w:p>
    <w:p>
      <w:pPr>
        <w:pStyle w:val="Heading1"/>
      </w:pPr>
      <w:r>
        <w:rPr>
          <w:color w:val="1F497D"/>
        </w:rPr>
        <w:t>PARTIE 1 — Overview Contexte Pays</w:t>
      </w:r>
    </w:p>
    <w:p>
      <w:pPr>
        <w:pStyle w:val="Heading2"/>
      </w:pPr>
      <w:r>
        <w:rPr>
          <w:color w:val="1F497D"/>
        </w:rPr>
        <w:t>1.1 Analyse PESTEL</w:t>
      </w:r>
    </w:p>
    <w:p>
      <w:r>
        <w:rPr>
          <w:b/>
        </w:rPr>
        <w:t xml:space="preserve">Politique : </w:t>
      </w:r>
      <w:r>
        <w:t>État fédéral à 3 niveaux (fédéral / régions / communautés). Coalition « Arizona » (N-VA, CD&amp;V, Vooruit, MR, Les Engagés) au pouvoir depuis janvier 2025. Procédure de déficit excessif UE en cours — limite l'investissement public. Approche commerciale régionalisée indispensable (Flandre, Wallonie, Bruxelles = règles différentes). (Coface, 2025 ; SPF Économie, 2025)</w:t>
      </w:r>
    </w:p>
    <w:p>
      <w:r>
        <w:rPr>
          <w:b/>
        </w:rPr>
        <w:t xml:space="preserve">Économique : </w:t>
      </w:r>
      <w:r>
        <w:t>PIB/hab : ~46 000 USD en 2024 (SPF Économie / FMI). Croissance : +1 % en 2025, +1 % en 2026. Déficit public : ~5 % du PIB, dette à 108 % du PIB. Hausse des faillites (+10 % vs pré-COVID). Marché B2B premium malgré croissance molle. (Coface, 2025 ; SPF Économie, 2025)</w:t>
      </w:r>
    </w:p>
    <w:p>
      <w:r>
        <w:rPr>
          <w:b/>
        </w:rPr>
        <w:t xml:space="preserve">Social : </w:t>
      </w:r>
      <w:r>
        <w:t>Population : 11,8 M habitants au 1er janv. 2025. Chômage hétérogène : 3,8 % en Flandre, 8,0 % en Wallonie, 12,3 % à Bruxelles. Vieillissement démographique : besoin de 486 nouveaux centres de soins résidentiels et 7 hôpitaux d'ici 2050. (Statbel, 2025 ; EIB, 2025)</w:t>
      </w:r>
    </w:p>
    <w:p>
      <w:r>
        <w:rPr>
          <w:b/>
        </w:rPr>
        <w:t xml:space="preserve">Technologique : </w:t>
      </w:r>
      <w:r>
        <w:t>Maturité numérique élevée (IDI 89,8/100, rang 20e mondial). 75 % des Belges achètent en ligne (&gt;moyenne UE). E-commerce B2B en développement rapide. Clients exigeants sur BIM et solutions digitales dans les marchés publics. (ITU, 2025 ; Eurostat, 2024)</w:t>
      </w:r>
    </w:p>
    <w:p>
      <w:r>
        <w:rPr>
          <w:b/>
        </w:rPr>
        <w:t xml:space="preserve">Environnemental : </w:t>
      </w:r>
      <w:r>
        <w:t>80 % du parc immobilier à rénover pour atteindre neutralité carbone 2050. Rythme actuel à multiplier par 3-4 selon les régions. Investissement nécessaire : 350 Md€ (BNB). Programmes PLAGE (Flandre) et UREBA (Wallonie) imposent économiseurs d'eau dans les rénovations publiques. (Embuild, 2025 ; BNB, 2024)</w:t>
      </w:r>
    </w:p>
    <w:p>
      <w:r>
        <w:rPr>
          <w:b/>
        </w:rPr>
        <w:t xml:space="preserve">Légal : </w:t>
      </w:r>
      <w:r>
        <w:t>Cadre UE : RGPD, CSRD (2025+), taxonomie verte (2026). Certification BELGAQUA/HYDROCHECK obligatoire pour tout matériau en contact eau potable. Marquage CE selon règlement UE 305/2011. Label BENOR fréquemment exigé dans les marchés publics. Cadre 4MS + EUPL transitoire jusqu'au 31/12/2032. (NBN, 2025 ; BELGAQUA, 2025)</w:t>
      </w:r>
    </w:p>
    <w:p/>
    <w:p>
      <w:pPr>
        <w:pStyle w:val="Heading2"/>
      </w:pPr>
      <w:r>
        <w:rPr>
          <w:color w:val="1F497D"/>
        </w:rPr>
        <w:t>1.2 Indicateurs socio-économiques clés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4703"/>
          </w:tcPr>
          <w:p>
            <w:r>
              <w:rPr>
                <w:b/>
              </w:rPr>
              <w:t>Valeur / Source</w:t>
            </w:r>
          </w:p>
        </w:tc>
      </w:tr>
      <w:tr>
        <w:tc>
          <w:tcPr>
            <w:tcW w:type="dxa" w:w="4703"/>
          </w:tcPr>
          <w:p>
            <w:r>
              <w:t>PIB/habitant 2024</w:t>
            </w:r>
          </w:p>
        </w:tc>
        <w:tc>
          <w:tcPr>
            <w:tcW w:type="dxa" w:w="4703"/>
          </w:tcPr>
          <w:p>
            <w:r>
              <w:t>~46 000 USD (FMI / SPF Économie, 2025)</w:t>
            </w:r>
          </w:p>
        </w:tc>
      </w:tr>
      <w:tr>
        <w:tc>
          <w:tcPr>
            <w:tcW w:type="dxa" w:w="4703"/>
          </w:tcPr>
          <w:p>
            <w:r>
              <w:t>Population 2025</w:t>
            </w:r>
          </w:p>
        </w:tc>
        <w:tc>
          <w:tcPr>
            <w:tcW w:type="dxa" w:w="4703"/>
          </w:tcPr>
          <w:p>
            <w:r>
              <w:t>11 825 551 habitants (Statbel, 2025)</w:t>
            </w:r>
          </w:p>
        </w:tc>
      </w:tr>
      <w:tr>
        <w:tc>
          <w:tcPr>
            <w:tcW w:type="dxa" w:w="4703"/>
          </w:tcPr>
          <w:p>
            <w:r>
              <w:t>Croissance PIB 2025e</w:t>
            </w:r>
          </w:p>
        </w:tc>
        <w:tc>
          <w:tcPr>
            <w:tcW w:type="dxa" w:w="4703"/>
          </w:tcPr>
          <w:p>
            <w:r>
              <w:t>+1,0 % (SPF Économie / FMI, 2025)</w:t>
            </w:r>
          </w:p>
        </w:tc>
      </w:tr>
      <w:tr>
        <w:tc>
          <w:tcPr>
            <w:tcW w:type="dxa" w:w="4703"/>
          </w:tcPr>
          <w:p>
            <w:r>
              <w:t>Inflation 2025</w:t>
            </w:r>
          </w:p>
        </w:tc>
        <w:tc>
          <w:tcPr>
            <w:tcW w:type="dxa" w:w="4703"/>
          </w:tcPr>
          <w:p>
            <w:r>
              <w:t>3,0 % (Eurostat / CE, 2025)</w:t>
            </w:r>
          </w:p>
        </w:tc>
      </w:tr>
      <w:tr>
        <w:tc>
          <w:tcPr>
            <w:tcW w:type="dxa" w:w="4703"/>
          </w:tcPr>
          <w:p>
            <w:r>
              <w:t>Dette publique</w:t>
            </w:r>
          </w:p>
        </w:tc>
        <w:tc>
          <w:tcPr>
            <w:tcW w:type="dxa" w:w="4703"/>
          </w:tcPr>
          <w:p>
            <w:r>
              <w:t>~108 % du PIB (Coface, 2025)</w:t>
            </w:r>
          </w:p>
        </w:tc>
      </w:tr>
      <w:tr>
        <w:tc>
          <w:tcPr>
            <w:tcW w:type="dxa" w:w="4703"/>
          </w:tcPr>
          <w:p>
            <w:r>
              <w:t>Marché BTP 2025</w:t>
            </w:r>
          </w:p>
        </w:tc>
        <w:tc>
          <w:tcPr>
            <w:tcW w:type="dxa" w:w="4703"/>
          </w:tcPr>
          <w:p>
            <w:r>
              <w:t>32,3 Md€ (ConsTrack360 / ResearchAndMarkets, 2025)</w:t>
            </w:r>
          </w:p>
        </w:tc>
      </w:tr>
      <w:tr>
        <w:tc>
          <w:tcPr>
            <w:tcW w:type="dxa" w:w="4703"/>
          </w:tcPr>
          <w:p>
            <w:r>
              <w:t>Urbanisation</w:t>
            </w:r>
          </w:p>
        </w:tc>
        <w:tc>
          <w:tcPr>
            <w:tcW w:type="dxa" w:w="4703"/>
          </w:tcPr>
          <w:p>
            <w:r>
              <w:t>&gt;98 % (Worldbank, 2024)</w:t>
            </w:r>
          </w:p>
        </w:tc>
      </w:tr>
      <w:tr>
        <w:tc>
          <w:tcPr>
            <w:tcW w:type="dxa" w:w="4703"/>
          </w:tcPr>
          <w:p>
            <w:r>
              <w:t>R&amp;D (% PIB)</w:t>
            </w:r>
          </w:p>
        </w:tc>
        <w:tc>
          <w:tcPr>
            <w:tcW w:type="dxa" w:w="4703"/>
          </w:tcPr>
          <w:p>
            <w:r>
              <w:t>3,4 % — 2e rang UE (Eurostat / UNESCO, 2024)</w:t>
            </w:r>
          </w:p>
        </w:tc>
      </w:tr>
    </w:tbl>
    <w:p/>
    <w:p/>
    <w:p>
      <w:pPr>
        <w:pStyle w:val="Heading2"/>
      </w:pPr>
      <w:r>
        <w:rPr>
          <w:color w:val="1F497D"/>
        </w:rPr>
        <w:t>1.3 Relations économiques et culturelles avec la France</w:t>
      </w:r>
    </w:p>
    <w:p>
      <w:pPr>
        <w:pStyle w:val="ListBullet"/>
        <w:ind w:left="360"/>
      </w:pPr>
      <w:r>
        <w:t>Volume d'échanges bilatéraux 2025 : 89,4 Md€ (-8,5 % vs 2024). Exports FR→BE : 44,9 Md€ (-0,9 %). Imports BE→FR : 44,5 Md€ (-15,1 %). Belgique = 6e partenaire commercial de la France. (DG Trésor, 2025)</w:t>
      </w:r>
    </w:p>
    <w:p>
      <w:pPr>
        <w:pStyle w:val="ListBullet"/>
        <w:ind w:left="360"/>
      </w:pPr>
      <w:r>
        <w:t>IDE : France = 1er investisseur étranger en Belgique (126,4 Md€ de stock). La Belgique détient 66 Md€ d'IDE en France. (BNB / DG Trésor, 2025)</w:t>
      </w:r>
    </w:p>
    <w:p>
      <w:pPr>
        <w:pStyle w:val="ListBullet"/>
        <w:ind w:left="360"/>
      </w:pPr>
      <w:r>
        <w:t>Filiales françaises : ~2 600 filiales, 170 000+ salariés, 78 Md€ de CA consolidé. Secteurs : finance (AXA, BNP), distribution (Carrefour, Decathlon), énergie (Engie, EDF Luminus, TotalEnergies), BTP (Vinci, Bouygues, Eiffage). (DG Trésor, 2025)</w:t>
      </w:r>
    </w:p>
    <w:p>
      <w:pPr>
        <w:pStyle w:val="ListBullet"/>
        <w:ind w:left="360"/>
      </w:pPr>
      <w:r>
        <w:t>Proximité culturelle : marché francophone (Wallonie + Bruxelles = ~40 % de la pop.) nettement favorable aux marques françaises. Marché flamand : préférence pour marques germaniques, nécessite approche néerlandophone.</w:t>
      </w:r>
    </w:p>
    <w:p>
      <w:pPr>
        <w:pStyle w:val="ListBullet"/>
        <w:ind w:left="360"/>
      </w:pPr>
      <w:r>
        <w:t>Avantage Presto : image « made in France », proximité géographique, réseau français déjà établi via entreprises françaises implantées (Vinci, Bouygues, Engie = donneurs d'ordres potentiels sur chantiers belges).</w:t>
      </w:r>
    </w:p>
    <w:p>
      <w:pPr>
        <w:pStyle w:val="ListBullet"/>
        <w:ind w:left="360"/>
      </w:pPr>
      <w:r>
        <w:t>Barrière principale : approbation BELGAQUA/HYDROCHECK indispensable pour les marchés publics belges — certification nationale spécifique en sus du marquage CE.</w:t>
      </w:r>
    </w:p>
    <w:p/>
    <w:p>
      <w:pPr>
        <w:pStyle w:val="Heading2"/>
      </w:pPr>
      <w:r>
        <w:rPr>
          <w:color w:val="1F497D"/>
        </w:rPr>
        <w:t>1.4 Tendances d'investissement</w:t>
      </w:r>
    </w:p>
    <w:p>
      <w:pPr>
        <w:pStyle w:val="ListBullet"/>
        <w:ind w:left="360"/>
      </w:pPr>
      <w:r>
        <w:t>Défense (priorité gouvernement 2025-2029) : budget en forte hausse pour atteindre 2 % du PIB OTAN.</w:t>
      </w:r>
    </w:p>
    <w:p>
      <w:pPr>
        <w:pStyle w:val="ListBullet"/>
        <w:ind w:left="360"/>
      </w:pPr>
      <w:r>
        <w:t>Transition énergétique : PLAGE (Flandre), UREBA (Wallonie), soutiens à la rénovation thermique des bâtiments publics.</w:t>
      </w:r>
    </w:p>
    <w:p>
      <w:pPr>
        <w:pStyle w:val="ListBullet"/>
        <w:ind w:left="360"/>
      </w:pPr>
      <w:r>
        <w:t>Infrastructures numériques : data centers, réseaux 5G/fibre.</w:t>
      </w:r>
    </w:p>
    <w:p>
      <w:pPr>
        <w:pStyle w:val="ListBullet"/>
        <w:ind w:left="360"/>
      </w:pPr>
      <w:r>
        <w:t>Santé : plan wallon hôpitaux 1,9 Md€ (2024-2028), prêt EIB 230 M€ à UZ Leuven.</w:t>
      </w:r>
    </w:p>
    <w:p>
      <w:pPr>
        <w:pStyle w:val="ListBullet"/>
        <w:ind w:left="360"/>
      </w:pPr>
      <w:r>
        <w:t>Éducation : programme Flandre 3,2 Md€ (construction/rénovation écoles).</w:t>
      </w:r>
    </w:p>
    <w:p>
      <w:pPr>
        <w:pStyle w:val="ListBullet"/>
        <w:ind w:left="360"/>
      </w:pPr>
      <w:r>
        <w:t>Transports : projets Oosterweel (Anvers), nouvelle écluse Terneuzen.</w:t>
      </w:r>
    </w:p>
    <w:p>
      <w:pPr>
        <w:pStyle w:val="ListBullet"/>
        <w:ind w:left="360"/>
      </w:pPr>
      <w:r>
        <w:t>Justice : Plan Maître III — 4 nouvelles prisons (Leopoldsburg, Vresse-sur-Semois, Liège, Verviers), prison Anvers en cours (livraison 2026).</w:t>
      </w:r>
    </w:p>
    <w:p>
      <w:r>
        <w:br w:type="page"/>
      </w:r>
    </w:p>
    <w:p>
      <w:pPr>
        <w:pStyle w:val="Heading1"/>
      </w:pPr>
      <w:r>
        <w:rPr>
          <w:color w:val="1F497D"/>
        </w:rPr>
        <w:t>PARTIE 2 — Marché de la Construction</w:t>
      </w:r>
    </w:p>
    <w:p>
      <w:pPr>
        <w:pStyle w:val="Heading2"/>
      </w:pPr>
      <w:r>
        <w:rPr>
          <w:color w:val="1F497D"/>
        </w:rPr>
        <w:t>2.1 État actuel et dynamique</w:t>
      </w:r>
    </w:p>
    <w:p>
      <w:r>
        <w:t>Le marché belge de la construction est estimé à 32,3 Md€ en 2025 (ConsTrack360 / ResearchAndMarkets, 2025). La FIEC indique un total sectoriel de 41 Md€ en 2024 (périmètre élargi incluant installation). Après une croissance soutenue 2020-2024 (CAGR +6,8 %), le secteur traverse une phase de contraction. Le volume de production a reculé de -0,4 % en 2024 et se redresse faiblement : +0,7 % prévu en 2026, +0,8 % en 2027 (ING, 2025).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4703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703"/>
          </w:tcPr>
          <w:p>
            <w:r>
              <w:t>Marché total 2025</w:t>
            </w:r>
          </w:p>
        </w:tc>
        <w:tc>
          <w:tcPr>
            <w:tcW w:type="dxa" w:w="4703"/>
          </w:tcPr>
          <w:p>
            <w:r>
              <w:t>32,3 Md€ (ConsTrack360 / ResearchAndMarkets)</w:t>
            </w:r>
          </w:p>
        </w:tc>
      </w:tr>
      <w:tr>
        <w:tc>
          <w:tcPr>
            <w:tcW w:type="dxa" w:w="4703"/>
          </w:tcPr>
          <w:p>
            <w:r>
              <w:t>PIB sectoriel BTP T4 2025 (record)</w:t>
            </w:r>
          </w:p>
        </w:tc>
        <w:tc>
          <w:tcPr>
            <w:tcW w:type="dxa" w:w="4703"/>
          </w:tcPr>
          <w:p>
            <w:r>
              <w:t>7,1 Md€ (Trading Economics)</w:t>
            </w:r>
          </w:p>
        </w:tc>
      </w:tr>
      <w:tr>
        <w:tc>
          <w:tcPr>
            <w:tcW w:type="dxa" w:w="4703"/>
          </w:tcPr>
          <w:p>
            <w:r>
              <w:t>PIB sectoriel BTP T1 2026</w:t>
            </w:r>
          </w:p>
        </w:tc>
        <w:tc>
          <w:tcPr>
            <w:tcW w:type="dxa" w:w="4703"/>
          </w:tcPr>
          <w:p>
            <w:r>
              <w:t>5,9 Md€ (Trading Economics)</w:t>
            </w:r>
          </w:p>
        </w:tc>
      </w:tr>
      <w:tr>
        <w:tc>
          <w:tcPr>
            <w:tcW w:type="dxa" w:w="4703"/>
          </w:tcPr>
          <w:p>
            <w:r>
              <w:t>Croissance 2024</w:t>
            </w:r>
          </w:p>
        </w:tc>
        <w:tc>
          <w:tcPr>
            <w:tcW w:type="dxa" w:w="4703"/>
          </w:tcPr>
          <w:p>
            <w:r>
              <w:t>-0,4 % (Embuild)</w:t>
            </w:r>
          </w:p>
        </w:tc>
      </w:tr>
      <w:tr>
        <w:tc>
          <w:tcPr>
            <w:tcW w:type="dxa" w:w="4703"/>
          </w:tcPr>
          <w:p>
            <w:r>
              <w:t>Croissance 2026e</w:t>
            </w:r>
          </w:p>
        </w:tc>
        <w:tc>
          <w:tcPr>
            <w:tcW w:type="dxa" w:w="4703"/>
          </w:tcPr>
          <w:p>
            <w:r>
              <w:t>+0,7 % (ING)</w:t>
            </w:r>
          </w:p>
        </w:tc>
      </w:tr>
      <w:tr>
        <w:tc>
          <w:tcPr>
            <w:tcW w:type="dxa" w:w="4703"/>
          </w:tcPr>
          <w:p>
            <w:r>
              <w:t>Croissance 2027e</w:t>
            </w:r>
          </w:p>
        </w:tc>
        <w:tc>
          <w:tcPr>
            <w:tcW w:type="dxa" w:w="4703"/>
          </w:tcPr>
          <w:p>
            <w:r>
              <w:t>+0,8 % (ING)</w:t>
            </w:r>
          </w:p>
        </w:tc>
      </w:tr>
      <w:tr>
        <w:tc>
          <w:tcPr>
            <w:tcW w:type="dxa" w:w="4703"/>
          </w:tcPr>
          <w:p>
            <w:r>
              <w:t>CAGR 2025-2029</w:t>
            </w:r>
          </w:p>
        </w:tc>
        <w:tc>
          <w:tcPr>
            <w:tcW w:type="dxa" w:w="4703"/>
          </w:tcPr>
          <w:p>
            <w:r>
              <w:t>+2,9 % (ConsTrack360)</w:t>
            </w:r>
          </w:p>
        </w:tc>
      </w:tr>
      <w:tr>
        <w:tc>
          <w:tcPr>
            <w:tcW w:type="dxa" w:w="4703"/>
          </w:tcPr>
          <w:p>
            <w:r>
              <w:t>Marché 2029e</w:t>
            </w:r>
          </w:p>
        </w:tc>
        <w:tc>
          <w:tcPr>
            <w:tcW w:type="dxa" w:w="4703"/>
          </w:tcPr>
          <w:p>
            <w:r>
              <w:t>~37,5 Md€ (ConsTrack360)</w:t>
            </w:r>
          </w:p>
        </w:tc>
      </w:tr>
    </w:tbl>
    <w:p/>
    <w:p>
      <w:pPr>
        <w:pStyle w:val="Heading2"/>
      </w:pPr>
      <w:r>
        <w:rPr>
          <w:color w:val="1F497D"/>
        </w:rPr>
        <w:t>2.2 Neuf vs Rénovation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Dynamique &amp; Source</w:t>
            </w:r>
          </w:p>
        </w:tc>
      </w:tr>
      <w:tr>
        <w:tc>
          <w:tcPr>
            <w:tcW w:type="dxa" w:w="4703"/>
          </w:tcPr>
          <w:p>
            <w:r>
              <w:t>Construction résidentielle neuve</w:t>
            </w:r>
          </w:p>
        </w:tc>
        <w:tc>
          <w:tcPr>
            <w:tcW w:type="dxa" w:w="4703"/>
          </w:tcPr>
          <w:p>
            <w:r>
              <w:t>-5,5 % en 2025 | Embuild — permis -14 % en 2024, -31 % à Bruxelles</w:t>
            </w:r>
          </w:p>
        </w:tc>
      </w:tr>
      <w:tr>
        <w:tc>
          <w:tcPr>
            <w:tcW w:type="dxa" w:w="4703"/>
          </w:tcPr>
          <w:p>
            <w:r>
              <w:t>Rénovation résidentielle</w:t>
            </w:r>
          </w:p>
        </w:tc>
        <w:tc>
          <w:tcPr>
            <w:tcW w:type="dxa" w:w="4703"/>
          </w:tcPr>
          <w:p>
            <w:r>
              <w:t>Priorité structurelle | 80 % du parc à rénover — 350 Md€ nécessaires (BNB)</w:t>
            </w:r>
          </w:p>
        </w:tc>
      </w:tr>
      <w:tr>
        <w:tc>
          <w:tcPr>
            <w:tcW w:type="dxa" w:w="4703"/>
          </w:tcPr>
          <w:p>
            <w:r>
              <w:t>Non-résidentiel neuf</w:t>
            </w:r>
          </w:p>
        </w:tc>
        <w:tc>
          <w:tcPr>
            <w:tcW w:type="dxa" w:w="4703"/>
          </w:tcPr>
          <w:p>
            <w:r>
              <w:t>+1,4 % en 2024 ; +1,5 % en 2025e | Embuild — bureaux, commercial, industrie</w:t>
            </w:r>
          </w:p>
        </w:tc>
      </w:tr>
      <w:tr>
        <w:tc>
          <w:tcPr>
            <w:tcW w:type="dxa" w:w="4703"/>
          </w:tcPr>
          <w:p>
            <w:r>
              <w:t>Rénovation non-résidentielle</w:t>
            </w:r>
          </w:p>
        </w:tc>
        <w:tc>
          <w:tcPr>
            <w:tcW w:type="dxa" w:w="4703"/>
          </w:tcPr>
          <w:p>
            <w:r>
              <w:t>-2,1 % en 2024 ; -1,1 % en 2025e | Embuild — fin des plans de relance post-2021</w:t>
            </w:r>
          </w:p>
        </w:tc>
      </w:tr>
      <w:tr>
        <w:tc>
          <w:tcPr>
            <w:tcW w:type="dxa" w:w="4703"/>
          </w:tcPr>
          <w:p>
            <w:r>
              <w:t>Génie civil / Infrastructure</w:t>
            </w:r>
          </w:p>
        </w:tc>
        <w:tc>
          <w:tcPr>
            <w:tcW w:type="dxa" w:w="4703"/>
          </w:tcPr>
          <w:p>
            <w:r>
              <w:t>+4,1 % en 2024 ; -2,2 % en 2025e | Embuild — Oosterweel, Terneuzen</w:t>
            </w:r>
          </w:p>
        </w:tc>
      </w:tr>
    </w:tbl>
    <w:p/>
    <w:p>
      <w:pPr>
        <w:pStyle w:val="Heading2"/>
      </w:pPr>
      <w:r>
        <w:rPr>
          <w:color w:val="1F497D"/>
        </w:rPr>
        <w:t>2.3 Perspectives 2026-2030</w:t>
      </w:r>
    </w:p>
    <w:p>
      <w:pPr>
        <w:pStyle w:val="ListBullet"/>
        <w:ind w:left="360"/>
      </w:pPr>
      <w:r>
        <w:t>Reprise tirée par infrastructures énergétiques, projets commerciaux et institutionnels — non par le résidentiel classique (GlobalData / ResearchAndMarkets, 2024).</w:t>
      </w:r>
    </w:p>
    <w:p>
      <w:pPr>
        <w:pStyle w:val="ListBullet"/>
        <w:ind w:left="360"/>
      </w:pPr>
      <w:r>
        <w:t>Faillites d'entreprises BTP encore en hausse en 2026 (+10 % vs pré-COVID) — contexte de consolidation du marché.</w:t>
      </w:r>
    </w:p>
    <w:p>
      <w:pPr>
        <w:pStyle w:val="ListBullet"/>
        <w:ind w:left="360"/>
      </w:pPr>
      <w:r>
        <w:t>Tendances structurelles : bâtiment durable (EPBD), numérisation BIM, préfabrication modulaire, circularité (Allianz Trade, 2025).</w:t>
      </w:r>
    </w:p>
    <w:p>
      <w:pPr>
        <w:pStyle w:val="ListBullet"/>
        <w:ind w:left="360"/>
      </w:pPr>
      <w:r>
        <w:t>Rénovation énergétique = moteur principal à long terme — rythme à multiplier par 3-4 selon les régions (Embuild, 2025).</w:t>
      </w:r>
    </w:p>
    <w:p>
      <w:r>
        <w:br w:type="page"/>
      </w:r>
    </w:p>
    <w:p>
      <w:pPr>
        <w:pStyle w:val="Heading1"/>
      </w:pPr>
      <w:r>
        <w:rPr>
          <w:color w:val="1F497D"/>
        </w:rPr>
        <w:t>PARTIE 3 — Construction Non-Résidentielle</w:t>
      </w:r>
    </w:p>
    <w:p>
      <w:pPr>
        <w:pStyle w:val="Heading2"/>
      </w:pPr>
      <w:r>
        <w:rPr>
          <w:color w:val="1F497D"/>
        </w:rPr>
        <w:t>3.1 État actuel</w:t>
      </w:r>
    </w:p>
    <w:p>
      <w:r>
        <w:t>La part non-résidentielle dans la construction belge représente typiquement 25-30 % du total sectoriel (benchmarks européens FIEC). Sur une base de 32,3 Md€ en 2025, cela implique un segment non-résidentiel de l'ordre de 8-10 Md€. [DONNÉE NON DISPONIBLE — Statbel ne publie pas de ventilation précise neuf/rénov non-résidentiel par valeur.]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Dynamique</w:t>
            </w:r>
          </w:p>
        </w:tc>
      </w:tr>
      <w:tr>
        <w:tc>
          <w:tcPr>
            <w:tcW w:type="dxa" w:w="4703"/>
          </w:tcPr>
          <w:p>
            <w:r>
              <w:t>Non-résidentiel neuf 2024</w:t>
            </w:r>
          </w:p>
        </w:tc>
        <w:tc>
          <w:tcPr>
            <w:tcW w:type="dxa" w:w="4703"/>
          </w:tcPr>
          <w:p>
            <w:r>
              <w:t>+1,4 % d'activité — bureaux, espaces commerciaux, industrie (Embuild, 2025)</w:t>
            </w:r>
          </w:p>
        </w:tc>
      </w:tr>
      <w:tr>
        <w:tc>
          <w:tcPr>
            <w:tcW w:type="dxa" w:w="4703"/>
          </w:tcPr>
          <w:p>
            <w:r>
              <w:t>Non-résidentiel neuf 2025e</w:t>
            </w:r>
          </w:p>
        </w:tc>
        <w:tc>
          <w:tcPr>
            <w:tcW w:type="dxa" w:w="4703"/>
          </w:tcPr>
          <w:p>
            <w:r>
              <w:t>+1,5 % — tendance positive confirmée (Embuild, 2025)</w:t>
            </w:r>
          </w:p>
        </w:tc>
      </w:tr>
      <w:tr>
        <w:tc>
          <w:tcPr>
            <w:tcW w:type="dxa" w:w="4703"/>
          </w:tcPr>
          <w:p>
            <w:r>
              <w:t>Rénov. non-résidentielle 2024</w:t>
            </w:r>
          </w:p>
        </w:tc>
        <w:tc>
          <w:tcPr>
            <w:tcW w:type="dxa" w:w="4703"/>
          </w:tcPr>
          <w:p>
            <w:r>
              <w:t>-2,1 % — fin des plans de relance post-inondations 2021 (Embuild, 2025)</w:t>
            </w:r>
          </w:p>
        </w:tc>
      </w:tr>
      <w:tr>
        <w:tc>
          <w:tcPr>
            <w:tcW w:type="dxa" w:w="4703"/>
          </w:tcPr>
          <w:p>
            <w:r>
              <w:t>Rénov. non-résidentielle 2025e</w:t>
            </w:r>
          </w:p>
        </w:tc>
        <w:tc>
          <w:tcPr>
            <w:tcW w:type="dxa" w:w="4703"/>
          </w:tcPr>
          <w:p>
            <w:r>
              <w:t>-1,1 % — poursuite de la contraction (Embuild, 2025)</w:t>
            </w:r>
          </w:p>
        </w:tc>
      </w:tr>
      <w:tr>
        <w:tc>
          <w:tcPr>
            <w:tcW w:type="dxa" w:w="4703"/>
          </w:tcPr>
          <w:p>
            <w:r>
              <w:t>Infrastructure (génie civil) 2024</w:t>
            </w:r>
          </w:p>
        </w:tc>
        <w:tc>
          <w:tcPr>
            <w:tcW w:type="dxa" w:w="4703"/>
          </w:tcPr>
          <w:p>
            <w:r>
              <w:t>+4,1 % — Oosterweel, écluse Terneuzen, investissements locaux (Embuild, 2025)</w:t>
            </w:r>
          </w:p>
        </w:tc>
      </w:tr>
      <w:tr>
        <w:tc>
          <w:tcPr>
            <w:tcW w:type="dxa" w:w="4703"/>
          </w:tcPr>
          <w:p>
            <w:r>
              <w:t>Infrastructure 2025e</w:t>
            </w:r>
          </w:p>
        </w:tc>
        <w:tc>
          <w:tcPr>
            <w:tcW w:type="dxa" w:w="4703"/>
          </w:tcPr>
          <w:p>
            <w:r>
              <w:t>-2,2 % — achèvement des grands projets (Embuild, 2025)</w:t>
            </w:r>
          </w:p>
        </w:tc>
      </w:tr>
    </w:tbl>
    <w:p/>
    <w:p>
      <w:pPr>
        <w:pStyle w:val="Heading2"/>
      </w:pPr>
      <w:r>
        <w:rPr>
          <w:color w:val="1F497D"/>
        </w:rPr>
        <w:t>3.2 Sous-segments dominants</w:t>
      </w:r>
    </w:p>
    <w:p>
      <w:r>
        <w:rPr>
          <w:b/>
        </w:rPr>
        <w:t xml:space="preserve">Bureaux / Tertiaire : </w:t>
      </w:r>
      <w:r>
        <w:t>Reprise post-COVID — retour en présentiel partiel. Projets de réhabilitation de tours à Bruxelles (ex. WTC → ZIN).</w:t>
      </w:r>
    </w:p>
    <w:p>
      <w:r>
        <w:rPr>
          <w:b/>
        </w:rPr>
        <w:t xml:space="preserve">Industrie / Logistique : </w:t>
      </w:r>
      <w:r>
        <w:t>Portée par la position d'Anvers (2e port européen), les flux logistiques e-commerce et la pharma/biotech.</w:t>
      </w:r>
    </w:p>
    <w:p>
      <w:r>
        <w:rPr>
          <w:b/>
        </w:rPr>
        <w:t xml:space="preserve">Santé : </w:t>
      </w:r>
      <w:r>
        <w:t>Investissements structurels : 1,9 Md€ en Wallonie 2024-2028, 230 M€ EIB pour UZ Leuven, nouveau CHU Bruxelles.</w:t>
      </w:r>
    </w:p>
    <w:p>
      <w:r>
        <w:rPr>
          <w:b/>
        </w:rPr>
        <w:t xml:space="preserve">Éducation : </w:t>
      </w:r>
      <w:r>
        <w:t>Plan Flandre 3,2 Md€ PPP, rénovations en Wallonie/Bruxelles — 95 % des établissements nécessitent travaux.</w:t>
      </w:r>
    </w:p>
    <w:p>
      <w:r>
        <w:rPr>
          <w:b/>
        </w:rPr>
        <w:t xml:space="preserve">Commerce / Retail : </w:t>
      </w:r>
      <w:r>
        <w:t>Croissance modérée — impact e-commerce sur le retail physique atténué par la reconversion de surfaces.</w:t>
      </w:r>
    </w:p>
    <w:p>
      <w:r>
        <w:rPr>
          <w:b/>
        </w:rPr>
        <w:t xml:space="preserve">Hôtels / CHR : </w:t>
      </w:r>
      <w:r>
        <w:t>Reprise forte en 2024 (10M+ visiteurs int.). Projets : Corinthia Brussels (déc. 2024), The Standard Brussels (2025), rénovation Metropole (2024-2025).</w:t>
      </w:r>
    </w:p>
    <w:p>
      <w:pPr>
        <w:pStyle w:val="Heading2"/>
      </w:pPr>
      <w:r>
        <w:rPr>
          <w:color w:val="1F497D"/>
        </w:rPr>
        <w:t>3.3 Perspectives</w:t>
      </w:r>
    </w:p>
    <w:p>
      <w:pPr>
        <w:pStyle w:val="ListBullet"/>
        <w:ind w:left="360"/>
      </w:pPr>
      <w:r>
        <w:t>La résilience du non-résidentiel repose sur les pipelines de projets publics (santé, éducation, justice) et les investissements privés (logistique, pharma, data centers).</w:t>
      </w:r>
    </w:p>
    <w:p>
      <w:pPr>
        <w:pStyle w:val="ListBullet"/>
        <w:ind w:left="360"/>
      </w:pPr>
      <w:r>
        <w:t>La rénovation non-résidentielle ralentit à court terme mais repart structurellement via les obligations EPBD 2030.</w:t>
      </w:r>
    </w:p>
    <w:p>
      <w:pPr>
        <w:pStyle w:val="ListBullet"/>
        <w:ind w:left="360"/>
      </w:pPr>
      <w:r>
        <w:t>Opportunité Presto : les programmes de rénovation publique (PLAGE, UREBA) imposent systématiquement des équipements économiseurs d'eau — cœur de cible.</w:t>
      </w:r>
    </w:p>
    <w:p>
      <w:r>
        <w:br w:type="page"/>
      </w:r>
    </w:p>
    <w:p>
      <w:pPr>
        <w:pStyle w:val="Heading1"/>
      </w:pPr>
      <w:r>
        <w:rPr>
          <w:color w:val="1F497D"/>
        </w:rPr>
        <w:t>PARTIE 4 — Poids des Segments ERP</w:t>
      </w:r>
    </w:p>
    <w:p>
      <w:r>
        <w:t>95 % des établissements scolaires, hôpitaux, maisons de retraite et prisons belges nécessitent des rénovations (EIB / Prison Insider, 2025). Ce constat structure l'ensemble des pipelines d'investissement ERP sur 2025-2030.</w:t>
      </w:r>
    </w:p>
    <w:p/>
    <w:p>
      <w:pPr>
        <w:pStyle w:val="Heading2"/>
      </w:pPr>
      <w:r>
        <w:rPr>
          <w:color w:val="1F497D"/>
        </w:rPr>
        <w:t>1. Établissements scolaires</w:t>
      </w:r>
    </w:p>
    <w:p>
      <w:pPr>
        <w:pStyle w:val="ListBullet"/>
        <w:ind w:left="360"/>
      </w:pPr>
      <w:r>
        <w:t>Flandre : programme PPP de 3,2 Md€ pour construction et rénovation d'écoles — budgets record débloqués (InfraPPPWorld, 2025).</w:t>
      </w:r>
    </w:p>
    <w:p>
      <w:pPr>
        <w:pStyle w:val="ListBullet"/>
        <w:ind w:left="360"/>
      </w:pPr>
      <w:r>
        <w:t>Modèles DBFM (Scholen van Morgen, Scholen van Vlaanderen) actifs en Flandre ; initiatives similaires en préparation en Wallonie et Bruxelles.</w:t>
      </w:r>
    </w:p>
    <w:p>
      <w:pPr>
        <w:pStyle w:val="ListBullet"/>
        <w:ind w:left="360"/>
      </w:pPr>
      <w:r>
        <w:t>Universités et résidences étudiantes : dynamique croissante à Bruxelles, Gand, Louvain — demande de robinetterie économe en eau.</w:t>
      </w:r>
    </w:p>
    <w:p>
      <w:pPr>
        <w:pStyle w:val="ListBullet"/>
        <w:ind w:left="360"/>
      </w:pPr>
      <w:r>
        <w:t>Dynamique : forte — rénovation urgente du parc vieillissant (66 % du bâti scolaire flamand construit avant 1981).</w:t>
      </w:r>
    </w:p>
    <w:p>
      <w:pPr>
        <w:pStyle w:val="Heading2"/>
      </w:pPr>
      <w:r>
        <w:rPr>
          <w:color w:val="1F497D"/>
        </w:rPr>
        <w:t>2. Santé — Hôpitaux / EHPAD / Maisons de retraite</w:t>
      </w:r>
    </w:p>
    <w:p>
      <w:pPr>
        <w:pStyle w:val="ListBullet"/>
        <w:ind w:left="360"/>
      </w:pPr>
      <w:r>
        <w:t>Plan hôpitaux Wallonie : 1 830 M€ sur 2024-2028 pour 49 établissements (Gouvernement wallon, 2024).</w:t>
      </w:r>
    </w:p>
    <w:p>
      <w:pPr>
        <w:pStyle w:val="ListBullet"/>
        <w:ind w:left="360"/>
      </w:pPr>
      <w:r>
        <w:t>EIB : prêt de 230 M€ à UZ Leuven pour modernisation et extension jusqu'en 2031 (EIB, 2025).</w:t>
      </w:r>
    </w:p>
    <w:p>
      <w:pPr>
        <w:pStyle w:val="ListBullet"/>
        <w:ind w:left="360"/>
      </w:pPr>
      <w:r>
        <w:t>Nouveau CHU Bruxelles : fusion UZ Saint-Luc + Brugmann + Erasmus — projet structurant décennal.</w:t>
      </w:r>
    </w:p>
    <w:p>
      <w:pPr>
        <w:pStyle w:val="ListBullet"/>
        <w:ind w:left="360"/>
      </w:pPr>
      <w:r>
        <w:t>Maisons de retraite : 486 nouveaux centres de soins résidentiels nécessaires d'ici 2050 pour répondre au vieillissement (EIB, 2025).</w:t>
      </w:r>
    </w:p>
    <w:p>
      <w:pPr>
        <w:pStyle w:val="ListBullet"/>
        <w:ind w:left="360"/>
      </w:pPr>
      <w:r>
        <w:t>Dynamique : très forte — segment prioritaire pour Presto (gamme hospitalière spécialisée, hygiène, anti-brûlure).</w:t>
      </w:r>
    </w:p>
    <w:p>
      <w:pPr>
        <w:pStyle w:val="Heading2"/>
      </w:pPr>
      <w:r>
        <w:rPr>
          <w:color w:val="1F497D"/>
        </w:rPr>
        <w:t>3. Bâtiments tertiaires (Bureaux / Cantines / Crèches)</w:t>
      </w:r>
    </w:p>
    <w:p>
      <w:pPr>
        <w:pStyle w:val="ListBullet"/>
        <w:ind w:left="360"/>
      </w:pPr>
      <w:r>
        <w:t>Reprise du non-résidentiel neuf en 2024 (+1,4 %) avec plus de bureaux construits (Embuild, 2025).</w:t>
      </w:r>
    </w:p>
    <w:p>
      <w:pPr>
        <w:pStyle w:val="ListBullet"/>
        <w:ind w:left="360"/>
      </w:pPr>
      <w:r>
        <w:t>Projets phares : reconversion ZIN (ex-WTC Brussels, ~200 000 m²), North Gate Brussels.</w:t>
      </w:r>
    </w:p>
    <w:p>
      <w:pPr>
        <w:pStyle w:val="ListBullet"/>
        <w:ind w:left="360"/>
      </w:pPr>
      <w:r>
        <w:t>Institutions UE/OTAN à Bruxelles : demande ERP institutionnelle constante, cahiers des charges BREEAM exigeants.</w:t>
      </w:r>
    </w:p>
    <w:p>
      <w:pPr>
        <w:pStyle w:val="ListBullet"/>
        <w:ind w:left="360"/>
      </w:pPr>
      <w:r>
        <w:t>Dynamique : stable à modérée — concentration sur Bruxelles et Anvers.</w:t>
      </w:r>
    </w:p>
    <w:p>
      <w:pPr>
        <w:pStyle w:val="Heading2"/>
      </w:pPr>
      <w:r>
        <w:rPr>
          <w:color w:val="1F497D"/>
        </w:rPr>
        <w:t>4. Industrie / Logistique</w:t>
      </w:r>
    </w:p>
    <w:p>
      <w:pPr>
        <w:pStyle w:val="ListBullet"/>
        <w:ind w:left="360"/>
      </w:pPr>
      <w:r>
        <w:t>Hub logistique européen : port d'Anvers (2e d'Europe), zone IATA, plateforme e-commerce.</w:t>
      </w:r>
    </w:p>
    <w:p>
      <w:pPr>
        <w:pStyle w:val="ListBullet"/>
        <w:ind w:left="360"/>
      </w:pPr>
      <w:r>
        <w:t>Pharma / Biotech : 20 % des brevets belges — construction d'usines GMP, salles blanches.</w:t>
      </w:r>
    </w:p>
    <w:p>
      <w:pPr>
        <w:pStyle w:val="ListBullet"/>
        <w:ind w:left="360"/>
      </w:pPr>
      <w:r>
        <w:t>R&amp;D 3,4 % du PIB (2e rang UE) — forte construction de laboratoires et data centers.</w:t>
      </w:r>
    </w:p>
    <w:p>
      <w:pPr>
        <w:pStyle w:val="ListBullet"/>
        <w:ind w:left="360"/>
      </w:pPr>
      <w:r>
        <w:t>Dynamique : bonne — marché de niche à forte valeur unitaire (robinetterie inox, anti-corrosion).</w:t>
      </w:r>
    </w:p>
    <w:p>
      <w:pPr>
        <w:pStyle w:val="Heading2"/>
      </w:pPr>
      <w:r>
        <w:rPr>
          <w:color w:val="1F497D"/>
        </w:rPr>
        <w:t>5. CHR (Cafés, Hôtels, Restaurants)</w:t>
      </w:r>
    </w:p>
    <w:p>
      <w:pPr>
        <w:pStyle w:val="ListBullet"/>
        <w:ind w:left="360"/>
      </w:pPr>
      <w:r>
        <w:t>Hôtellerie en forte reprise : 10 M+ visiteurs internationaux en 2024 (Fallz Hotels, 2025).</w:t>
      </w:r>
    </w:p>
    <w:p>
      <w:pPr>
        <w:pStyle w:val="ListBullet"/>
        <w:ind w:left="360"/>
      </w:pPr>
      <w:r>
        <w:t>Projets 2024-2025 : Corinthia Brussels (126 ch.), The Standard Brussels, rénovation Metropole Hotel.</w:t>
      </w:r>
    </w:p>
    <w:p>
      <w:pPr>
        <w:pStyle w:val="ListBullet"/>
        <w:ind w:left="360"/>
      </w:pPr>
      <w:r>
        <w:t>Développement de boutique-hôtels dans les villes secondaires (Leuven, Namur).</w:t>
      </w:r>
    </w:p>
    <w:p>
      <w:pPr>
        <w:pStyle w:val="ListBullet"/>
        <w:ind w:left="360"/>
      </w:pPr>
      <w:r>
        <w:t>Restaurants et cafés : parc important, rénovation continue, enjeux hygiène élevés.</w:t>
      </w:r>
    </w:p>
    <w:p>
      <w:pPr>
        <w:pStyle w:val="ListBullet"/>
        <w:ind w:left="360"/>
      </w:pPr>
      <w:r>
        <w:t>Dynamique : portée par le tourisme d'affaires (UE/OTAN) — niche stable pour Presto.</w:t>
      </w:r>
    </w:p>
    <w:p>
      <w:pPr>
        <w:pStyle w:val="Heading2"/>
      </w:pPr>
      <w:r>
        <w:rPr>
          <w:color w:val="1F497D"/>
        </w:rPr>
        <w:t>6. HPA (Campings, Piscines plein air)</w:t>
      </w:r>
    </w:p>
    <w:p>
      <w:pPr>
        <w:pStyle w:val="ListBullet"/>
        <w:ind w:left="360"/>
      </w:pPr>
      <w:r>
        <w:t>Marché limité en Belgique (climat tempéré, faible culture camping vs France).</w:t>
      </w:r>
    </w:p>
    <w:p>
      <w:pPr>
        <w:pStyle w:val="ListBullet"/>
        <w:ind w:left="360"/>
      </w:pPr>
      <w:r>
        <w:t>[DONNÉE NON DISPONIBLE — pas de données sectorielles spécifiques trouvées]</w:t>
      </w:r>
    </w:p>
    <w:p>
      <w:pPr>
        <w:pStyle w:val="Heading2"/>
      </w:pPr>
      <w:r>
        <w:rPr>
          <w:color w:val="1F497D"/>
        </w:rPr>
        <w:t>7. Sport &amp; Loisirs (Gymnases, Piscines couvertes, Stades)</w:t>
      </w:r>
    </w:p>
    <w:p>
      <w:pPr>
        <w:pStyle w:val="ListBullet"/>
        <w:ind w:left="360"/>
      </w:pPr>
      <w:r>
        <w:t>Wallonie : 29 M€ en Q2 2024 pour infrastructures sportives (Gouvernement wallon, 2024). Plan Piscines pour rénovation énergétique des piscines publiques.</w:t>
      </w:r>
    </w:p>
    <w:p>
      <w:pPr>
        <w:pStyle w:val="ListBullet"/>
        <w:ind w:left="360"/>
      </w:pPr>
      <w:r>
        <w:t>Bruxelles : 43 M€ d'investissements pour nouvelles infrastructures sportives (Brussels Times, 2024).</w:t>
      </w:r>
    </w:p>
    <w:p>
      <w:pPr>
        <w:pStyle w:val="ListBullet"/>
        <w:ind w:left="360"/>
      </w:pPr>
      <w:r>
        <w:t>Infrastructures vieillissantes : majorité construite avant les années 1980, rénovation urgente.</w:t>
      </w:r>
    </w:p>
    <w:p>
      <w:pPr>
        <w:pStyle w:val="ListBullet"/>
        <w:ind w:left="360"/>
      </w:pPr>
      <w:r>
        <w:t>Dynamique : portée par les obligations de durabilité — économiseurs d'eau imposés dans les nouvelles normes.</w:t>
      </w:r>
    </w:p>
    <w:p>
      <w:pPr>
        <w:pStyle w:val="Heading2"/>
      </w:pPr>
      <w:r>
        <w:rPr>
          <w:color w:val="1F497D"/>
        </w:rPr>
        <w:t>8. Établissements à sécurité renforcée (Pénitentiaire / Hôpitaux psy.)</w:t>
      </w:r>
    </w:p>
    <w:p>
      <w:pPr>
        <w:pStyle w:val="ListBullet"/>
        <w:ind w:left="360"/>
      </w:pPr>
      <w:r>
        <w:t>Plan Maître III : 4 nouvelles prisons planifiées (Leopoldsburg 312 pl., Vresse-sur-Semois 312 pl., Liège 312 pl., Verviers 240 pl.).</w:t>
      </w:r>
    </w:p>
    <w:p>
      <w:pPr>
        <w:pStyle w:val="ListBullet"/>
        <w:ind w:left="360"/>
      </w:pPr>
      <w:r>
        <w:t>Prison d'Anvers : chantier lancé fév. 2024, 330 hommes + 66 femmes + centre médical 44 places — livraison 2026 (Jan De Nul, 2024).</w:t>
      </w:r>
    </w:p>
    <w:p>
      <w:pPr>
        <w:pStyle w:val="ListBullet"/>
        <w:ind w:left="360"/>
      </w:pPr>
      <w:r>
        <w:t>Prison de Haren (Bruxelles) : 382 M€ de construction — complexe le plus grand de Belgique.</w:t>
      </w:r>
    </w:p>
    <w:p>
      <w:pPr>
        <w:pStyle w:val="ListBullet"/>
        <w:ind w:left="360"/>
      </w:pPr>
      <w:r>
        <w:t>Rénovation Ypres : rouverte déc. 2023, +50 places (169 au total).</w:t>
      </w:r>
    </w:p>
    <w:p>
      <w:pPr>
        <w:pStyle w:val="ListBullet"/>
        <w:ind w:left="360"/>
      </w:pPr>
      <w:r>
        <w:t>Dynamique : forte — robinetterie anti-vandalisme inox = segment de choix pour Presto.</w:t>
      </w:r>
    </w:p>
    <w:p>
      <w:pPr>
        <w:pStyle w:val="Heading2"/>
      </w:pPr>
      <w:r>
        <w:rPr>
          <w:color w:val="1F497D"/>
        </w:rPr>
        <w:t>9. Bâtiments culturels (Musées, Théâtres, Cinémas)</w:t>
      </w:r>
    </w:p>
    <w:p>
      <w:pPr>
        <w:pStyle w:val="ListBullet"/>
        <w:ind w:left="360"/>
      </w:pPr>
      <w:r>
        <w:t>[DONNÉE NON DISPONIBLE — pas de programme spécifique identifié au niveau fédéral]</w:t>
      </w:r>
    </w:p>
    <w:p>
      <w:pPr>
        <w:pStyle w:val="ListBullet"/>
        <w:ind w:left="360"/>
      </w:pPr>
      <w:r>
        <w:t>Investissements culturels principalement régionaux et municipaux, peu documentés.</w:t>
      </w:r>
    </w:p>
    <w:p>
      <w:pPr>
        <w:pStyle w:val="Heading2"/>
      </w:pPr>
      <w:r>
        <w:rPr>
          <w:color w:val="1F497D"/>
        </w:rPr>
        <w:t>10. Lieux de culte</w:t>
      </w:r>
    </w:p>
    <w:p>
      <w:pPr>
        <w:pStyle w:val="ListBullet"/>
        <w:ind w:left="360"/>
      </w:pPr>
      <w:r>
        <w:t>[DONNÉE NON DISPONIBLE — marché résiduel, non prioritaire pour Presto]</w:t>
      </w:r>
    </w:p>
    <w:p>
      <w:pPr>
        <w:pStyle w:val="Heading2"/>
      </w:pPr>
      <w:r>
        <w:rPr>
          <w:color w:val="1F497D"/>
        </w:rPr>
        <w:t>11. Transports (Aéroports, Gares, Infrastructures)</w:t>
      </w:r>
    </w:p>
    <w:p>
      <w:pPr>
        <w:pStyle w:val="ListBullet"/>
        <w:ind w:left="360"/>
      </w:pPr>
      <w:r>
        <w:t>Aéroport de Bruxelles-Zaventem : en rénovation continue — terminal modernisé.</w:t>
      </w:r>
    </w:p>
    <w:p>
      <w:pPr>
        <w:pStyle w:val="ListBullet"/>
        <w:ind w:left="360"/>
      </w:pPr>
      <w:r>
        <w:t>SNCB : plan d'investissement ferroviaire pluriannuel — gares en rénovation (Bruxelles-Midi, Gand-Saint-Pierre).</w:t>
      </w:r>
    </w:p>
    <w:p>
      <w:pPr>
        <w:pStyle w:val="ListBullet"/>
        <w:ind w:left="360"/>
      </w:pPr>
      <w:r>
        <w:t>Projet Oosterweel (Anvers) : grand projet d'infrastructure urbaine en cours.</w:t>
      </w:r>
    </w:p>
    <w:p>
      <w:pPr>
        <w:pStyle w:val="ListBullet"/>
        <w:ind w:left="360"/>
      </w:pPr>
      <w:r>
        <w:t>Dynamique : portée par les financements publics fédéraux et UE.</w:t>
      </w:r>
    </w:p>
    <w:p>
      <w:r>
        <w:br w:type="page"/>
      </w:r>
    </w:p>
    <w:p>
      <w:pPr>
        <w:pStyle w:val="Heading1"/>
      </w:pPr>
      <w:r>
        <w:rPr>
          <w:color w:val="1F497D"/>
        </w:rPr>
        <w:t>PARTIE 5 — Marché Robinetterie Générale</w:t>
      </w:r>
    </w:p>
    <w:p>
      <w:pPr>
        <w:pStyle w:val="Heading2"/>
      </w:pPr>
      <w:r>
        <w:rPr>
          <w:color w:val="1F497D"/>
        </w:rPr>
        <w:t>5.1 Taille et valeur du marché</w:t>
      </w:r>
    </w:p>
    <w:p>
      <w:r>
        <w:t>Aucune étude publique ne recense la taille exacte du marché belge de la robinetterie sanitaire. Les données disponibles permettent de construire une estimation par analogie.</w:t>
      </w:r>
    </w:p>
    <w:p/>
    <w:p>
      <w:r>
        <w:t>Données disponibles :</w:t>
      </w:r>
    </w:p>
    <w:p>
      <w:pPr>
        <w:pStyle w:val="ListBullet"/>
        <w:ind w:left="360"/>
      </w:pPr>
      <w:r>
        <w:t>Marché français robinetterie sanitaire : 635 M€ en 2023 (Xerfi, 2023).</w:t>
      </w:r>
    </w:p>
    <w:p>
      <w:pPr>
        <w:pStyle w:val="ListBullet"/>
        <w:ind w:left="360"/>
      </w:pPr>
      <w:r>
        <w:t>Importations belges : 52 000 t de robinets, clapets, vannes et appareils similaires en 2024 (IndexBox, 2025).</w:t>
      </w:r>
    </w:p>
    <w:p>
      <w:pPr>
        <w:pStyle w:val="ListBullet"/>
        <w:ind w:left="360"/>
      </w:pPr>
      <w:r>
        <w:t>Marché français salle de bains : robinetterie = 34 % du total (Xerfi, 2023).</w:t>
      </w:r>
    </w:p>
    <w:p>
      <w:pPr>
        <w:pStyle w:val="ListBullet"/>
        <w:ind w:left="360"/>
      </w:pPr>
      <w:r>
        <w:t>Marché européen robinetterie en croissance de 3-5 %/an (Mordor Intelligence, 2024).</w:t>
      </w:r>
    </w:p>
    <w:p/>
    <w:p>
      <w:r>
        <w:t>Estimation par extrapolation :</w:t>
      </w:r>
    </w:p>
    <w:p>
      <w:r>
        <w:t>Coefficient : (PIB/hab BE 46 000 USD / PIB/hab FR 48 982 USD) × (Pop. BE 11,8M / Pop. FR 69,1M) = 0,939 × 0,171 = 0,161</w:t>
        <w:br/>
        <w:t>Base France (robinetterie générale ~635 M€) × 0,161 = ~102 M€</w:t>
        <w:br/>
        <w:t>Estimation marché belge robinetterie générale (tous segments) : 95-115 M€ en 2025.</w:t>
        <w:br/>
        <w:t>Fiabilité : moyenne — à confirmer par données distributeurs ou fédérations sectorielles.</w:t>
      </w:r>
    </w:p>
    <w:p>
      <w:pPr>
        <w:pStyle w:val="Heading2"/>
      </w:pPr>
      <w:r>
        <w:rPr>
          <w:color w:val="1F497D"/>
        </w:rPr>
        <w:t>5.2 Spécificités produit et culturelles</w:t>
      </w:r>
    </w:p>
    <w:p>
      <w:pPr>
        <w:pStyle w:val="ListBullet"/>
        <w:ind w:left="360"/>
      </w:pPr>
      <w:r>
        <w:t>Marché flamand : préférence pour marques germaniques (Grohe, Hansgrohe, Hansa) — design scandinave/minimaliste, finitions chromées qualité.</w:t>
      </w:r>
    </w:p>
    <w:p>
      <w:pPr>
        <w:pStyle w:val="ListBullet"/>
        <w:ind w:left="360"/>
      </w:pPr>
      <w:r>
        <w:t>Marché francophone (Wallonie, Bruxelles) : marques françaises bien reçues (Delabie, Presto, Jacob Delafon), réflexe de prescription via bureaux d'études.</w:t>
      </w:r>
    </w:p>
    <w:p>
      <w:pPr>
        <w:pStyle w:val="ListBullet"/>
        <w:ind w:left="360"/>
      </w:pPr>
      <w:r>
        <w:t>ERP collectif : robinetterie temporisée push-button et électronique dominantes — hygiène, économie d'eau, résistance au vandalisme.</w:t>
      </w:r>
    </w:p>
    <w:p>
      <w:pPr>
        <w:pStyle w:val="ListBullet"/>
        <w:ind w:left="360"/>
      </w:pPr>
      <w:r>
        <w:t>Prix moyen ERP standard : 90-160 € HT (source interne Presto). Segment institutionnel haut de gamme : 200 €+ (institutions UE/OTAN, hôpitaux).</w:t>
      </w:r>
    </w:p>
    <w:p>
      <w:pPr>
        <w:pStyle w:val="ListBullet"/>
        <w:ind w:left="360"/>
      </w:pPr>
      <w:r>
        <w:t>Institutions UE à Bruxelles : cahiers des charges BREEAM — économie d'eau, accessibilité PMR, acier inoxydable.</w:t>
      </w:r>
    </w:p>
    <w:p>
      <w:pPr>
        <w:pStyle w:val="Heading2"/>
      </w:pPr>
      <w:r>
        <w:rPr>
          <w:color w:val="1F497D"/>
        </w:rPr>
        <w:t>5.3 Canaux de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Canal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Part estimée (source interne Presto / estimation)</w:t>
            </w:r>
          </w:p>
        </w:tc>
      </w:tr>
      <w:tr>
        <w:tc>
          <w:tcPr>
            <w:tcW w:type="dxa" w:w="4703"/>
          </w:tcPr>
          <w:p>
            <w:r>
              <w:t>Grossistes négoce pro (STG, Facq Pro, Rexel BE, Sonepar BE)</w:t>
            </w:r>
          </w:p>
        </w:tc>
        <w:tc>
          <w:tcPr>
            <w:tcW w:type="dxa" w:w="4703"/>
          </w:tcPr>
          <w:p>
            <w:r>
              <w:t>70-80 % du marché ERP</w:t>
            </w:r>
          </w:p>
        </w:tc>
      </w:tr>
      <w:tr>
        <w:tc>
          <w:tcPr>
            <w:tcW w:type="dxa" w:w="4703"/>
          </w:tcPr>
          <w:p>
            <w:r>
              <w:t>Prescription / vente projet directe</w:t>
            </w:r>
          </w:p>
        </w:tc>
        <w:tc>
          <w:tcPr>
            <w:tcW w:type="dxa" w:w="4703"/>
          </w:tcPr>
          <w:p>
            <w:r>
              <w:t>10-15 %</w:t>
            </w:r>
          </w:p>
        </w:tc>
      </w:tr>
      <w:tr>
        <w:tc>
          <w:tcPr>
            <w:tcW w:type="dxa" w:w="4703"/>
          </w:tcPr>
          <w:p>
            <w:r>
              <w:t>E-commerce B2B</w:t>
            </w:r>
          </w:p>
        </w:tc>
        <w:tc>
          <w:tcPr>
            <w:tcW w:type="dxa" w:w="4703"/>
          </w:tcPr>
          <w:p>
            <w:r>
              <w:t>5-10 %</w:t>
            </w:r>
          </w:p>
        </w:tc>
      </w:tr>
      <w:tr>
        <w:tc>
          <w:tcPr>
            <w:tcW w:type="dxa" w:w="4703"/>
          </w:tcPr>
          <w:p>
            <w:r>
              <w:t>Retail / Showroom</w:t>
            </w:r>
          </w:p>
        </w:tc>
        <w:tc>
          <w:tcPr>
            <w:tcW w:type="dxa" w:w="4703"/>
          </w:tcPr>
          <w:p>
            <w:r>
              <w:t>5-10 %</w:t>
            </w:r>
          </w:p>
        </w:tc>
      </w:tr>
    </w:tbl>
    <w:p/>
    <w:p>
      <w:pPr>
        <w:pStyle w:val="Heading2"/>
      </w:pPr>
      <w:r>
        <w:rPr>
          <w:color w:val="1F497D"/>
        </w:rPr>
        <w:t>5.4 Dynamique et perspectives</w:t>
      </w:r>
    </w:p>
    <w:p>
      <w:pPr>
        <w:pStyle w:val="ListBullet"/>
        <w:ind w:left="360"/>
      </w:pPr>
      <w:r>
        <w:t>Croissance portée par la rénovation énergétique — économiseurs d'eau certifiés imposés dans les marchés publics.</w:t>
      </w:r>
    </w:p>
    <w:p>
      <w:pPr>
        <w:pStyle w:val="ListBullet"/>
        <w:ind w:left="360"/>
      </w:pPr>
      <w:r>
        <w:t>E-procurement en progression dans les marchés publics belges — nécessite présence dans les plateformes e-procurement belges.</w:t>
      </w:r>
    </w:p>
    <w:p>
      <w:pPr>
        <w:pStyle w:val="ListBullet"/>
        <w:ind w:left="360"/>
      </w:pPr>
      <w:r>
        <w:t>Digitalisation des achats B2B : grossistes STG et Facq Pro disposent de plateformes e-commerce professionnelles.</w:t>
      </w:r>
    </w:p>
    <w:p>
      <w:r>
        <w:br w:type="page"/>
      </w:r>
    </w:p>
    <w:p>
      <w:pPr>
        <w:pStyle w:val="Heading1"/>
      </w:pPr>
      <w:r>
        <w:rPr>
          <w:color w:val="1F497D"/>
        </w:rPr>
        <w:t>PARTIE 6 — Marché Robinetterie Collective ERP</w:t>
      </w:r>
    </w:p>
    <w:p>
      <w:pPr>
        <w:pStyle w:val="Heading2"/>
      </w:pPr>
      <w:r>
        <w:rPr>
          <w:color w:val="1F497D"/>
        </w:rPr>
        <w:t>6.1 Taille du marché</w:t>
      </w:r>
    </w:p>
    <w:p>
      <w:r>
        <w:t>Données disponibles (source interne Presto, 2025) :</w:t>
      </w:r>
    </w:p>
    <w:p>
      <w:pPr>
        <w:pStyle w:val="ListBullet"/>
        <w:ind w:left="360"/>
      </w:pPr>
      <w:r>
        <w:t>Marché robinetterie ERP stricte (collective) : 24-29 M€ en 2025.</w:t>
      </w:r>
    </w:p>
    <w:p>
      <w:pPr>
        <w:pStyle w:val="ListBullet"/>
        <w:ind w:left="360"/>
      </w:pPr>
      <w:r>
        <w:t>Périmètre élargi (inclut robinetterie semi-collective, cantines, douches collectives) : 55-66 M€.</w:t>
      </w:r>
    </w:p>
    <w:p>
      <w:pPr>
        <w:pStyle w:val="ListBullet"/>
        <w:ind w:left="360"/>
      </w:pPr>
      <w:r>
        <w:t>Soit ~1 % du marché européen robinetterie collective.</w:t>
      </w:r>
    </w:p>
    <w:p>
      <w:pPr>
        <w:pStyle w:val="ListBullet"/>
        <w:ind w:left="360"/>
      </w:pPr>
      <w:r>
        <w:t>Croissance estimée : 3-4 %/an sur 2025-2028 (source interne).</w:t>
      </w:r>
    </w:p>
    <w:p>
      <w:pPr>
        <w:pStyle w:val="ListBullet"/>
        <w:ind w:left="360"/>
      </w:pPr>
      <w:r>
        <w:t>Atout structurel : concentration institutions UE/OTAN à Bruxelles — demande ERP institutionnelle haut de gamme, peu cyclique.</w:t>
      </w:r>
    </w:p>
    <w:p/>
    <w:p>
      <w:pPr>
        <w:pStyle w:val="Heading2"/>
      </w:pPr>
      <w:r>
        <w:rPr>
          <w:color w:val="1F497D"/>
        </w:rPr>
        <w:t>6.2 Méthode d'extrapolation (validation interne)</w:t>
      </w:r>
    </w:p>
    <w:p>
      <w:r>
        <w:t>Application de la méthode CLAUDE.md (validation de la fourchette interne) :</w:t>
      </w:r>
    </w:p>
    <w:p>
      <w:r>
        <w:t>Données d'entrée :</w:t>
        <w:br/>
        <w:t xml:space="preserve">  • PIB/hab Belgique 2024 : 46 000 USD (SPF Économie / FMI)</w:t>
        <w:br/>
        <w:t xml:space="preserve">  • Population Belgique 2025 : 11,825 M</w:t>
        <w:br/>
        <w:t xml:space="preserve">  • PIB/hab France 2025 : 48 982 USD (Worldometer)</w:t>
        <w:br/>
        <w:t xml:space="preserve">  • Population France 2025 : 69,1 M</w:t>
        <w:br/>
        <w:t xml:space="preserve">  • Base marché FR robinetterie collective : 120 M€ / 140,3 M USD (Presto interne)</w:t>
        <w:br/>
        <w:br/>
        <w:t>Calcul :</w:t>
        <w:br/>
        <w:t xml:space="preserve">  Coeff. PIB/hab = 46 000 / 48 982 = 0,939</w:t>
        <w:br/>
        <w:t xml:space="preserve">  Coeff. population = 11,825 / 69,1 = 0,171</w:t>
        <w:br/>
        <w:t xml:space="preserve">  Coefficient global = 0,939 × 0,171 = 0,161</w:t>
        <w:br/>
        <w:t xml:space="preserve">  Estimation = 0,161 × 140,3 M USD = 22,6 M USD ≈ 20,9 M€</w:t>
        <w:br/>
        <w:br/>
        <w:t>Ajustement : +10 % pour PIB/hab légèrement supérieur à la France → ~23 M€</w:t>
        <w:br/>
        <w:br/>
        <w:t>Résultat : 23 M€ (extrapolation) vs 24-29 M€ (source interne)</w:t>
        <w:br/>
        <w:t>→ Convergence satisfaisante. La fourchette interne est validée.</w:t>
        <w:br/>
        <w:br/>
        <w:t>Fiabilité : ÉLEVÉE (données macro fiables, économie formelle).</w:t>
        <w:br/>
        <w:t>Mention obligatoire : « Estimation par extrapolation — à confirmer par données sectorielles terrain. »</w:t>
      </w:r>
    </w:p>
    <w:p>
      <w:pPr>
        <w:pStyle w:val="Heading2"/>
      </w:pPr>
      <w:r>
        <w:rPr>
          <w:color w:val="1F497D"/>
        </w:rPr>
        <w:t>6.3 Répartition par segment ERP (estimation)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Segment ERP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Part estimée (estimation pondérée — fiabilité faible)</w:t>
            </w:r>
          </w:p>
        </w:tc>
      </w:tr>
      <w:tr>
        <w:tc>
          <w:tcPr>
            <w:tcW w:type="dxa" w:w="4703"/>
          </w:tcPr>
          <w:p>
            <w:r>
              <w:t>Santé (hôpitaux, EHPAD, cliniques)</w:t>
            </w:r>
          </w:p>
        </w:tc>
        <w:tc>
          <w:tcPr>
            <w:tcW w:type="dxa" w:w="4703"/>
          </w:tcPr>
          <w:p>
            <w:r>
              <w:t>~30-35 % — segment dominant, Delabie très présent</w:t>
            </w:r>
          </w:p>
        </w:tc>
      </w:tr>
      <w:tr>
        <w:tc>
          <w:tcPr>
            <w:tcW w:type="dxa" w:w="4703"/>
          </w:tcPr>
          <w:p>
            <w:r>
              <w:t>Éducation (écoles, universités)</w:t>
            </w:r>
          </w:p>
        </w:tc>
        <w:tc>
          <w:tcPr>
            <w:tcW w:type="dxa" w:w="4703"/>
          </w:tcPr>
          <w:p>
            <w:r>
              <w:t>~20-25 % — grands pipelines en Flandre</w:t>
            </w:r>
          </w:p>
        </w:tc>
      </w:tr>
      <w:tr>
        <w:tc>
          <w:tcPr>
            <w:tcW w:type="dxa" w:w="4703"/>
          </w:tcPr>
          <w:p>
            <w:r>
              <w:t>Tertiaire / Institutions (bureaux, UE)</w:t>
            </w:r>
          </w:p>
        </w:tc>
        <w:tc>
          <w:tcPr>
            <w:tcW w:type="dxa" w:w="4703"/>
          </w:tcPr>
          <w:p>
            <w:r>
              <w:t>~15-20 % — forte valeur unitaire à Bruxelles</w:t>
            </w:r>
          </w:p>
        </w:tc>
      </w:tr>
      <w:tr>
        <w:tc>
          <w:tcPr>
            <w:tcW w:type="dxa" w:w="4703"/>
          </w:tcPr>
          <w:p>
            <w:r>
              <w:t>Sport &amp; Loisirs</w:t>
            </w:r>
          </w:p>
        </w:tc>
        <w:tc>
          <w:tcPr>
            <w:tcW w:type="dxa" w:w="4703"/>
          </w:tcPr>
          <w:p>
            <w:r>
              <w:t>~8-12 %</w:t>
            </w:r>
          </w:p>
        </w:tc>
      </w:tr>
      <w:tr>
        <w:tc>
          <w:tcPr>
            <w:tcW w:type="dxa" w:w="4703"/>
          </w:tcPr>
          <w:p>
            <w:r>
              <w:t>CHR (hôtels, restaurants)</w:t>
            </w:r>
          </w:p>
        </w:tc>
        <w:tc>
          <w:tcPr>
            <w:tcW w:type="dxa" w:w="4703"/>
          </w:tcPr>
          <w:p>
            <w:r>
              <w:t>~8-10 %</w:t>
            </w:r>
          </w:p>
        </w:tc>
      </w:tr>
      <w:tr>
        <w:tc>
          <w:tcPr>
            <w:tcW w:type="dxa" w:w="4703"/>
          </w:tcPr>
          <w:p>
            <w:r>
              <w:t>Pénitentiaire / Sécurité renforcée</w:t>
            </w:r>
          </w:p>
        </w:tc>
        <w:tc>
          <w:tcPr>
            <w:tcW w:type="dxa" w:w="4703"/>
          </w:tcPr>
          <w:p>
            <w:r>
              <w:t>~5-8 % — marché captif anti-vandalisme</w:t>
            </w:r>
          </w:p>
        </w:tc>
      </w:tr>
      <w:tr>
        <w:tc>
          <w:tcPr>
            <w:tcW w:type="dxa" w:w="4703"/>
          </w:tcPr>
          <w:p>
            <w:r>
              <w:t>Industrie / Transports / Autres</w:t>
            </w:r>
          </w:p>
        </w:tc>
        <w:tc>
          <w:tcPr>
            <w:tcW w:type="dxa" w:w="4703"/>
          </w:tcPr>
          <w:p>
            <w:r>
              <w:t>~5-7 %</w:t>
            </w:r>
          </w:p>
        </w:tc>
      </w:tr>
    </w:tbl>
    <w:p/>
    <w:p>
      <w:r>
        <w:t>Note : répartition estimée sur la base des ratios français pondérés par les spécificités belges. À valider terrain.</w:t>
      </w:r>
    </w:p>
    <w:p>
      <w:pPr>
        <w:pStyle w:val="Heading2"/>
      </w:pPr>
      <w:r>
        <w:rPr>
          <w:color w:val="1F497D"/>
        </w:rPr>
        <w:t>6.4 Tendances et opportunités</w:t>
      </w:r>
    </w:p>
    <w:p>
      <w:pPr>
        <w:pStyle w:val="ListBullet"/>
        <w:ind w:left="360"/>
      </w:pPr>
      <w:r>
        <w:t>Programmes PLAGE (Flandre) et UREBA (Wallonie) : rénovation bâtiments publics impose économiseurs d'eau certifiés — débouché direct.</w:t>
      </w:r>
    </w:p>
    <w:p>
      <w:pPr>
        <w:pStyle w:val="ListBullet"/>
        <w:ind w:left="360"/>
      </w:pPr>
      <w:r>
        <w:t>Institutions UE à Bruxelles : cahiers des charges BREEAM, accessibilité PMR, anti-legionella — marché de niche à haute valeur.</w:t>
      </w:r>
    </w:p>
    <w:p>
      <w:pPr>
        <w:pStyle w:val="ListBullet"/>
        <w:ind w:left="360"/>
      </w:pPr>
      <w:r>
        <w:t>Rénovation hôpitaux et écoles : flux régulier de projets 2024-2030 — marché visible et qualifiable.</w:t>
      </w:r>
    </w:p>
    <w:p>
      <w:pPr>
        <w:pStyle w:val="ListBullet"/>
        <w:ind w:left="360"/>
      </w:pPr>
      <w:r>
        <w:t>Anti-vandalisme pénitentiaire : programme pénitentiaire actif, niche captive où Presto est compétitif.</w:t>
      </w:r>
    </w:p>
    <w:p>
      <w:r>
        <w:br w:type="page"/>
      </w:r>
    </w:p>
    <w:p>
      <w:pPr>
        <w:pStyle w:val="Heading1"/>
      </w:pPr>
      <w:r>
        <w:rPr>
          <w:color w:val="1F497D"/>
        </w:rPr>
        <w:t>PARTIE 7 — Concurrents</w:t>
      </w:r>
    </w:p>
    <w:p>
      <w:pPr>
        <w:pStyle w:val="Heading2"/>
      </w:pPr>
      <w:r>
        <w:rPr>
          <w:color w:val="1F497D"/>
        </w:rPr>
        <w:t>7.1 DELABIE — Analyse prioritaire</w:t>
      </w:r>
    </w:p>
    <w:p>
      <w:pPr>
        <w:pStyle w:val="ListBullet"/>
        <w:ind w:left="360"/>
      </w:pPr>
      <w:r>
        <w:t>DELABIE : fabricant français, leader européen auto-proclamé en robinetterie ERP (depuis 1928). Groupe familial indépendant. 400-450 salariés, 250 en France, 40 % du CA à l'export dans 90+ pays. CA groupe non publié. (Wikipedia / Pappers, 2025)</w:t>
      </w:r>
    </w:p>
    <w:p>
      <w:pPr>
        <w:pStyle w:val="ListBullet"/>
        <w:ind w:left="360"/>
      </w:pPr>
      <w:r>
        <w:t>Delabie Benelux SRL : filiale créée en 2013 (acquisition de BSC Belgium). Siège à Sint-Pieters-Leeuw (Flandre, périphérie Bruxelles). CA Belgique : 12,9 M€ (Trendstop/Le Vif, 2025). Rang sectoriel : 30e en Belgique (sanitaire fab. &amp; vente).</w:t>
      </w:r>
    </w:p>
    <w:p>
      <w:pPr>
        <w:pStyle w:val="ListBullet"/>
        <w:ind w:left="360"/>
      </w:pPr>
      <w:r>
        <w:t>Positionnement : haut de gamme ERP exclusif — hôpitaux, collectivités, lieux publics. 5 gammes : robinetterie lieux publics, robinetterie hôpitaux, accessibilité PMR, accessoires hygiène, sanitaires inox.</w:t>
      </w:r>
    </w:p>
    <w:p>
      <w:pPr>
        <w:pStyle w:val="ListBullet"/>
        <w:ind w:left="360"/>
      </w:pPr>
      <w:r>
        <w:t>France (référence) : ~65 % de PDM sur collectivités, ~90 % sur hospitalier. En Belgique : estimation 12-16 % PDM sur ERP santé (source interne, à vérifier).</w:t>
      </w:r>
    </w:p>
    <w:p>
      <w:pPr>
        <w:pStyle w:val="ListBullet"/>
        <w:ind w:left="360"/>
      </w:pPr>
      <w:r>
        <w:t>Forces : notoriété forte dans la prescription (bureaux d'études, maîtres d'œuvre), gamme anti-vandalisme, certification BELGAQUA, acquisition KWC-DVS renforce présence néerlandophone.</w:t>
      </w:r>
    </w:p>
    <w:p>
      <w:pPr>
        <w:pStyle w:val="ListBullet"/>
        <w:ind w:left="360"/>
      </w:pPr>
      <w:r>
        <w:t>Faiblesses : positionnement premium = prix élevés. Réseau commercial belge plus léger qu'en France. Moins présent sur le marché flamand (orienté germanique).</w:t>
      </w:r>
    </w:p>
    <w:p>
      <w:pPr>
        <w:pStyle w:val="ListBullet"/>
        <w:ind w:left="360"/>
      </w:pPr>
      <w:r>
        <w:t>Acquisition récente de KWC-DVS : renforce la présence dans les marchés néerlandophones/germanophones — signal d'une stratégie Benelux agressive.</w:t>
      </w:r>
    </w:p>
    <w:p/>
    <w:p>
      <w:pPr>
        <w:pStyle w:val="Heading2"/>
      </w:pPr>
      <w:r>
        <w:rPr>
          <w:color w:val="1F497D"/>
        </w:rPr>
        <w:t>7.2 Autres concurrents clés</w:t>
      </w:r>
    </w:p>
    <w:p>
      <w:pPr>
        <w:pStyle w:val="Heading3"/>
      </w:pPr>
      <w:r>
        <w:rPr>
          <w:color w:val="1F497D"/>
        </w:rPr>
        <w:t>Ideal Standard International</w:t>
      </w:r>
    </w:p>
    <w:p>
      <w:pPr>
        <w:pStyle w:val="ListBullet"/>
        <w:ind w:left="360"/>
      </w:pPr>
      <w:r>
        <w:t>Siège mondial à Bruxelles — forte légitimité locale. 8 000+ salariés. Distribué chez Facq.be (réseau majeur en Belgique). (LinkedIn / LeadIQ, 2025)</w:t>
      </w:r>
    </w:p>
    <w:p>
      <w:pPr>
        <w:pStyle w:val="ListBullet"/>
        <w:ind w:left="360"/>
      </w:pPr>
      <w:r>
        <w:t>Positionnement : milieu de gamme à haut de gamme, résidentiel + commercial généraliste. Moins spécialisé ERP collectif que Delabie.</w:t>
      </w:r>
    </w:p>
    <w:p>
      <w:pPr>
        <w:pStyle w:val="ListBullet"/>
        <w:ind w:left="360"/>
      </w:pPr>
      <w:r>
        <w:t>PDM estimée tout marché BE : 20-25 % (source interne — À VÉRIFIER).</w:t>
      </w:r>
    </w:p>
    <w:p>
      <w:pPr>
        <w:pStyle w:val="ListBullet"/>
        <w:ind w:left="360"/>
      </w:pPr>
      <w:r>
        <w:t>Forces : marque connue, distribution large, siège en Belgique.</w:t>
      </w:r>
    </w:p>
    <w:p>
      <w:pPr>
        <w:pStyle w:val="ListBullet"/>
        <w:ind w:left="360"/>
      </w:pPr>
      <w:r>
        <w:t>Faiblesses : moins spécialisé sur ERP anti-vandalisme et hospitalier haute exigence.</w:t>
      </w:r>
    </w:p>
    <w:p>
      <w:pPr>
        <w:pStyle w:val="Heading3"/>
      </w:pPr>
      <w:r>
        <w:rPr>
          <w:color w:val="1F497D"/>
        </w:rPr>
        <w:t>Grohe / LIXIL Benelux</w:t>
      </w:r>
    </w:p>
    <w:p>
      <w:pPr>
        <w:pStyle w:val="ListBullet"/>
        <w:ind w:left="360"/>
      </w:pPr>
      <w:r>
        <w:t>Marque allemande premium, très présente en Belgique via négoce pro (Rexel BE, Sonepar BE). (Banio.be, 2025)</w:t>
      </w:r>
    </w:p>
    <w:p>
      <w:pPr>
        <w:pStyle w:val="ListBullet"/>
        <w:ind w:left="360"/>
      </w:pPr>
      <w:r>
        <w:t>Positionnement : design premium, fort sur résidentiel et tertiaire. Offre ERP collective moins développée qu'en France.</w:t>
      </w:r>
    </w:p>
    <w:p>
      <w:pPr>
        <w:pStyle w:val="ListBullet"/>
        <w:ind w:left="360"/>
      </w:pPr>
      <w:r>
        <w:t>PDM estimée BE ERP : 18-22 % (source interne — À VÉRIFIER).</w:t>
      </w:r>
    </w:p>
    <w:p>
      <w:pPr>
        <w:pStyle w:val="ListBullet"/>
        <w:ind w:left="360"/>
      </w:pPr>
      <w:r>
        <w:t>Forces : notoriété, réseau de distribution dense, design reconnu.</w:t>
      </w:r>
    </w:p>
    <w:p>
      <w:pPr>
        <w:pStyle w:val="ListBullet"/>
        <w:ind w:left="360"/>
      </w:pPr>
      <w:r>
        <w:t>Faiblesses : prix élevés, moins adapté aux segments anti-vandalisme.</w:t>
      </w:r>
    </w:p>
    <w:p>
      <w:pPr>
        <w:pStyle w:val="Heading3"/>
      </w:pPr>
      <w:r>
        <w:rPr>
          <w:color w:val="1F497D"/>
        </w:rPr>
        <w:t>Hansgrohe Benelux</w:t>
      </w:r>
    </w:p>
    <w:p>
      <w:pPr>
        <w:pStyle w:val="ListBullet"/>
        <w:ind w:left="360"/>
      </w:pPr>
      <w:r>
        <w:t>Marque allemande haut de gamme. Forte sur le marché résidentiel et CHR premium. (Banio.be, 2025)</w:t>
      </w:r>
    </w:p>
    <w:p>
      <w:pPr>
        <w:pStyle w:val="ListBullet"/>
        <w:ind w:left="360"/>
      </w:pPr>
      <w:r>
        <w:t>Positionnement : design premium Axor/Hansgrohe, moins présent en ERP collectif.</w:t>
      </w:r>
    </w:p>
    <w:p>
      <w:pPr>
        <w:pStyle w:val="ListBullet"/>
        <w:ind w:left="360"/>
      </w:pPr>
      <w:r>
        <w:t>PDM estimée BE ERP : 10-13 % (source interne — À VÉRIFIER).</w:t>
      </w:r>
    </w:p>
    <w:p>
      <w:pPr>
        <w:pStyle w:val="Heading3"/>
      </w:pPr>
      <w:r>
        <w:rPr>
          <w:color w:val="1F497D"/>
        </w:rPr>
        <w:t>Jacob Delafon / Kohler</w:t>
      </w:r>
    </w:p>
    <w:p>
      <w:pPr>
        <w:pStyle w:val="ListBullet"/>
        <w:ind w:left="360"/>
      </w:pPr>
      <w:r>
        <w:t>Marque française (Kohler group). Distribution via négoce sanitaire belge.</w:t>
      </w:r>
    </w:p>
    <w:p>
      <w:pPr>
        <w:pStyle w:val="ListBullet"/>
        <w:ind w:left="360"/>
      </w:pPr>
      <w:r>
        <w:t>PDM estimée BE ERP : 8-10 % (source interne — À VÉRIFIER).</w:t>
      </w:r>
    </w:p>
    <w:p>
      <w:pPr>
        <w:pStyle w:val="Heading3"/>
      </w:pPr>
      <w:r>
        <w:rPr>
          <w:color w:val="1F497D"/>
        </w:rPr>
        <w:t>Intersan NV</w:t>
      </w:r>
    </w:p>
    <w:p>
      <w:pPr>
        <w:pStyle w:val="ListBullet"/>
        <w:ind w:left="360"/>
      </w:pPr>
      <w:r>
        <w:t>Fabricant belge spécialisé en robinetterie anti-vandalisme collective. (ExportHub, 2025)</w:t>
      </w:r>
    </w:p>
    <w:p>
      <w:pPr>
        <w:pStyle w:val="ListBullet"/>
        <w:ind w:left="360"/>
      </w:pPr>
      <w:r>
        <w:t>Acteur local avec connaissance du marché belge — concurrent direct sur le pénitentiaire et les ERP sécurité renforcée.</w:t>
      </w:r>
    </w:p>
    <w:p>
      <w:pPr>
        <w:pStyle w:val="Heading3"/>
      </w:pPr>
      <w:r>
        <w:rPr>
          <w:color w:val="1F497D"/>
        </w:rPr>
        <w:t>Presto Belgium</w:t>
      </w:r>
    </w:p>
    <w:p>
      <w:pPr>
        <w:pStyle w:val="ListBullet"/>
        <w:ind w:left="360"/>
      </w:pPr>
      <w:r>
        <w:t>Presto dispose d'une division commerciale internationale incluant la Belgique (Presto.fr, 2025).</w:t>
      </w:r>
    </w:p>
    <w:p>
      <w:pPr>
        <w:pStyle w:val="ListBullet"/>
        <w:ind w:left="360"/>
      </w:pPr>
      <w:r>
        <w:t>Niveau de présence actuel en Belgique : [DONNÉE NON DISPONIBLE — à confirmer en interne].</w:t>
      </w:r>
    </w:p>
    <w:p>
      <w:pPr>
        <w:pStyle w:val="ListBullet"/>
        <w:ind w:left="360"/>
      </w:pPr>
      <w:r>
        <w:t>Presto et Delabie sont les deux références françaises sur la robinetterie collective — la marque est connue des prescripteurs francophones.</w:t>
      </w:r>
    </w:p>
    <w:p>
      <w:pPr>
        <w:pStyle w:val="Heading2"/>
      </w:pPr>
      <w:r>
        <w:rPr>
          <w:color w:val="1F497D"/>
        </w:rPr>
        <w:t>7.3 Opportunités de différenciation pour Presto</w:t>
      </w:r>
    </w:p>
    <w:p>
      <w:pPr>
        <w:pStyle w:val="ListBullet"/>
        <w:ind w:left="360"/>
      </w:pPr>
      <w:r>
        <w:t>Marché francophone (Wallonie + Bruxelles) : avantage naturel vs concurrents germaniques — capitaliser sur l'image française et les réseaux d'entreprises françaises implantées.</w:t>
      </w:r>
    </w:p>
    <w:p>
      <w:pPr>
        <w:pStyle w:val="ListBullet"/>
        <w:ind w:left="360"/>
      </w:pPr>
      <w:r>
        <w:t>Segment pénitentiaire : pipeline actif (Plan Maître III), niche anti-vandalisme où Presto est compétitif — Delabie pas nécessairement dominant.</w:t>
      </w:r>
    </w:p>
    <w:p>
      <w:pPr>
        <w:pStyle w:val="ListBullet"/>
        <w:ind w:left="360"/>
      </w:pPr>
      <w:r>
        <w:t>Institutions UE/OTAN à Bruxelles : segment à haute valeur unitaire, peu cyclique — approche prescription directe possible.</w:t>
      </w:r>
    </w:p>
    <w:p>
      <w:pPr>
        <w:pStyle w:val="ListBullet"/>
        <w:ind w:left="360"/>
      </w:pPr>
      <w:r>
        <w:t>Certification BELGAQUA prioritaire : différenciateur-clé sur les marchés publics belges, à obtenir dès l'entrée sur le marché.</w:t>
      </w:r>
    </w:p>
    <w:p>
      <w:pPr>
        <w:pStyle w:val="ListBullet"/>
        <w:ind w:left="360"/>
      </w:pPr>
      <w:r>
        <w:t>Flandre : marché plus complexe (néerlandophone, marques germaniques dominantes) — approche via partenaire distributeur local recommandée.</w:t>
      </w:r>
    </w:p>
    <w:p>
      <w:r>
        <w:br w:type="page"/>
      </w:r>
    </w:p>
    <w:p>
      <w:pPr>
        <w:pStyle w:val="Heading1"/>
      </w:pPr>
      <w:r>
        <w:rPr>
          <w:color w:val="1F497D"/>
        </w:rPr>
        <w:t>PARTIE 8 — Normes &amp; Certifications Robinetterie</w:t>
      </w:r>
    </w:p>
    <w:p>
      <w:pPr>
        <w:pStyle w:val="Heading2"/>
      </w:pPr>
      <w:r>
        <w:rPr>
          <w:color w:val="1F497D"/>
        </w:rPr>
        <w:t>8.1 Cadre réglementaire général</w:t>
      </w:r>
    </w:p>
    <w:p>
      <w:r>
        <w:t>La Belgique est un État fédéral : la qualité de l'eau est une compétence régionale (Flandre, Wallonie, Bruxelles-Capitale), mais toutes les régions respectent les standards minimaux de la Directive UE 2020/2184 sur l'eau potable. Le Bureau de Normalisation belge (NBN) transpose les normes européennes EN. (NBN, 2025)</w:t>
      </w:r>
    </w:p>
    <w:p>
      <w:pPr>
        <w:pStyle w:val="Heading2"/>
      </w:pPr>
      <w:r>
        <w:rPr>
          <w:color w:val="1F497D"/>
        </w:rPr>
        <w:t>8.2 Certifications obligatoires et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Certification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Détail</w:t>
            </w:r>
          </w:p>
        </w:tc>
      </w:tr>
      <w:tr>
        <w:tc>
          <w:tcPr>
            <w:tcW w:type="dxa" w:w="4703"/>
          </w:tcPr>
          <w:p>
            <w:r>
              <w:t>BELGAQUA / HYDROCHECK</w:t>
            </w:r>
          </w:p>
        </w:tc>
        <w:tc>
          <w:tcPr>
            <w:tcW w:type="dxa" w:w="4703"/>
          </w:tcPr>
          <w:p>
            <w:r>
              <w:t>OBLIGATOIRE pour tout matériau en contact avec l'eau potable distribué par les sociétés d'eau. Certificat valable 5 ans max. Certifications équivalentes étrangères reconnues (ACS, KTW, DVGW, WRAS, KIWA). (BELGAQUA, 2025)</w:t>
            </w:r>
          </w:p>
        </w:tc>
      </w:tr>
      <w:tr>
        <w:tc>
          <w:tcPr>
            <w:tcW w:type="dxa" w:w="4703"/>
          </w:tcPr>
          <w:p>
            <w:r>
              <w:t>Marquage CE</w:t>
            </w:r>
          </w:p>
        </w:tc>
        <w:tc>
          <w:tcPr>
            <w:tcW w:type="dxa" w:w="4703"/>
          </w:tcPr>
          <w:p>
            <w:r>
              <w:t>Obligatoire — Règlement (UE) 305/2011 sur les produits de construction. (IDRAL / Cehtra, 2025)</w:t>
            </w:r>
          </w:p>
        </w:tc>
      </w:tr>
      <w:tr>
        <w:tc>
          <w:tcPr>
            <w:tcW w:type="dxa" w:w="4703"/>
          </w:tcPr>
          <w:p>
            <w:r>
              <w:t>Label BENOR (NBN)</w:t>
            </w:r>
          </w:p>
        </w:tc>
        <w:tc>
          <w:tcPr>
            <w:tcW w:type="dxa" w:w="4703"/>
          </w:tcPr>
          <w:p>
            <w:r>
              <w:t>Volontaire mais souvent exigé dans les cahiers des charges des marchés publics belges. Atteste la conformité aux Prescriptions Techniques (PTV), plus exigeantes que le minimum légal. (BENOR ASBL, 2025)</w:t>
            </w:r>
          </w:p>
        </w:tc>
      </w:tr>
      <w:tr>
        <w:tc>
          <w:tcPr>
            <w:tcW w:type="dxa" w:w="4703"/>
          </w:tcPr>
          <w:p>
            <w:r>
              <w:t>ATG (Agrément Technique)</w:t>
            </w:r>
          </w:p>
        </w:tc>
        <w:tc>
          <w:tcPr>
            <w:tcW w:type="dxa" w:w="4703"/>
          </w:tcPr>
          <w:p>
            <w:r>
              <w:t>Optionnel — délivré par BUCP/COPRO pour produits innovants sans norme harmonisée. (BUCP, 2025)</w:t>
            </w:r>
          </w:p>
        </w:tc>
      </w:tr>
      <w:tr>
        <w:tc>
          <w:tcPr>
            <w:tcW w:type="dxa" w:w="4703"/>
          </w:tcPr>
          <w:p>
            <w:r>
              <w:t>Cadre 4MS transitoire</w:t>
            </w:r>
          </w:p>
        </w:tc>
        <w:tc>
          <w:tcPr>
            <w:tcW w:type="dxa" w:w="4703"/>
          </w:tcPr>
          <w:p>
            <w:r>
              <w:t>Certifications 4MS (ACS France, DVGW/KTW Allemagne, KIWA Pays-Bas) valides jusqu'au 31/12/2032. EUPL (listes positives européennes) en vigueur à partir du 31/12/2026. (AVK Valves BE, 2025)</w:t>
            </w:r>
          </w:p>
        </w:tc>
      </w:tr>
    </w:tbl>
    <w:p/>
    <w:p>
      <w:pPr>
        <w:pStyle w:val="Heading2"/>
      </w:pPr>
      <w:r>
        <w:rPr>
          <w:color w:val="1F497D"/>
        </w:rPr>
        <w:t>8.3 Normes NBN clés pour la robinetterie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Norme</w:t>
            </w:r>
          </w:p>
        </w:tc>
        <w:tc>
          <w:tcPr>
            <w:tcW w:type="dxa" w:w="4703"/>
          </w:tcPr>
          <w:p>
            <w:r>
              <w:rPr>
                <w:b/>
              </w:rPr>
              <w:t>Objet</w:t>
            </w:r>
          </w:p>
        </w:tc>
      </w:tr>
      <w:tr>
        <w:tc>
          <w:tcPr>
            <w:tcW w:type="dxa" w:w="4703"/>
          </w:tcPr>
          <w:p>
            <w:r>
              <w:t>NBN EN 806 (1-5)</w:t>
            </w:r>
          </w:p>
        </w:tc>
        <w:tc>
          <w:tcPr>
            <w:tcW w:type="dxa" w:w="4703"/>
          </w:tcPr>
          <w:p>
            <w:r>
              <w:t>Exigences générales pour installations d'eau potable en bâtiment</w:t>
            </w:r>
          </w:p>
        </w:tc>
      </w:tr>
      <w:tr>
        <w:tc>
          <w:tcPr>
            <w:tcW w:type="dxa" w:w="4703"/>
          </w:tcPr>
          <w:p>
            <w:r>
              <w:t>NBN EN 200</w:t>
            </w:r>
          </w:p>
        </w:tc>
        <w:tc>
          <w:tcPr>
            <w:tcW w:type="dxa" w:w="4703"/>
          </w:tcPr>
          <w:p>
            <w:r>
              <w:t>Robinets simples et mélangeurs — performances générales</w:t>
            </w:r>
          </w:p>
        </w:tc>
      </w:tr>
      <w:tr>
        <w:tc>
          <w:tcPr>
            <w:tcW w:type="dxa" w:w="4703"/>
          </w:tcPr>
          <w:p>
            <w:r>
              <w:t>NBN EN 817</w:t>
            </w:r>
          </w:p>
        </w:tc>
        <w:tc>
          <w:tcPr>
            <w:tcW w:type="dxa" w:w="4703"/>
          </w:tcPr>
          <w:p>
            <w:r>
              <w:t>Mitigeurs mécaniques PN 10 — dimensions, étanchéité, acoustique, endurance</w:t>
            </w:r>
          </w:p>
        </w:tc>
      </w:tr>
      <w:tr>
        <w:tc>
          <w:tcPr>
            <w:tcW w:type="dxa" w:w="4703"/>
          </w:tcPr>
          <w:p>
            <w:r>
              <w:t>NBN EN 1111</w:t>
            </w:r>
          </w:p>
        </w:tc>
        <w:tc>
          <w:tcPr>
            <w:tcW w:type="dxa" w:w="4703"/>
          </w:tcPr>
          <w:p>
            <w:r>
              <w:t>Mitigeurs thermostatiques PN 10</w:t>
            </w:r>
          </w:p>
        </w:tc>
      </w:tr>
      <w:tr>
        <w:tc>
          <w:tcPr>
            <w:tcW w:type="dxa" w:w="4703"/>
          </w:tcPr>
          <w:p>
            <w:r>
              <w:t>NBN EN 1717</w:t>
            </w:r>
          </w:p>
        </w:tc>
        <w:tc>
          <w:tcPr>
            <w:tcW w:type="dxa" w:w="4703"/>
          </w:tcPr>
          <w:p>
            <w:r>
              <w:t>Protection contre la pollution de l'eau potable — anti-retour</w:t>
            </w:r>
          </w:p>
        </w:tc>
      </w:tr>
      <w:tr>
        <w:tc>
          <w:tcPr>
            <w:tcW w:type="dxa" w:w="4703"/>
          </w:tcPr>
          <w:p>
            <w:r>
              <w:t>NBN EN 1074 (1&amp;2)</w:t>
            </w:r>
          </w:p>
        </w:tc>
        <w:tc>
          <w:tcPr>
            <w:tcW w:type="dxa" w:w="4703"/>
          </w:tcPr>
          <w:p>
            <w:r>
              <w:t>Robinetterie pour alimentation en eau — aptitude à l'emploi</w:t>
            </w:r>
          </w:p>
        </w:tc>
      </w:tr>
      <w:tr>
        <w:tc>
          <w:tcPr>
            <w:tcW w:type="dxa" w:w="4703"/>
          </w:tcPr>
          <w:p>
            <w:r>
              <w:t>NBN EN 1655 / NBN EN 248</w:t>
            </w:r>
          </w:p>
        </w:tc>
        <w:tc>
          <w:tcPr>
            <w:tcW w:type="dxa" w:w="4703"/>
          </w:tcPr>
          <w:p>
            <w:r>
              <w:t>Matériaux (laiton, chrome) et revêtements</w:t>
            </w:r>
          </w:p>
        </w:tc>
      </w:tr>
      <w:tr>
        <w:tc>
          <w:tcPr>
            <w:tcW w:type="dxa" w:w="4703"/>
          </w:tcPr>
          <w:p>
            <w:r>
              <w:t>NBN S 01-400-1 + EN ISO 3822</w:t>
            </w:r>
          </w:p>
        </w:tc>
        <w:tc>
          <w:tcPr>
            <w:tcW w:type="dxa" w:w="4703"/>
          </w:tcPr>
          <w:p>
            <w:r>
              <w:t>Acoustique des installations sanitaires</w:t>
            </w:r>
          </w:p>
        </w:tc>
      </w:tr>
      <w:tr>
        <w:tc>
          <w:tcPr>
            <w:tcW w:type="dxa" w:w="4703"/>
          </w:tcPr>
          <w:p>
            <w:r>
              <w:t>NBN D51-003</w:t>
            </w:r>
          </w:p>
        </w:tc>
        <w:tc>
          <w:tcPr>
            <w:tcW w:type="dxa" w:w="4703"/>
          </w:tcPr>
          <w:p>
            <w:r>
              <w:t>Critères techniques pour installations domestiques et industrielles</w:t>
            </w:r>
          </w:p>
        </w:tc>
      </w:tr>
    </w:tbl>
    <w:p/>
    <w:p>
      <w:pPr>
        <w:pStyle w:val="Heading2"/>
      </w:pPr>
      <w:r>
        <w:rPr>
          <w:color w:val="1F497D"/>
        </w:rPr>
        <w:t>8.4 Implications pratiques pour Presto</w:t>
      </w:r>
    </w:p>
    <w:p>
      <w:pPr>
        <w:pStyle w:val="ListBullet"/>
        <w:ind w:left="360"/>
      </w:pPr>
      <w:r>
        <w:t>ACS France : déjà reconnu dans le cadre transitoire 4MS jusqu'en 2032 — Presto peut commercialiser sans certification BELGAQUA immédiate, mais l'obtenir reste fortement recommandé pour les marchés publics.</w:t>
      </w:r>
    </w:p>
    <w:p>
      <w:pPr>
        <w:pStyle w:val="ListBullet"/>
        <w:ind w:left="360"/>
      </w:pPr>
      <w:r>
        <w:t>BELGAQUA / HYDROCHECK : à prioriser dès l'entrée sur le marché — exigé dans les cahiers des charges publics. Dépôt de dossier à anticiper (délai estimé : 3-6 mois).</w:t>
      </w:r>
    </w:p>
    <w:p>
      <w:pPr>
        <w:pStyle w:val="ListBullet"/>
        <w:ind w:left="360"/>
      </w:pPr>
      <w:r>
        <w:t>BENOR : à viser pour les segments marchés publics belges — différenciateur commercial fort.</w:t>
      </w:r>
    </w:p>
    <w:p>
      <w:pPr>
        <w:pStyle w:val="ListBullet"/>
        <w:ind w:left="360"/>
      </w:pPr>
      <w:r>
        <w:t>Délai d'entrée marché réaliste : 6-12 mois pour obtenir les certifications clés avant premières livraisons sur marchés publics.</w:t>
      </w:r>
    </w:p>
    <w:p>
      <w:pPr>
        <w:pStyle w:val="ListBullet"/>
        <w:ind w:left="360"/>
      </w:pPr>
      <w:r>
        <w:t>Écarts vs France : BELGAQUA est spécifique à la Belgique, sans équivalent direct français — démarche administrative à part entière.</w:t>
      </w:r>
    </w:p>
    <w:p>
      <w:r>
        <w:br w:type="page"/>
      </w:r>
    </w:p>
    <w:p>
      <w:pPr>
        <w:pStyle w:val="Heading1"/>
      </w:pPr>
      <w:r>
        <w:rPr>
          <w:color w:val="1F497D"/>
        </w:rPr>
        <w:t>PARTIE 9 — Points à Revérifier</w:t>
      </w:r>
    </w:p>
    <w:p>
      <w:r>
        <w:t>Cette section liste les données incertaines ou estimées, à valider par des recherches complémentaires ou des contacts terrain.</w:t>
      </w:r>
    </w:p>
    <w:p/>
    <w:p>
      <w:pPr>
        <w:pStyle w:val="Heading2"/>
      </w:pPr>
      <w:r>
        <w:rPr>
          <w:color w:val="1F497D"/>
        </w:rPr>
        <w:t>PDM des concurrents (Ideal Standard, Grohe, Hansgrohe, Jacob Delafon)</w:t>
      </w:r>
    </w:p>
    <w:p>
      <w:r>
        <w:rPr>
          <w:b/>
        </w:rPr>
        <w:t xml:space="preserve">Pourquoi incertain : </w:t>
      </w:r>
      <w:r>
        <w:t>Chiffres issus de la source interne marqués « A vérifier ». Aucune étude publique récente ne valide ces parts de marché sur l'ERP belge spécifiquement.</w:t>
      </w:r>
    </w:p>
    <w:p>
      <w:r>
        <w:rPr>
          <w:b/>
        </w:rPr>
        <w:t xml:space="preserve">Comment vérifier : </w:t>
      </w:r>
      <w:r>
        <w:t>Contacter des distributeurs belges (STG, Facq Pro) ou des bureaux d'études locaux. Commander une étude sectorielle (Xerfi Belgique, GfK).</w:t>
      </w:r>
    </w:p>
    <w:p>
      <w:pPr>
        <w:pStyle w:val="Heading2"/>
      </w:pPr>
      <w:r>
        <w:rPr>
          <w:color w:val="1F497D"/>
        </w:rPr>
        <w:t>CA Delabie Benelux (12,9 M€)</w:t>
      </w:r>
    </w:p>
    <w:p>
      <w:r>
        <w:rPr>
          <w:b/>
        </w:rPr>
        <w:t xml:space="preserve">Pourquoi incertain : </w:t>
      </w:r>
      <w:r>
        <w:t>Donnée Trendstop.levif.be — source fiable mais à date inconnue. Peut être ancien.</w:t>
      </w:r>
    </w:p>
    <w:p>
      <w:r>
        <w:rPr>
          <w:b/>
        </w:rPr>
        <w:t xml:space="preserve">Comment vérifier : </w:t>
      </w:r>
      <w:r>
        <w:t>Vérifier via Banque Carrefour des Entreprises (BCE) belge — numéro BE 0501.668.657.</w:t>
      </w:r>
    </w:p>
    <w:p>
      <w:pPr>
        <w:pStyle w:val="Heading2"/>
      </w:pPr>
      <w:r>
        <w:rPr>
          <w:color w:val="1F497D"/>
        </w:rPr>
        <w:t>Taille marché robinetterie générale Belgique (~95-115 M€)</w:t>
      </w:r>
    </w:p>
    <w:p>
      <w:r>
        <w:rPr>
          <w:b/>
        </w:rPr>
        <w:t xml:space="preserve">Pourquoi incertain : </w:t>
      </w:r>
      <w:r>
        <w:t>Estimation par extrapolation — fiabilité moyenne. Pas de donnée directe trouvée.</w:t>
      </w:r>
    </w:p>
    <w:p>
      <w:r>
        <w:rPr>
          <w:b/>
        </w:rPr>
        <w:t xml:space="preserve">Comment vérifier : </w:t>
      </w:r>
      <w:r>
        <w:t>Contacter Agoria (fédération tech belge), Embuild ou demander une estimation à STG/Facq Pro.</w:t>
      </w:r>
    </w:p>
    <w:p>
      <w:pPr>
        <w:pStyle w:val="Heading2"/>
      </w:pPr>
      <w:r>
        <w:rPr>
          <w:color w:val="1F497D"/>
        </w:rPr>
        <w:t>Part non-résidentielle dans la construction (25-30 %)</w:t>
      </w:r>
    </w:p>
    <w:p>
      <w:r>
        <w:rPr>
          <w:b/>
        </w:rPr>
        <w:t xml:space="preserve">Pourquoi incertain : </w:t>
      </w:r>
      <w:r>
        <w:t>Benchmark européen appliqué — Statbel ne publie pas de ventilation précise par segment de marché.</w:t>
      </w:r>
    </w:p>
    <w:p>
      <w:r>
        <w:rPr>
          <w:b/>
        </w:rPr>
        <w:t xml:space="preserve">Comment vérifier : </w:t>
      </w:r>
      <w:r>
        <w:t>Consulter be.STAT (base de données Statbel) ou Euroconstruct Country Report Belgique.</w:t>
      </w:r>
    </w:p>
    <w:p>
      <w:pPr>
        <w:pStyle w:val="Heading2"/>
      </w:pPr>
      <w:r>
        <w:rPr>
          <w:color w:val="1F497D"/>
        </w:rPr>
        <w:t>Présence actuelle de Presto en Belgique</w:t>
      </w:r>
    </w:p>
    <w:p>
      <w:r>
        <w:rPr>
          <w:b/>
        </w:rPr>
        <w:t xml:space="preserve">Pourquoi incertain : </w:t>
      </w:r>
      <w:r>
        <w:t>Existence d'une division commerciale confirmée (presto.fr/organisation) mais niveau d'activité, CA et réseau non documentés.</w:t>
      </w:r>
    </w:p>
    <w:p>
      <w:r>
        <w:rPr>
          <w:b/>
        </w:rPr>
        <w:t xml:space="preserve">Comment vérifier : </w:t>
      </w:r>
      <w:r>
        <w:t>Clarifier en interne auprès de la direction commerciale export Presto.</w:t>
      </w:r>
    </w:p>
    <w:p>
      <w:pPr>
        <w:pStyle w:val="Heading2"/>
      </w:pPr>
      <w:r>
        <w:rPr>
          <w:color w:val="1F497D"/>
        </w:rPr>
        <w:t>Répartition ERP par segment (30-35 % santé, 20-25 % éducation, etc.)</w:t>
      </w:r>
    </w:p>
    <w:p>
      <w:r>
        <w:rPr>
          <w:b/>
        </w:rPr>
        <w:t xml:space="preserve">Pourquoi incertain : </w:t>
      </w:r>
      <w:r>
        <w:t>Estimation pondérée sur ratios français — non validée par données belges terrain.</w:t>
      </w:r>
    </w:p>
    <w:p>
      <w:r>
        <w:rPr>
          <w:b/>
        </w:rPr>
        <w:t xml:space="preserve">Comment vérifier : </w:t>
      </w:r>
      <w:r>
        <w:t>Discussion avec distributeurs spécialisés ERP en Belgique ou sondage auprès de bureaux d'études.</w:t>
      </w:r>
    </w:p>
    <w:p>
      <w:pPr>
        <w:pStyle w:val="Heading2"/>
      </w:pPr>
      <w:r>
        <w:rPr>
          <w:color w:val="1F497D"/>
        </w:rPr>
        <w:t>Prix pratiqués par les concurrents en Belgique</w:t>
      </w:r>
    </w:p>
    <w:p>
      <w:r>
        <w:rPr>
          <w:b/>
        </w:rPr>
        <w:t xml:space="preserve">Pourquoi incertain : </w:t>
      </w:r>
      <w:r>
        <w:t>Prix moyen ERP 90-160 € HT issu de la source interne — non comparé aux tarifs réels des concurrents sur le marché belge.</w:t>
      </w:r>
    </w:p>
    <w:p>
      <w:r>
        <w:rPr>
          <w:b/>
        </w:rPr>
        <w:t xml:space="preserve">Comment vérifier : </w:t>
      </w:r>
      <w:r>
        <w:t>Analyse de catalogues ou devis demandés à STG/Facq Pro. Comparer avec liste tarifaire Delabie Benelux.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MAB Belgique — Étude de marché robinetterie ERP</dc:title>
  <dc:subject/>
  <dc:creator>Les Robinets Presto / MAB-core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