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CD15E3">
      <w:pPr>
        <w:pStyle w:val="2"/>
        <w:bidi w:val="0"/>
        <w:rPr>
          <w:rFonts w:hint="eastAsia"/>
        </w:rPr>
      </w:pPr>
      <w:r>
        <w:rPr>
          <w:rFonts w:hint="eastAsia"/>
        </w:rPr>
        <w:t xml:space="preserve">Chapter 2: </w:t>
      </w:r>
      <w:bookmarkStart w:id="0" w:name="_GoBack"/>
      <w:r>
        <w:rPr>
          <w:rFonts w:hint="eastAsia"/>
        </w:rPr>
        <w:t>Literature Review</w:t>
      </w:r>
      <w:bookmarkEnd w:id="0"/>
    </w:p>
    <w:p w14:paraId="01660183">
      <w:pPr>
        <w:pStyle w:val="3"/>
        <w:bidi w:val="0"/>
        <w:rPr>
          <w:rFonts w:hint="eastAsia"/>
        </w:rPr>
      </w:pPr>
      <w:r>
        <w:rPr>
          <w:rFonts w:hint="eastAsia"/>
        </w:rPr>
        <w:t xml:space="preserve"> 2.1 Definition and Development of Gamification in Education</w:t>
      </w:r>
    </w:p>
    <w:p w14:paraId="3B83E0DB">
      <w:pPr>
        <w:bidi w:val="0"/>
        <w:rPr>
          <w:rFonts w:hint="eastAsia"/>
        </w:rPr>
      </w:pPr>
      <w:r>
        <w:rPr>
          <w:rFonts w:hint="eastAsia"/>
        </w:rPr>
        <w:t xml:space="preserve">Gamification in Education refers to the systematic application of game design elements (such as points, badges, leaderboards, task levels, and immediate feedback) to non-game educational contexts to enhance learners' motivation, engagement, and behavioral stickiness </w:t>
      </w:r>
      <w:r>
        <w:rPr>
          <w:rStyle w:val="7"/>
          <w:rFonts w:hint="eastAsia"/>
        </w:rPr>
        <w:footnoteReference w:id="0"/>
      </w:r>
      <w:r>
        <w:rPr>
          <w:rFonts w:hint="default"/>
        </w:rPr>
        <w:t>.</w:t>
      </w:r>
      <w:r>
        <w:rPr>
          <w:rFonts w:hint="eastAsia"/>
        </w:rPr>
        <w:t xml:space="preserve"> Its core is not to turn teaching into a game, but to leverage game mechanics to stimulate intrinsic or extrinsic motivation and promote goal-oriented learning behaviors </w:t>
      </w:r>
      <w:r>
        <w:rPr>
          <w:rStyle w:val="7"/>
          <w:rFonts w:hint="eastAsia"/>
        </w:rPr>
        <w:footnoteReference w:id="1"/>
      </w:r>
      <w:r>
        <w:rPr>
          <w:rFonts w:hint="eastAsia"/>
        </w:rPr>
        <w:t>.</w:t>
      </w:r>
    </w:p>
    <w:p w14:paraId="08A169F2">
      <w:pPr>
        <w:bidi w:val="0"/>
        <w:rPr>
          <w:rFonts w:hint="eastAsia"/>
        </w:rPr>
      </w:pPr>
    </w:p>
    <w:p w14:paraId="69CD01AD">
      <w:pPr>
        <w:bidi w:val="0"/>
        <w:rPr>
          <w:rFonts w:hint="eastAsia"/>
        </w:rPr>
      </w:pPr>
      <w:r>
        <w:rPr>
          <w:rFonts w:hint="eastAsia"/>
        </w:rPr>
        <w:t>Since its emergence around 2010, gamification in education has rapidly become a research hotspot in the field of educational technology. Early practices were mostly concentrated in language learning, programming education, and corporate training</w:t>
      </w:r>
      <w:r>
        <w:rPr>
          <w:rStyle w:val="7"/>
          <w:rFonts w:hint="eastAsia"/>
        </w:rPr>
        <w:footnoteReference w:id="2"/>
      </w:r>
      <w:r>
        <w:rPr>
          <w:rFonts w:hint="eastAsia"/>
        </w:rPr>
        <w:t xml:space="preserve">. With the popularity of mobile internet and smart terminals, gamification has gradually been integrated into K-12 classrooms, showing potential in repetitive tasks such as vocabulary memorization and mathematics practice </w:t>
      </w:r>
      <w:r>
        <w:rPr>
          <w:rStyle w:val="7"/>
          <w:rFonts w:hint="eastAsia"/>
        </w:rPr>
        <w:footnoteReference w:id="3"/>
      </w:r>
      <w:r>
        <w:rPr>
          <w:rFonts w:hint="eastAsia"/>
        </w:rPr>
        <w:t xml:space="preserve">. Meta-analyses have further confirmed that well-designed gamification interventions can significantly improve students' learning motivation, task perseverance, and academic performance </w:t>
      </w:r>
      <w:r>
        <w:rPr>
          <w:rStyle w:val="7"/>
          <w:rFonts w:hint="eastAsia"/>
        </w:rPr>
        <w:footnoteReference w:id="4"/>
      </w:r>
      <w:r>
        <w:rPr>
          <w:rFonts w:hint="eastAsia"/>
        </w:rPr>
        <w:t xml:space="preserve">. However, some scholars have pointed out that if reward mechanisms are mechanically applied without considering cognitive load and alignment with learning objectives, gamification may produce a counterproductive effect of being "superficially lively but substantively inefficient" </w:t>
      </w:r>
      <w:r>
        <w:rPr>
          <w:rStyle w:val="7"/>
          <w:rFonts w:hint="eastAsia"/>
        </w:rPr>
        <w:footnoteReference w:id="5"/>
      </w:r>
      <w:r>
        <w:rPr>
          <w:rFonts w:hint="eastAsia"/>
        </w:rPr>
        <w:t>.</w:t>
      </w:r>
    </w:p>
    <w:p w14:paraId="7D470DD3">
      <w:pPr>
        <w:bidi w:val="0"/>
        <w:rPr>
          <w:rFonts w:hint="eastAsia"/>
        </w:rPr>
      </w:pPr>
    </w:p>
    <w:p w14:paraId="62B4907F">
      <w:pPr>
        <w:pStyle w:val="3"/>
        <w:bidi w:val="0"/>
        <w:rPr>
          <w:rFonts w:hint="eastAsia"/>
        </w:rPr>
      </w:pPr>
      <w:r>
        <w:rPr>
          <w:rFonts w:hint="eastAsia"/>
        </w:rPr>
        <w:t>2.2 The Application Potential of the Hook Model in Education</w:t>
      </w:r>
    </w:p>
    <w:p w14:paraId="38395DDF">
      <w:pPr>
        <w:bidi w:val="0"/>
        <w:rPr>
          <w:rFonts w:hint="eastAsia"/>
        </w:rPr>
      </w:pPr>
      <w:r>
        <w:rPr>
          <w:rFonts w:hint="eastAsia"/>
        </w:rPr>
        <w:t xml:space="preserve">Proposed by Nir Eyal </w:t>
      </w:r>
      <w:r>
        <w:rPr>
          <w:rStyle w:val="7"/>
          <w:rFonts w:hint="eastAsia"/>
        </w:rPr>
        <w:footnoteReference w:id="6"/>
      </w:r>
      <w:r>
        <w:rPr>
          <w:rFonts w:hint="eastAsia"/>
        </w:rPr>
        <w:t>, the Hook Model explains how users form usage habits through four stages: Trigger, Action, Variable Reward, and Investment. Initially applied to consumer digital product design (such as social media and short video platforms), this model has been gradually introduced into the field of education in recent years to construct a closed-loop of sustainable autonomous learning behaviors</w:t>
      </w:r>
      <w:r>
        <w:rPr>
          <w:rStyle w:val="7"/>
          <w:rFonts w:hint="eastAsia"/>
        </w:rPr>
        <w:footnoteReference w:id="7"/>
      </w:r>
      <w:r>
        <w:rPr>
          <w:rFonts w:hint="eastAsia"/>
        </w:rPr>
        <w:t>.</w:t>
      </w:r>
    </w:p>
    <w:p w14:paraId="225BE6D4">
      <w:pPr>
        <w:bidi w:val="0"/>
        <w:rPr>
          <w:rFonts w:hint="eastAsia"/>
        </w:rPr>
      </w:pPr>
    </w:p>
    <w:p w14:paraId="55D8CDF7">
      <w:pPr>
        <w:bidi w:val="0"/>
        <w:rPr>
          <w:rFonts w:hint="eastAsia"/>
        </w:rPr>
      </w:pPr>
      <w:r>
        <w:rPr>
          <w:rFonts w:hint="eastAsia"/>
        </w:rPr>
        <w:t xml:space="preserve">In an educational context, "Triggers" can come from task reminders pushed by teachers or system notifications; "Action" refers to students completing a small but achievable learning task (e.g., mastering a unit of knowledge); "Variable Rewards" provide unpredictable positive feedback—enhancing dopamine-driven engagement—through random badges, surprise points, or peer likes; and the "Investment" phase encourages students to increase sunk costs through personalization, content creation, or progress accumulation, thereby enhancing long-term retention willingness </w:t>
      </w:r>
      <w:r>
        <w:rPr>
          <w:rStyle w:val="7"/>
          <w:rFonts w:hint="eastAsia"/>
        </w:rPr>
        <w:footnoteReference w:id="8"/>
      </w:r>
      <w:r>
        <w:rPr>
          <w:rFonts w:hint="eastAsia"/>
        </w:rPr>
        <w:t xml:space="preserve">. Preliminary studies indicate that learning applications designed based on the Hook Model can effectively improve students' daily active rates and task completion rates </w:t>
      </w:r>
      <w:r>
        <w:rPr>
          <w:rStyle w:val="7"/>
          <w:rFonts w:hint="eastAsia"/>
        </w:rPr>
        <w:footnoteReference w:id="9"/>
      </w:r>
      <w:r>
        <w:rPr>
          <w:rFonts w:hint="eastAsia"/>
        </w:rPr>
        <w:t>. However, its systematic integration into formal classroom teaching is still in the exploratory stage.</w:t>
      </w:r>
    </w:p>
    <w:p w14:paraId="756CD0E4">
      <w:pPr>
        <w:bidi w:val="0"/>
        <w:rPr>
          <w:rFonts w:hint="eastAsia"/>
        </w:rPr>
      </w:pPr>
    </w:p>
    <w:p w14:paraId="421718C9">
      <w:pPr>
        <w:pStyle w:val="3"/>
        <w:bidi w:val="0"/>
        <w:rPr>
          <w:rFonts w:hint="eastAsia"/>
        </w:rPr>
      </w:pPr>
      <w:r>
        <w:rPr>
          <w:rFonts w:hint="eastAsia"/>
        </w:rPr>
        <w:t xml:space="preserve"> 2.3 The Psychological Mechanism of FOMO and Its Impact on Learning Behavior</w:t>
      </w:r>
    </w:p>
    <w:p w14:paraId="3056C424">
      <w:pPr>
        <w:bidi w:val="0"/>
        <w:rPr>
          <w:rFonts w:hint="eastAsia"/>
        </w:rPr>
      </w:pPr>
      <w:r>
        <w:rPr>
          <w:rFonts w:hint="eastAsia"/>
        </w:rPr>
        <w:t>FOMO (Fear of Missing Out) refers to the anxiety individuals feel due to concerns about missing out on valuable experiences others are currently having</w:t>
      </w:r>
      <w:r>
        <w:rPr>
          <w:rStyle w:val="7"/>
          <w:rFonts w:hint="eastAsia"/>
        </w:rPr>
        <w:footnoteReference w:id="10"/>
      </w:r>
      <w:r>
        <w:rPr>
          <w:rFonts w:hint="eastAsia"/>
        </w:rPr>
        <w:t>. This psychological phenomenon is particularly common among adolescents, closely related to their strong social needs and unstable self-identity.</w:t>
      </w:r>
    </w:p>
    <w:p w14:paraId="17FF6CB3">
      <w:pPr>
        <w:bidi w:val="0"/>
        <w:rPr>
          <w:rFonts w:hint="eastAsia"/>
        </w:rPr>
      </w:pPr>
    </w:p>
    <w:p w14:paraId="2ABEEC88">
      <w:pPr>
        <w:bidi w:val="0"/>
        <w:rPr>
          <w:rFonts w:hint="eastAsia"/>
        </w:rPr>
      </w:pPr>
      <w:r>
        <w:rPr>
          <w:rFonts w:hint="eastAsia"/>
        </w:rPr>
        <w:t xml:space="preserve">In educational scenarios, FOMO can be activated through various gamification mechanisms: for example, time-limited challenges ("Only 2 hours left for today's task"), real-time leaderboards ("You are 3 places behind your friend"), and class progress visualization ("85% of the class has completed it"). These mechanisms create a sense of scarcity and social comparison pressure, thereby stimulating a sense of urgency and competitive awareness (Al-Rahmi et al., 2019). Empirical studies have found that the moderate use of FOMO can significantly increase student login frequency, task response speed, and collaborative participation </w:t>
      </w:r>
      <w:r>
        <w:rPr>
          <w:rStyle w:val="7"/>
          <w:rFonts w:hint="eastAsia"/>
        </w:rPr>
        <w:footnoteReference w:id="11"/>
      </w:r>
      <w:r>
        <w:rPr>
          <w:rFonts w:hint="eastAsia"/>
        </w:rPr>
        <w:t xml:space="preserve">. However, over-reliance on FOMO may also trigger anxiety, burnout, or even cheating behaviors </w:t>
      </w:r>
      <w:r>
        <w:rPr>
          <w:rStyle w:val="7"/>
          <w:rFonts w:hint="eastAsia"/>
        </w:rPr>
        <w:footnoteReference w:id="12"/>
      </w:r>
      <w:r>
        <w:rPr>
          <w:rFonts w:hint="eastAsia"/>
        </w:rPr>
        <w:t>. Therefore, a balance must be struck between incentive intensity and psychological safety.</w:t>
      </w:r>
    </w:p>
    <w:p w14:paraId="3FAD811A">
      <w:pPr>
        <w:bidi w:val="0"/>
        <w:rPr>
          <w:rFonts w:hint="eastAsia"/>
        </w:rPr>
      </w:pPr>
    </w:p>
    <w:p w14:paraId="468B6095">
      <w:pPr>
        <w:pStyle w:val="3"/>
        <w:bidi w:val="0"/>
        <w:rPr>
          <w:rFonts w:hint="eastAsia"/>
        </w:rPr>
      </w:pPr>
      <w:r>
        <w:rPr>
          <w:rFonts w:hint="eastAsia"/>
        </w:rPr>
        <w:t>2.4 Limitations of Existing Research</w:t>
      </w:r>
    </w:p>
    <w:p w14:paraId="0DCC19A8">
      <w:pPr>
        <w:bidi w:val="0"/>
        <w:rPr>
          <w:rFonts w:hint="eastAsia"/>
        </w:rPr>
      </w:pPr>
      <w:r>
        <w:rPr>
          <w:rFonts w:hint="eastAsia"/>
        </w:rPr>
        <w:t>Although gamification in education has accumulated a certain amount of research results, there are still several limitations in its theoretical construction and practical application that require systematic reflection and breakthroughs.</w:t>
      </w:r>
    </w:p>
    <w:p w14:paraId="6CF4733E">
      <w:pPr>
        <w:bidi w:val="0"/>
        <w:rPr>
          <w:rFonts w:hint="eastAsia"/>
        </w:rPr>
      </w:pPr>
    </w:p>
    <w:p w14:paraId="4C1EC47A">
      <w:pPr>
        <w:bidi w:val="0"/>
        <w:rPr>
          <w:rFonts w:hint="eastAsia"/>
        </w:rPr>
      </w:pPr>
      <w:r>
        <w:rPr>
          <w:rFonts w:hint="eastAsia"/>
          <w:b/>
          <w:bCs/>
        </w:rPr>
        <w:t>First, insufficient theoretical integration and fragmented mechanistic explanations.</w:t>
      </w:r>
      <w:r>
        <w:rPr>
          <w:rFonts w:hint="default"/>
          <w:b/>
          <w:bCs/>
        </w:rPr>
        <w:t xml:space="preserve"> </w:t>
      </w:r>
      <w:r>
        <w:rPr>
          <w:rFonts w:hint="eastAsia"/>
        </w:rPr>
        <w:t xml:space="preserve">Most current studies tend to isolate the short-term impact of a single game element (e.g., points or leaderboards) on learning motivation, lacking an integrated framework for the synergistic effects of multiple psychological mechanisms. For instance, while the Hook Model emphasizes the cyclical path of habit formation and FOMO focuses on emotion-driven social comparison, Self-Determination Theory </w:t>
      </w:r>
      <w:r>
        <w:rPr>
          <w:rStyle w:val="7"/>
          <w:rFonts w:hint="eastAsia"/>
        </w:rPr>
        <w:footnoteReference w:id="13"/>
      </w:r>
      <w:r>
        <w:rPr>
          <w:rFonts w:hint="eastAsia"/>
        </w:rPr>
        <w:t>addresses the sources of intrinsic motivation such as autonomy, competence, and relatedness. However, few studies have organically integrated these theories to explore how they interact or conflict in real learning situations (Koivisto &amp; Hamari, 2019). This "single-point breakthrough, overall fragmentation" research paradigm makes it difficult to reveal the deep causal chains of how gamification affects learning behavior.</w:t>
      </w:r>
    </w:p>
    <w:p w14:paraId="35E97F34">
      <w:pPr>
        <w:bidi w:val="0"/>
        <w:rPr>
          <w:rFonts w:hint="eastAsia"/>
        </w:rPr>
      </w:pPr>
    </w:p>
    <w:p w14:paraId="65FB22C5">
      <w:pPr>
        <w:bidi w:val="0"/>
        <w:rPr>
          <w:rFonts w:hint="eastAsia"/>
        </w:rPr>
      </w:pPr>
      <w:r>
        <w:rPr>
          <w:rFonts w:hint="eastAsia"/>
          <w:b/>
          <w:bCs/>
        </w:rPr>
        <w:t>Second, the cognitive dimension is marginalized, emphasizing motivation over memory.</w:t>
      </w:r>
      <w:r>
        <w:rPr>
          <w:rFonts w:hint="eastAsia"/>
        </w:rPr>
        <w:t xml:space="preserve"> Many gamification designs overemphasize</w:t>
      </w:r>
      <w:r>
        <w:rPr>
          <w:rFonts w:hint="default"/>
        </w:rPr>
        <w:t xml:space="preserve"> </w:t>
      </w:r>
      <w:r>
        <w:rPr>
          <w:rFonts w:hint="eastAsia"/>
        </w:rPr>
        <w:t>interest and extrinsic incentives while neglecting integration with cognitive science principles, particularly memory laws. For example, the Ebbinghaus Forgetting Curve clearly indicates that new knowledge will decay rapidly if not reviewed at critical intervals (e.g., 5 minutes, 1 day, or 3 days later)</w:t>
      </w:r>
      <w:r>
        <w:rPr>
          <w:rStyle w:val="7"/>
          <w:rFonts w:hint="eastAsia"/>
        </w:rPr>
        <w:footnoteReference w:id="14"/>
      </w:r>
      <w:r>
        <w:rPr>
          <w:rFonts w:hint="eastAsia"/>
        </w:rPr>
        <w:t xml:space="preserve">. However, most current educational games or applications fail to embed efficient memory strategies—such as spaced repetition and retrieval practice—into their game mechanics. This results in students "having fun" without a significant improvement in knowledge retention </w:t>
      </w:r>
      <w:r>
        <w:rPr>
          <w:rStyle w:val="7"/>
          <w:rFonts w:hint="eastAsia"/>
        </w:rPr>
        <w:footnoteReference w:id="15"/>
      </w:r>
      <w:r>
        <w:rPr>
          <w:rFonts w:hint="eastAsia"/>
        </w:rPr>
        <w:t>. This "motivation-cognition disconnection" prevents gamification from transforming from "attracting participation" to "promoting mastery."</w:t>
      </w:r>
    </w:p>
    <w:p w14:paraId="43CDCA10">
      <w:pPr>
        <w:bidi w:val="0"/>
        <w:rPr>
          <w:rFonts w:hint="eastAsia"/>
        </w:rPr>
      </w:pPr>
    </w:p>
    <w:p w14:paraId="37E522AC">
      <w:pPr>
        <w:bidi w:val="0"/>
        <w:rPr>
          <w:rFonts w:hint="eastAsia"/>
        </w:rPr>
      </w:pPr>
      <w:r>
        <w:rPr>
          <w:rFonts w:hint="eastAsia"/>
          <w:b/>
          <w:bCs/>
        </w:rPr>
        <w:t xml:space="preserve">Third, inconsistent empirical research quality and limited ecological validity. </w:t>
      </w:r>
      <w:r>
        <w:rPr>
          <w:rFonts w:hint="eastAsia"/>
        </w:rPr>
        <w:t xml:space="preserve">Existing empirical studies often rely on small samples and short-term experimental or quasi-experimental designs, frequently conducted in highly controlled laboratory environments or MOOC platforms </w:t>
      </w:r>
      <w:r>
        <w:rPr>
          <w:rStyle w:val="7"/>
          <w:rFonts w:hint="eastAsia"/>
        </w:rPr>
        <w:footnoteReference w:id="16"/>
      </w:r>
      <w:r>
        <w:rPr>
          <w:rFonts w:hint="eastAsia"/>
        </w:rPr>
        <w:t xml:space="preserve">. While such settings facilitate variable control, they fail to reflect the complex teaching interactions, teacher-student relationships, and curriculum constraints present in K-12 classrooms. Furthermore, measurement indicators are often concentrated on subjective questionnaires (e.g., interest, satisfaction) or simple behavioral data (e.g., click counts, number of tasks completed), lacking longitudinal assessments of higher-order cognitive abilities (e.g., transfer application, critical thinking) or long-term knowledge retention </w:t>
      </w:r>
      <w:r>
        <w:rPr>
          <w:rStyle w:val="7"/>
          <w:rFonts w:hint="eastAsia"/>
        </w:rPr>
        <w:footnoteReference w:id="17"/>
      </w:r>
      <w:r>
        <w:rPr>
          <w:rFonts w:hint="eastAsia"/>
        </w:rPr>
        <w:t>. Consequently, the external validity and educational utility of many conclusions are questionable.</w:t>
      </w:r>
    </w:p>
    <w:p w14:paraId="379A5954">
      <w:pPr>
        <w:bidi w:val="0"/>
        <w:rPr>
          <w:rFonts w:hint="eastAsia"/>
        </w:rPr>
      </w:pPr>
    </w:p>
    <w:p w14:paraId="37A8FB55">
      <w:pPr>
        <w:bidi w:val="0"/>
        <w:rPr>
          <w:rFonts w:hint="eastAsia"/>
        </w:rPr>
      </w:pPr>
      <w:r>
        <w:rPr>
          <w:rFonts w:hint="eastAsia"/>
          <w:b/>
          <w:bCs/>
        </w:rPr>
        <w:t>Fourth, homogeneous application scenarios and a lack of discipline-specific adaptive design.</w:t>
      </w:r>
      <w:r>
        <w:rPr>
          <w:rFonts w:hint="default"/>
          <w:b/>
          <w:bCs/>
        </w:rPr>
        <w:t xml:space="preserve"> </w:t>
      </w:r>
      <w:r>
        <w:rPr>
          <w:rFonts w:hint="eastAsia"/>
        </w:rPr>
        <w:t>Current gamification research is mostly concentrated in highly structured fields such as programming, mathematics, and general skill training, while exploration in humanities disciplines such as language and history remains relatively weak . Particularly for tasks like middle school English vocabulary acquisition—which heavily relies on repetitive memorization and contextual understanding—existing gamification solutions often apply generic templates (e.g., word level-up + point rewards). They fail to conduct refined mechanism designs tailored to the staged characteristics of vocabulary acquisition (e.g., form-sound-meaning association, collocation use, pragmatic transfer). This "one-size-fits-all" application weakens the adaptability and effectiveness of gamification across different disciplines.</w:t>
      </w:r>
    </w:p>
    <w:p w14:paraId="09A505FE">
      <w:pPr>
        <w:bidi w:val="0"/>
        <w:rPr>
          <w:rFonts w:hint="eastAsia"/>
        </w:rPr>
      </w:pPr>
    </w:p>
    <w:p w14:paraId="6E5BC21E">
      <w:pPr>
        <w:bidi w:val="0"/>
        <w:rPr>
          <w:rFonts w:hint="eastAsia"/>
        </w:rPr>
      </w:pPr>
      <w:r>
        <w:rPr>
          <w:rFonts w:hint="eastAsia"/>
          <w:b/>
          <w:bCs/>
        </w:rPr>
        <w:t>Fifth, insufficient attention to technological ethics and psychological risks.</w:t>
      </w:r>
      <w:r>
        <w:rPr>
          <w:rFonts w:hint="eastAsia"/>
        </w:rPr>
        <w:t xml:space="preserve"> With the widespread adoption of mechanisms such as FOMO and competitive rankings, their potential negative impacts—such as increased anxiety, strained peer relationships, and learning instrumentalization—have not been sufficiently discussed </w:t>
      </w:r>
      <w:r>
        <w:rPr>
          <w:rStyle w:val="7"/>
          <w:rFonts w:hint="eastAsia"/>
        </w:rPr>
        <w:footnoteReference w:id="18"/>
      </w:r>
      <w:r>
        <w:rPr>
          <w:rFonts w:hint="eastAsia"/>
        </w:rPr>
        <w:t xml:space="preserve">. Especially among adolescents, over-reliance on external comparison may damage their self-efficacy and intrinsic value identification with learning </w:t>
      </w:r>
      <w:r>
        <w:rPr>
          <w:rStyle w:val="7"/>
          <w:rFonts w:hint="eastAsia"/>
        </w:rPr>
        <w:footnoteReference w:id="19"/>
      </w:r>
      <w:r>
        <w:rPr>
          <w:rFonts w:hint="eastAsia"/>
        </w:rPr>
        <w:t>. Additionally, technological ethical issues such as data privacy, algorithmic bias, and the digital divide are often overlooked in educational gamification products. There is an urgent need to establish design guidelines and evaluation standards with greater humanistic care.</w:t>
      </w:r>
    </w:p>
    <w:p w14:paraId="473577B0">
      <w:pPr>
        <w:bidi w:val="0"/>
        <w:rPr>
          <w:rFonts w:hint="eastAsia"/>
        </w:rPr>
      </w:pPr>
    </w:p>
    <w:p w14:paraId="0977F2D4">
      <w:pPr>
        <w:bidi w:val="0"/>
      </w:pPr>
      <w:r>
        <w:rPr>
          <w:rFonts w:hint="eastAsia"/>
        </w:rPr>
        <w:t>In summary, while current research on gamification in education has achieved initial success in stimulating interest, there are still obvious shortcomings in theoretical depth, cognitive integration, empirical rigor, disciplinary adaptability, and ethical considerations. Future research urgently needs to construct an integrated model combining "Motivation-Cognition-Emotion-Behavior" and promote gamification from "superficial liveliness" to "deep effectiveness" through long-term, real-world, and multi-dimensional teaching experiments.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黑体-简">
    <w:panose1 w:val="02010609060101010101"/>
    <w:charset w:val="86"/>
    <w:family w:val="auto"/>
    <w:pitch w:val="default"/>
    <w:sig w:usb0="A00002BF" w:usb1="3ACF7CFA" w:usb2="00000016" w:usb3="00000000" w:csb0="00040001" w:csb1="00000000"/>
  </w:font>
  <w:font w:name="FTToken">
    <w:panose1 w:val="05000000000000000000"/>
    <w:charset w:val="00"/>
    <w:family w:val="auto"/>
    <w:pitch w:val="default"/>
    <w:sig w:usb0="00000000" w:usb1="1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等线">
    <w:altName w:val="方正等线-简"/>
    <w:panose1 w:val="00000000000000000000"/>
    <w:charset w:val="00"/>
    <w:family w:val="auto"/>
    <w:pitch w:val="default"/>
    <w:sig w:usb0="00000000" w:usb1="00000000" w:usb2="00000000" w:usb3="00000000" w:csb0="00000000" w:csb1="00000000"/>
  </w:font>
  <w:font w:name="方正雅意黑 GB18030L2 R">
    <w:panose1 w:val="02000500000000000000"/>
    <w:charset w:val="86"/>
    <w:family w:val="auto"/>
    <w:pitch w:val="default"/>
    <w:sig w:usb0="E00002FF" w:usb1="38CFFCFB" w:usb2="00000016" w:usb3="00000000" w:csb0="6004019F" w:csb1="DFD70000"/>
  </w:font>
  <w:font w:name="方正等线-简">
    <w:panose1 w:val="02000500000000000000"/>
    <w:charset w:val="86"/>
    <w:family w:val="auto"/>
    <w:pitch w:val="default"/>
    <w:sig w:usb0="A10102FF" w:usb1="38CF7CFB" w:usb2="0001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0">
    <w:p>
      <w:r>
        <w:separator/>
      </w:r>
    </w:p>
  </w:footnote>
  <w:footnote w:type="continuationSeparator" w:id="41">
    <w:p>
      <w:r>
        <w:continuationSeparator/>
      </w:r>
    </w:p>
  </w:footnote>
  <w:footnote w:id="0">
    <w:p w14:paraId="073C5A6A">
      <w:pPr>
        <w:pStyle w:val="4"/>
        <w:snapToGrid w:val="0"/>
      </w:pPr>
      <w:r>
        <w:rPr>
          <w:rStyle w:val="7"/>
        </w:rPr>
        <w:footnoteRef/>
      </w:r>
      <w:r>
        <w:t xml:space="preserve"> </w:t>
      </w:r>
      <w:r>
        <w:rPr>
          <w:rFonts w:ascii="Arial" w:hAnsi="Arial" w:eastAsia="等线" w:cs="Arial"/>
          <w:sz w:val="18"/>
          <w:szCs w:val="18"/>
        </w:rPr>
        <w:t xml:space="preserve">Deterding, S., Dixon, D., Khaled, R., &amp; Nacke, L. (2011). From game design elements to gamefulness: Defining "gamification." In </w:t>
      </w:r>
      <w:r>
        <w:rPr>
          <w:rFonts w:ascii="Arial" w:hAnsi="Arial" w:eastAsia="等线" w:cs="Arial"/>
          <w:i/>
          <w:sz w:val="18"/>
          <w:szCs w:val="18"/>
        </w:rPr>
        <w:t>Proceedings of the 15th International Academic MindTrek Conference</w:t>
      </w:r>
      <w:r>
        <w:rPr>
          <w:rFonts w:ascii="Arial" w:hAnsi="Arial" w:eastAsia="等线" w:cs="Arial"/>
          <w:sz w:val="18"/>
          <w:szCs w:val="18"/>
        </w:rPr>
        <w:t xml:space="preserve"> (pp. 9–15). ACM.</w:t>
      </w:r>
    </w:p>
  </w:footnote>
  <w:footnote w:id="1">
    <w:p w14:paraId="70CD5564">
      <w:pPr>
        <w:pStyle w:val="4"/>
        <w:snapToGrid w:val="0"/>
      </w:pPr>
      <w:r>
        <w:rPr>
          <w:rStyle w:val="7"/>
        </w:rPr>
        <w:footnoteRef/>
      </w:r>
      <w:r>
        <w:t xml:space="preserve"> </w:t>
      </w:r>
      <w:r>
        <w:rPr>
          <w:rFonts w:ascii="Arial" w:hAnsi="Arial" w:eastAsia="等线" w:cs="Arial"/>
          <w:sz w:val="18"/>
          <w:szCs w:val="18"/>
        </w:rPr>
        <w:t xml:space="preserve">Kapp, K. M. (2012). </w:t>
      </w:r>
      <w:r>
        <w:rPr>
          <w:rFonts w:ascii="Arial" w:hAnsi="Arial" w:eastAsia="等线" w:cs="Arial"/>
          <w:i/>
          <w:sz w:val="18"/>
          <w:szCs w:val="18"/>
        </w:rPr>
        <w:t>The gamification of learning and instruction: Game-based methods and strategies for training and education</w:t>
      </w:r>
      <w:r>
        <w:rPr>
          <w:rFonts w:ascii="Arial" w:hAnsi="Arial" w:eastAsia="等线" w:cs="Arial"/>
          <w:sz w:val="18"/>
          <w:szCs w:val="18"/>
        </w:rPr>
        <w:t>. Pfeiffer.</w:t>
      </w:r>
    </w:p>
  </w:footnote>
  <w:footnote w:id="2">
    <w:p w14:paraId="4250EB53">
      <w:pPr>
        <w:pStyle w:val="4"/>
        <w:snapToGrid w:val="0"/>
        <w:spacing w:line="240" w:lineRule="auto"/>
      </w:pPr>
      <w:r>
        <w:rPr>
          <w:rStyle w:val="7"/>
        </w:rPr>
        <w:footnoteRef/>
      </w:r>
      <w:r>
        <w:t xml:space="preserve"> </w:t>
      </w:r>
      <w:r>
        <w:rPr>
          <w:rFonts w:ascii="Arial" w:hAnsi="Arial" w:eastAsia="等线" w:cs="Arial"/>
          <w:sz w:val="18"/>
          <w:szCs w:val="18"/>
        </w:rPr>
        <w:t xml:space="preserve">Hamari, J., Koivisto, J., &amp; Sarsa, H. (2014). Does gamification work?—A literature review of empirical studies on gamification. In </w:t>
      </w:r>
      <w:r>
        <w:rPr>
          <w:rFonts w:ascii="Arial" w:hAnsi="Arial" w:eastAsia="等线" w:cs="Arial"/>
          <w:i/>
          <w:sz w:val="18"/>
          <w:szCs w:val="18"/>
        </w:rPr>
        <w:t>Proceedings of the 47th Hawaii International Conference on System Sciences</w:t>
      </w:r>
      <w:r>
        <w:rPr>
          <w:rFonts w:ascii="Arial" w:hAnsi="Arial" w:eastAsia="等线" w:cs="Arial"/>
          <w:sz w:val="18"/>
          <w:szCs w:val="18"/>
        </w:rPr>
        <w:t xml:space="preserve"> (pp. 3025–3034). IEEE</w:t>
      </w:r>
    </w:p>
  </w:footnote>
  <w:footnote w:id="3">
    <w:p w14:paraId="24EDD5F3">
      <w:pPr>
        <w:pStyle w:val="4"/>
        <w:snapToGrid w:val="0"/>
        <w:rPr>
          <w:sz w:val="18"/>
          <w:szCs w:val="18"/>
        </w:rPr>
      </w:pPr>
      <w:r>
        <w:rPr>
          <w:rStyle w:val="7"/>
        </w:rPr>
        <w:footnoteRef/>
      </w:r>
      <w:r>
        <w:t xml:space="preserve"> </w:t>
      </w:r>
      <w:r>
        <w:rPr>
          <w:rFonts w:ascii="Arial" w:hAnsi="Arial" w:eastAsia="等线" w:cs="Arial"/>
          <w:sz w:val="18"/>
          <w:szCs w:val="18"/>
        </w:rPr>
        <w:t xml:space="preserve">Sailer, M., &amp; Homner, L. (2020). The gamification of learning: A meta-analysis. </w:t>
      </w:r>
      <w:r>
        <w:rPr>
          <w:rFonts w:ascii="Arial" w:hAnsi="Arial" w:eastAsia="等线" w:cs="Arial"/>
          <w:i/>
          <w:sz w:val="18"/>
          <w:szCs w:val="18"/>
        </w:rPr>
        <w:t>Educational Research Review</w:t>
      </w:r>
      <w:r>
        <w:rPr>
          <w:rFonts w:ascii="Arial" w:hAnsi="Arial" w:eastAsia="等线" w:cs="Arial"/>
          <w:sz w:val="18"/>
          <w:szCs w:val="18"/>
        </w:rPr>
        <w:t xml:space="preserve">, </w:t>
      </w:r>
      <w:r>
        <w:rPr>
          <w:rFonts w:ascii="Arial" w:hAnsi="Arial" w:eastAsia="等线" w:cs="Arial"/>
          <w:i/>
          <w:sz w:val="18"/>
          <w:szCs w:val="18"/>
        </w:rPr>
        <w:t>30</w:t>
      </w:r>
      <w:r>
        <w:rPr>
          <w:rFonts w:ascii="Arial" w:hAnsi="Arial" w:eastAsia="等线" w:cs="Arial"/>
          <w:sz w:val="18"/>
          <w:szCs w:val="18"/>
        </w:rPr>
        <w:t xml:space="preserve">, 100322. </w:t>
      </w:r>
    </w:p>
  </w:footnote>
  <w:footnote w:id="4">
    <w:p w14:paraId="41FE73EC">
      <w:pPr>
        <w:pStyle w:val="4"/>
        <w:snapToGrid w:val="0"/>
        <w:spacing w:line="240" w:lineRule="auto"/>
        <w:rPr>
          <w:sz w:val="18"/>
          <w:szCs w:val="18"/>
        </w:rPr>
      </w:pPr>
      <w:r>
        <w:rPr>
          <w:rStyle w:val="7"/>
        </w:rPr>
        <w:footnoteRef/>
      </w:r>
      <w:r>
        <w:rPr>
          <w:sz w:val="18"/>
          <w:szCs w:val="18"/>
        </w:rPr>
        <w:t xml:space="preserve"> </w:t>
      </w:r>
      <w:r>
        <w:rPr>
          <w:rFonts w:ascii="Arial" w:hAnsi="Arial" w:eastAsia="等线" w:cs="Arial"/>
          <w:sz w:val="18"/>
          <w:szCs w:val="18"/>
        </w:rPr>
        <w:t xml:space="preserve">Landers, R. N. (2014). Developing a theory of gamified learning: Linking serious games and gamification of learning. </w:t>
      </w:r>
      <w:r>
        <w:rPr>
          <w:rFonts w:ascii="Arial" w:hAnsi="Arial" w:eastAsia="等线" w:cs="Arial"/>
          <w:i/>
          <w:sz w:val="18"/>
          <w:szCs w:val="18"/>
        </w:rPr>
        <w:t>Simulation &amp; Gaming</w:t>
      </w:r>
      <w:r>
        <w:rPr>
          <w:rFonts w:ascii="Arial" w:hAnsi="Arial" w:eastAsia="等线" w:cs="Arial"/>
          <w:sz w:val="18"/>
          <w:szCs w:val="18"/>
        </w:rPr>
        <w:t xml:space="preserve">, </w:t>
      </w:r>
      <w:r>
        <w:rPr>
          <w:rFonts w:ascii="Arial" w:hAnsi="Arial" w:eastAsia="等线" w:cs="Arial"/>
          <w:i/>
          <w:sz w:val="18"/>
          <w:szCs w:val="18"/>
        </w:rPr>
        <w:t>45</w:t>
      </w:r>
      <w:r>
        <w:rPr>
          <w:rFonts w:ascii="Arial" w:hAnsi="Arial" w:eastAsia="等线" w:cs="Arial"/>
          <w:sz w:val="18"/>
          <w:szCs w:val="18"/>
        </w:rPr>
        <w:t>(6), 752–768.</w:t>
      </w:r>
    </w:p>
  </w:footnote>
  <w:footnote w:id="5">
    <w:p w14:paraId="7E7F1642">
      <w:pPr>
        <w:pStyle w:val="4"/>
        <w:snapToGrid w:val="0"/>
      </w:pPr>
      <w:r>
        <w:rPr>
          <w:rStyle w:val="7"/>
        </w:rPr>
        <w:footnoteRef/>
      </w:r>
      <w:r>
        <w:t xml:space="preserve"> </w:t>
      </w:r>
      <w:r>
        <w:rPr>
          <w:rFonts w:ascii="Arial" w:hAnsi="Arial" w:eastAsia="等线" w:cs="Arial"/>
          <w:sz w:val="18"/>
          <w:szCs w:val="18"/>
        </w:rPr>
        <w:t xml:space="preserve">de-Marcos, L., Domínguez, A., Saenz-de-Navarrete, J., &amp; Pagés, C. (2014). An empirical study comparing gamification and social networking on e-learning. </w:t>
      </w:r>
      <w:r>
        <w:rPr>
          <w:rFonts w:ascii="Arial" w:hAnsi="Arial" w:eastAsia="等线" w:cs="Arial"/>
          <w:i/>
          <w:sz w:val="18"/>
          <w:szCs w:val="18"/>
        </w:rPr>
        <w:t>Computers &amp; Education</w:t>
      </w:r>
      <w:r>
        <w:rPr>
          <w:rFonts w:ascii="Arial" w:hAnsi="Arial" w:eastAsia="等线" w:cs="Arial"/>
          <w:sz w:val="18"/>
          <w:szCs w:val="18"/>
        </w:rPr>
        <w:t xml:space="preserve">, </w:t>
      </w:r>
      <w:r>
        <w:rPr>
          <w:rFonts w:ascii="Arial" w:hAnsi="Arial" w:eastAsia="等线" w:cs="Arial"/>
          <w:i/>
          <w:sz w:val="18"/>
          <w:szCs w:val="18"/>
        </w:rPr>
        <w:t>75</w:t>
      </w:r>
      <w:r>
        <w:rPr>
          <w:rFonts w:ascii="Arial" w:hAnsi="Arial" w:eastAsia="等线" w:cs="Arial"/>
          <w:sz w:val="18"/>
          <w:szCs w:val="18"/>
        </w:rPr>
        <w:t>, 82–91.</w:t>
      </w:r>
    </w:p>
  </w:footnote>
  <w:footnote w:id="6">
    <w:p w14:paraId="02324AC1">
      <w:pPr>
        <w:bidi w:val="0"/>
        <w:rPr>
          <w:sz w:val="18"/>
          <w:szCs w:val="18"/>
        </w:rPr>
      </w:pPr>
      <w:r>
        <w:rPr>
          <w:rStyle w:val="7"/>
        </w:rPr>
        <w:footnoteRef/>
      </w:r>
      <w:r>
        <w:t xml:space="preserve"> </w:t>
      </w:r>
      <w:r>
        <w:rPr>
          <w:rFonts w:hint="eastAsia"/>
          <w:sz w:val="18"/>
          <w:szCs w:val="18"/>
        </w:rPr>
        <w:t>Eyal, N. (2014). Hooked: How to build habit-forming products. Portfolio.</w:t>
      </w:r>
    </w:p>
  </w:footnote>
  <w:footnote w:id="7">
    <w:p w14:paraId="1A3E12DD">
      <w:pPr>
        <w:pStyle w:val="4"/>
        <w:snapToGrid w:val="0"/>
      </w:pPr>
      <w:r>
        <w:rPr>
          <w:rStyle w:val="7"/>
        </w:rPr>
        <w:footnoteRef/>
      </w:r>
      <w:r>
        <w:t xml:space="preserve"> </w:t>
      </w:r>
      <w:r>
        <w:rPr>
          <w:rFonts w:ascii="Arial" w:hAnsi="Arial" w:eastAsia="等线" w:cs="Arial"/>
          <w:sz w:val="18"/>
          <w:szCs w:val="18"/>
        </w:rPr>
        <w:t xml:space="preserve">Mora, A., Riera, D., &amp; González, C. (2015). Applying the Hook Model to gamified education. In </w:t>
      </w:r>
      <w:r>
        <w:rPr>
          <w:rFonts w:ascii="Arial" w:hAnsi="Arial" w:eastAsia="等线" w:cs="Arial"/>
          <w:i/>
          <w:sz w:val="18"/>
          <w:szCs w:val="18"/>
        </w:rPr>
        <w:t>Proceedings of the 1st International GamiFIN Conference</w:t>
      </w:r>
      <w:r>
        <w:rPr>
          <w:rFonts w:ascii="Arial" w:hAnsi="Arial" w:eastAsia="等线" w:cs="Arial"/>
          <w:sz w:val="18"/>
          <w:szCs w:val="18"/>
        </w:rPr>
        <w:t xml:space="preserve"> (pp. 142–149). University of Tampere.</w:t>
      </w:r>
    </w:p>
  </w:footnote>
  <w:footnote w:id="8">
    <w:p w14:paraId="38300B71">
      <w:pPr>
        <w:pStyle w:val="4"/>
        <w:snapToGrid w:val="0"/>
      </w:pPr>
      <w:r>
        <w:rPr>
          <w:rStyle w:val="7"/>
        </w:rPr>
        <w:footnoteRef/>
      </w:r>
      <w:r>
        <w:t xml:space="preserve"> </w:t>
      </w:r>
      <w:r>
        <w:rPr>
          <w:rFonts w:hint="eastAsia"/>
        </w:rPr>
        <w:t>Eyal, N. (2014). Hooked: How to build habit-forming products. Portfolio.</w:t>
      </w:r>
    </w:p>
  </w:footnote>
  <w:footnote w:id="9">
    <w:p w14:paraId="3EC79391">
      <w:pPr>
        <w:bidi w:val="0"/>
      </w:pPr>
      <w:r>
        <w:rPr>
          <w:rStyle w:val="7"/>
        </w:rPr>
        <w:footnoteRef/>
      </w:r>
      <w:r>
        <w:t xml:space="preserve"> </w:t>
      </w:r>
      <w:r>
        <w:rPr>
          <w:rFonts w:hint="eastAsia"/>
          <w:sz w:val="18"/>
          <w:szCs w:val="18"/>
        </w:rPr>
        <w:t>Chen, Y., &amp; Sun, Y. (2020). Applying the Hook Model to design habit-forming e-learning systems. Journal of Educational Technology &amp; Society, 23(3), 112–125.</w:t>
      </w:r>
    </w:p>
  </w:footnote>
  <w:footnote w:id="10">
    <w:p w14:paraId="42DE2601">
      <w:pPr>
        <w:pStyle w:val="4"/>
        <w:snapToGrid w:val="0"/>
      </w:pPr>
      <w:r>
        <w:rPr>
          <w:rStyle w:val="7"/>
        </w:rPr>
        <w:footnoteRef/>
      </w:r>
      <w:r>
        <w:t xml:space="preserve"> </w:t>
      </w:r>
      <w:r>
        <w:rPr>
          <w:rFonts w:ascii="Arial" w:hAnsi="Arial" w:eastAsia="等线" w:cs="Arial"/>
          <w:sz w:val="18"/>
          <w:szCs w:val="18"/>
        </w:rPr>
        <w:t xml:space="preserve">Przybylski, A. K., Murayama, K., DeHaan, C. R., &amp; Gladwell, V. (2013). Motivational, emotional, and behavioral correlates of fear of missing out. </w:t>
      </w:r>
      <w:r>
        <w:rPr>
          <w:rFonts w:ascii="Arial" w:hAnsi="Arial" w:eastAsia="等线" w:cs="Arial"/>
          <w:i/>
          <w:sz w:val="18"/>
          <w:szCs w:val="18"/>
        </w:rPr>
        <w:t>Computers in Human Behavior</w:t>
      </w:r>
      <w:r>
        <w:rPr>
          <w:rFonts w:ascii="Arial" w:hAnsi="Arial" w:eastAsia="等线" w:cs="Arial"/>
          <w:sz w:val="18"/>
          <w:szCs w:val="18"/>
        </w:rPr>
        <w:t xml:space="preserve">, </w:t>
      </w:r>
      <w:r>
        <w:rPr>
          <w:rFonts w:ascii="Arial" w:hAnsi="Arial" w:eastAsia="等线" w:cs="Arial"/>
          <w:i/>
          <w:sz w:val="18"/>
          <w:szCs w:val="18"/>
        </w:rPr>
        <w:t>29</w:t>
      </w:r>
      <w:r>
        <w:rPr>
          <w:rFonts w:ascii="Arial" w:hAnsi="Arial" w:eastAsia="等线" w:cs="Arial"/>
          <w:sz w:val="18"/>
          <w:szCs w:val="18"/>
        </w:rPr>
        <w:t>(4), 1841–1848.</w:t>
      </w:r>
    </w:p>
  </w:footnote>
  <w:footnote w:id="11">
    <w:p w14:paraId="5A2A06BE">
      <w:pPr>
        <w:pStyle w:val="4"/>
        <w:snapToGrid w:val="0"/>
      </w:pPr>
      <w:r>
        <w:rPr>
          <w:rStyle w:val="7"/>
        </w:rPr>
        <w:footnoteRef/>
      </w:r>
      <w:r>
        <w:t xml:space="preserve"> </w:t>
      </w:r>
      <w:r>
        <w:rPr>
          <w:rFonts w:ascii="Arial" w:hAnsi="Arial" w:eastAsia="等线" w:cs="Arial"/>
          <w:sz w:val="18"/>
          <w:szCs w:val="18"/>
        </w:rPr>
        <w:t xml:space="preserve">Wang, Q., Liu, Y., &amp; Wang, H. (2022). FOMO in educational gamification: Effects on engagement and anxiety. </w:t>
      </w:r>
      <w:r>
        <w:rPr>
          <w:rFonts w:ascii="Arial" w:hAnsi="Arial" w:eastAsia="等线" w:cs="Arial"/>
          <w:i/>
          <w:sz w:val="18"/>
          <w:szCs w:val="18"/>
        </w:rPr>
        <w:t>Computers &amp; Education</w:t>
      </w:r>
      <w:r>
        <w:rPr>
          <w:rFonts w:ascii="Arial" w:hAnsi="Arial" w:eastAsia="等线" w:cs="Arial"/>
          <w:sz w:val="18"/>
          <w:szCs w:val="18"/>
        </w:rPr>
        <w:t xml:space="preserve">, </w:t>
      </w:r>
      <w:r>
        <w:rPr>
          <w:rFonts w:ascii="Arial" w:hAnsi="Arial" w:eastAsia="等线" w:cs="Arial"/>
          <w:i/>
          <w:sz w:val="18"/>
          <w:szCs w:val="18"/>
        </w:rPr>
        <w:t>180</w:t>
      </w:r>
      <w:r>
        <w:rPr>
          <w:rFonts w:ascii="Arial" w:hAnsi="Arial" w:eastAsia="等线" w:cs="Arial"/>
          <w:sz w:val="18"/>
          <w:szCs w:val="18"/>
        </w:rPr>
        <w:t xml:space="preserve">, 104423. </w:t>
      </w:r>
    </w:p>
  </w:footnote>
  <w:footnote w:id="12">
    <w:p w14:paraId="23977D87">
      <w:pPr>
        <w:pStyle w:val="4"/>
        <w:snapToGrid w:val="0"/>
      </w:pPr>
      <w:r>
        <w:rPr>
          <w:rStyle w:val="7"/>
        </w:rPr>
        <w:footnoteRef/>
      </w:r>
      <w:r>
        <w:t xml:space="preserve"> </w:t>
      </w:r>
      <w:r>
        <w:rPr>
          <w:rFonts w:ascii="Arial" w:hAnsi="Arial" w:eastAsia="等线" w:cs="Arial"/>
          <w:sz w:val="18"/>
          <w:szCs w:val="18"/>
        </w:rPr>
        <w:t xml:space="preserve">Buglass, S. L., Binder, J. F., Betts, L. R., &amp; Underwood, J. D. M. (2017). Motivators of online vulnerability: The impact of social network site use and FOMO. </w:t>
      </w:r>
      <w:r>
        <w:rPr>
          <w:rFonts w:ascii="Arial" w:hAnsi="Arial" w:eastAsia="等线" w:cs="Arial"/>
          <w:i/>
          <w:sz w:val="18"/>
          <w:szCs w:val="18"/>
        </w:rPr>
        <w:t>Computers in Human Behavior</w:t>
      </w:r>
      <w:r>
        <w:rPr>
          <w:rFonts w:ascii="Arial" w:hAnsi="Arial" w:eastAsia="等线" w:cs="Arial"/>
          <w:sz w:val="18"/>
          <w:szCs w:val="18"/>
        </w:rPr>
        <w:t xml:space="preserve">, </w:t>
      </w:r>
      <w:r>
        <w:rPr>
          <w:rFonts w:ascii="Arial" w:hAnsi="Arial" w:eastAsia="等线" w:cs="Arial"/>
          <w:i/>
          <w:sz w:val="18"/>
          <w:szCs w:val="18"/>
        </w:rPr>
        <w:t>66</w:t>
      </w:r>
      <w:r>
        <w:rPr>
          <w:rFonts w:ascii="Arial" w:hAnsi="Arial" w:eastAsia="等线" w:cs="Arial"/>
          <w:sz w:val="18"/>
          <w:szCs w:val="18"/>
        </w:rPr>
        <w:t>, 248–255.</w:t>
      </w:r>
    </w:p>
  </w:footnote>
  <w:footnote w:id="13">
    <w:p w14:paraId="07407815">
      <w:pPr>
        <w:pStyle w:val="4"/>
        <w:snapToGrid w:val="0"/>
      </w:pPr>
      <w:r>
        <w:rPr>
          <w:rStyle w:val="7"/>
        </w:rPr>
        <w:footnoteRef/>
      </w:r>
      <w:r>
        <w:t xml:space="preserve"> </w:t>
      </w:r>
      <w:r>
        <w:rPr>
          <w:rFonts w:ascii="Arial" w:hAnsi="Arial" w:eastAsia="等线" w:cs="Arial"/>
          <w:sz w:val="18"/>
          <w:szCs w:val="18"/>
        </w:rPr>
        <w:t xml:space="preserve">Ryan, R. M., &amp; Deci, E. L. (2020). Intrinsic and extrinsic motivation from a self-determination theory perspective: Definitions, theory, practices, and future directions. </w:t>
      </w:r>
      <w:r>
        <w:rPr>
          <w:rFonts w:ascii="Arial" w:hAnsi="Arial" w:eastAsia="等线" w:cs="Arial"/>
          <w:i/>
          <w:sz w:val="18"/>
          <w:szCs w:val="18"/>
        </w:rPr>
        <w:t>Contemporary Educational Psychology</w:t>
      </w:r>
      <w:r>
        <w:rPr>
          <w:rFonts w:ascii="Arial" w:hAnsi="Arial" w:eastAsia="等线" w:cs="Arial"/>
          <w:sz w:val="18"/>
          <w:szCs w:val="18"/>
        </w:rPr>
        <w:t xml:space="preserve">, </w:t>
      </w:r>
      <w:r>
        <w:rPr>
          <w:rFonts w:ascii="Arial" w:hAnsi="Arial" w:eastAsia="等线" w:cs="Arial"/>
          <w:i/>
          <w:sz w:val="18"/>
          <w:szCs w:val="18"/>
        </w:rPr>
        <w:t>61</w:t>
      </w:r>
      <w:r>
        <w:rPr>
          <w:rFonts w:ascii="Arial" w:hAnsi="Arial" w:eastAsia="等线" w:cs="Arial"/>
          <w:sz w:val="18"/>
          <w:szCs w:val="18"/>
        </w:rPr>
        <w:t xml:space="preserve">, 101860. </w:t>
      </w:r>
    </w:p>
  </w:footnote>
  <w:footnote w:id="14">
    <w:p w14:paraId="0AFC8B28">
      <w:pPr>
        <w:pStyle w:val="4"/>
        <w:snapToGrid w:val="0"/>
        <w:rPr>
          <w:sz w:val="18"/>
          <w:szCs w:val="18"/>
        </w:rPr>
      </w:pPr>
      <w:r>
        <w:rPr>
          <w:rStyle w:val="7"/>
        </w:rPr>
        <w:footnoteRef/>
      </w:r>
      <w:r>
        <w:t xml:space="preserve"> </w:t>
      </w:r>
      <w:r>
        <w:rPr>
          <w:rFonts w:ascii="Arial" w:hAnsi="Arial" w:eastAsia="等线" w:cs="Arial"/>
          <w:sz w:val="18"/>
          <w:szCs w:val="18"/>
        </w:rPr>
        <w:t xml:space="preserve">Ebbinghaus, H. (1913). </w:t>
      </w:r>
      <w:r>
        <w:rPr>
          <w:rFonts w:ascii="Arial" w:hAnsi="Arial" w:eastAsia="等线" w:cs="Arial"/>
          <w:i/>
          <w:sz w:val="18"/>
          <w:szCs w:val="18"/>
        </w:rPr>
        <w:t>Memory: A contribution to experimental psychology</w:t>
      </w:r>
      <w:r>
        <w:rPr>
          <w:rFonts w:ascii="Arial" w:hAnsi="Arial" w:eastAsia="等线" w:cs="Arial"/>
          <w:sz w:val="18"/>
          <w:szCs w:val="18"/>
        </w:rPr>
        <w:t xml:space="preserve"> (H. A. Ruger &amp; C. E. Bussenius, Trans.). Teachers College, Columbia University. (Original work published 1885)</w:t>
      </w:r>
    </w:p>
  </w:footnote>
  <w:footnote w:id="15">
    <w:p w14:paraId="2DEDB027">
      <w:pPr>
        <w:pStyle w:val="4"/>
        <w:snapToGrid w:val="0"/>
      </w:pPr>
      <w:r>
        <w:rPr>
          <w:rStyle w:val="7"/>
        </w:rPr>
        <w:footnoteRef/>
      </w:r>
      <w:r>
        <w:t xml:space="preserve"> </w:t>
      </w:r>
      <w:r>
        <w:rPr>
          <w:rFonts w:ascii="Arial" w:hAnsi="Arial" w:eastAsia="等线" w:cs="Arial"/>
          <w:sz w:val="18"/>
          <w:szCs w:val="18"/>
        </w:rPr>
        <w:t xml:space="preserve">Zichermann, G., &amp; Cunningham, C. (2011). </w:t>
      </w:r>
      <w:r>
        <w:rPr>
          <w:rFonts w:ascii="Arial" w:hAnsi="Arial" w:eastAsia="等线" w:cs="Arial"/>
          <w:i/>
          <w:sz w:val="18"/>
          <w:szCs w:val="18"/>
        </w:rPr>
        <w:t>Gamification by design: Implementing game mechanics in web and mobile apps</w:t>
      </w:r>
      <w:r>
        <w:rPr>
          <w:rFonts w:ascii="Arial" w:hAnsi="Arial" w:eastAsia="等线" w:cs="Arial"/>
          <w:sz w:val="18"/>
          <w:szCs w:val="18"/>
        </w:rPr>
        <w:t>. O’Reilly Media.</w:t>
      </w:r>
    </w:p>
  </w:footnote>
  <w:footnote w:id="16">
    <w:p w14:paraId="7D686CA4">
      <w:pPr>
        <w:pStyle w:val="4"/>
        <w:snapToGrid w:val="0"/>
        <w:rPr>
          <w:sz w:val="18"/>
          <w:szCs w:val="18"/>
        </w:rPr>
      </w:pPr>
      <w:r>
        <w:rPr>
          <w:rStyle w:val="7"/>
        </w:rPr>
        <w:footnoteRef/>
      </w:r>
      <w:r>
        <w:t xml:space="preserve"> </w:t>
      </w:r>
      <w:r>
        <w:rPr>
          <w:rFonts w:ascii="Arial" w:hAnsi="Arial" w:eastAsia="等线" w:cs="Arial"/>
          <w:sz w:val="18"/>
          <w:szCs w:val="18"/>
        </w:rPr>
        <w:t xml:space="preserve">Sailer, M., &amp; Homner, L. (2020). The gamification of learning: A meta-analysis. </w:t>
      </w:r>
      <w:r>
        <w:rPr>
          <w:rFonts w:ascii="Arial" w:hAnsi="Arial" w:eastAsia="等线" w:cs="Arial"/>
          <w:i/>
          <w:sz w:val="18"/>
          <w:szCs w:val="18"/>
        </w:rPr>
        <w:t>Educational Research Review</w:t>
      </w:r>
      <w:r>
        <w:rPr>
          <w:rFonts w:ascii="Arial" w:hAnsi="Arial" w:eastAsia="等线" w:cs="Arial"/>
          <w:sz w:val="18"/>
          <w:szCs w:val="18"/>
        </w:rPr>
        <w:t xml:space="preserve">, </w:t>
      </w:r>
      <w:r>
        <w:rPr>
          <w:rFonts w:ascii="Arial" w:hAnsi="Arial" w:eastAsia="等线" w:cs="Arial"/>
          <w:i/>
          <w:sz w:val="18"/>
          <w:szCs w:val="18"/>
        </w:rPr>
        <w:t>30</w:t>
      </w:r>
      <w:r>
        <w:rPr>
          <w:rFonts w:ascii="Arial" w:hAnsi="Arial" w:eastAsia="等线" w:cs="Arial"/>
          <w:sz w:val="18"/>
          <w:szCs w:val="18"/>
        </w:rPr>
        <w:t>, 100322.</w:t>
      </w:r>
    </w:p>
  </w:footnote>
  <w:footnote w:id="17">
    <w:p w14:paraId="24483A27">
      <w:pPr>
        <w:pStyle w:val="4"/>
        <w:snapToGrid w:val="0"/>
        <w:rPr>
          <w:sz w:val="18"/>
          <w:szCs w:val="18"/>
        </w:rPr>
      </w:pPr>
      <w:r>
        <w:rPr>
          <w:rStyle w:val="7"/>
        </w:rPr>
        <w:footnoteRef/>
      </w:r>
      <w:r>
        <w:t xml:space="preserve"> </w:t>
      </w:r>
      <w:r>
        <w:rPr>
          <w:rFonts w:ascii="Arial" w:hAnsi="Arial" w:eastAsia="等线" w:cs="Arial"/>
          <w:sz w:val="18"/>
          <w:szCs w:val="18"/>
        </w:rPr>
        <w:t xml:space="preserve">Landers, R. N. (2014). Developing a theory of gamified learning: Linking serious games and gamification of learning. </w:t>
      </w:r>
      <w:r>
        <w:rPr>
          <w:rFonts w:ascii="Arial" w:hAnsi="Arial" w:eastAsia="等线" w:cs="Arial"/>
          <w:i/>
          <w:sz w:val="18"/>
          <w:szCs w:val="18"/>
        </w:rPr>
        <w:t>Simulation &amp; Gaming</w:t>
      </w:r>
      <w:r>
        <w:rPr>
          <w:rFonts w:ascii="Arial" w:hAnsi="Arial" w:eastAsia="等线" w:cs="Arial"/>
          <w:sz w:val="18"/>
          <w:szCs w:val="18"/>
        </w:rPr>
        <w:t xml:space="preserve">, </w:t>
      </w:r>
      <w:r>
        <w:rPr>
          <w:rFonts w:ascii="Arial" w:hAnsi="Arial" w:eastAsia="等线" w:cs="Arial"/>
          <w:i/>
          <w:sz w:val="18"/>
          <w:szCs w:val="18"/>
        </w:rPr>
        <w:t>45</w:t>
      </w:r>
      <w:r>
        <w:rPr>
          <w:rFonts w:ascii="Arial" w:hAnsi="Arial" w:eastAsia="等线" w:cs="Arial"/>
          <w:sz w:val="18"/>
          <w:szCs w:val="18"/>
        </w:rPr>
        <w:t xml:space="preserve">(6), 752–768. </w:t>
      </w:r>
    </w:p>
  </w:footnote>
  <w:footnote w:id="18">
    <w:p w14:paraId="729E4D90">
      <w:pPr>
        <w:pStyle w:val="4"/>
        <w:snapToGrid w:val="0"/>
        <w:rPr>
          <w:sz w:val="18"/>
          <w:szCs w:val="18"/>
        </w:rPr>
      </w:pPr>
      <w:r>
        <w:rPr>
          <w:rStyle w:val="7"/>
        </w:rPr>
        <w:footnoteRef/>
      </w:r>
      <w:r>
        <w:t xml:space="preserve"> </w:t>
      </w:r>
      <w:r>
        <w:rPr>
          <w:rFonts w:ascii="Arial" w:hAnsi="Arial" w:eastAsia="等线" w:cs="Arial"/>
          <w:sz w:val="18"/>
          <w:szCs w:val="18"/>
        </w:rPr>
        <w:t xml:space="preserve">Wang, Q., Liu, Y., &amp; Wang, H. (2022). FOMO in educational gamification: Effects on engagement and anxiety. </w:t>
      </w:r>
      <w:r>
        <w:rPr>
          <w:rFonts w:ascii="Arial" w:hAnsi="Arial" w:eastAsia="等线" w:cs="Arial"/>
          <w:i/>
          <w:sz w:val="18"/>
          <w:szCs w:val="18"/>
        </w:rPr>
        <w:t>Computers &amp; Education</w:t>
      </w:r>
      <w:r>
        <w:rPr>
          <w:rFonts w:ascii="Arial" w:hAnsi="Arial" w:eastAsia="等线" w:cs="Arial"/>
          <w:sz w:val="18"/>
          <w:szCs w:val="18"/>
        </w:rPr>
        <w:t xml:space="preserve">, </w:t>
      </w:r>
      <w:r>
        <w:rPr>
          <w:rFonts w:ascii="Arial" w:hAnsi="Arial" w:eastAsia="等线" w:cs="Arial"/>
          <w:i/>
          <w:sz w:val="18"/>
          <w:szCs w:val="18"/>
        </w:rPr>
        <w:t>180</w:t>
      </w:r>
      <w:r>
        <w:rPr>
          <w:rFonts w:ascii="Arial" w:hAnsi="Arial" w:eastAsia="等线" w:cs="Arial"/>
          <w:sz w:val="18"/>
          <w:szCs w:val="18"/>
        </w:rPr>
        <w:t xml:space="preserve">, 104423. </w:t>
      </w:r>
    </w:p>
  </w:footnote>
  <w:footnote w:id="19">
    <w:p w14:paraId="79954A89">
      <w:pPr>
        <w:pStyle w:val="4"/>
        <w:snapToGrid w:val="0"/>
      </w:pPr>
      <w:r>
        <w:rPr>
          <w:rStyle w:val="7"/>
        </w:rPr>
        <w:footnoteRef/>
      </w:r>
      <w:r>
        <w:t xml:space="preserve"> </w:t>
      </w:r>
      <w:r>
        <w:rPr>
          <w:rFonts w:ascii="Arial" w:hAnsi="Arial" w:eastAsia="等线" w:cs="Arial"/>
          <w:sz w:val="18"/>
          <w:szCs w:val="18"/>
        </w:rPr>
        <w:t xml:space="preserve">Ryan, R. M., &amp; Deci, E. L. (2020). Intrinsic and extrinsic motivation from a self-determination theory perspective: Definitions, theory, practices, and future directions. </w:t>
      </w:r>
      <w:r>
        <w:rPr>
          <w:rFonts w:ascii="Arial" w:hAnsi="Arial" w:eastAsia="等线" w:cs="Arial"/>
          <w:i/>
          <w:sz w:val="18"/>
          <w:szCs w:val="18"/>
        </w:rPr>
        <w:t>Contemporary Educational Psychology</w:t>
      </w:r>
      <w:r>
        <w:rPr>
          <w:rFonts w:ascii="Arial" w:hAnsi="Arial" w:eastAsia="等线" w:cs="Arial"/>
          <w:sz w:val="18"/>
          <w:szCs w:val="18"/>
        </w:rPr>
        <w:t xml:space="preserve">, </w:t>
      </w:r>
      <w:r>
        <w:rPr>
          <w:rFonts w:ascii="Arial" w:hAnsi="Arial" w:eastAsia="等线" w:cs="Arial"/>
          <w:i/>
          <w:sz w:val="18"/>
          <w:szCs w:val="18"/>
        </w:rPr>
        <w:t>61</w:t>
      </w:r>
      <w:r>
        <w:rPr>
          <w:rFonts w:ascii="Arial" w:hAnsi="Arial" w:eastAsia="等线" w:cs="Arial"/>
          <w:sz w:val="18"/>
          <w:szCs w:val="18"/>
        </w:rPr>
        <w:t>, 101860.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0"/>
    <w:footnote w:id="4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D43FE"/>
    <w:rsid w:val="FFDD4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footnote text"/>
    <w:basedOn w:val="1"/>
    <w:uiPriority w:val="0"/>
    <w:pPr>
      <w:snapToGrid w:val="0"/>
      <w:jc w:val="left"/>
    </w:pPr>
    <w:rPr>
      <w:sz w:val="18"/>
    </w:rPr>
  </w:style>
  <w:style w:type="character" w:styleId="7">
    <w:name w:val="footnote reference"/>
    <w:basedOn w:val="6"/>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Office_12.1.3.24659_F1E327BC-269C-435d-A152-05C5408002CA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2026-01-01T21:07:00Z</dcterms:created>
  <dc:creator>Max</dc:creator>
  <cp:lastModifiedBy>Max</cp:lastModifiedBy>
  <dcterms:modified xsi:type="dcterms:W3CDTF">2026-01-01T23:49:15Z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2052-12.1.3.24659</vt:lpwstr>
  </property>
  <property fmtid="{D5CDD505-2E9C-101B-9397-08002B2CF9AE}" pid="3" name="ICV">
    <vt:lpwstr>6CC9B682D44F608C99715669ADCE2417_41</vt:lpwstr>
  </property>
</Properties>
</file>