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F877F">
      <w:pPr>
        <w:pStyle w:val="2"/>
        <w:bidi w:val="0"/>
        <w:rPr>
          <w:rFonts w:hint="eastAsia"/>
        </w:rPr>
      </w:pPr>
      <w:r>
        <w:rPr>
          <w:rFonts w:hint="eastAsia"/>
        </w:rPr>
        <w:t>Introduction</w:t>
      </w:r>
    </w:p>
    <w:p w14:paraId="00165388">
      <w:pPr>
        <w:rPr>
          <w:rFonts w:hint="eastAsia"/>
        </w:rPr>
      </w:pPr>
    </w:p>
    <w:p w14:paraId="33C501D2">
      <w:pPr>
        <w:rPr>
          <w:rFonts w:hint="eastAsia"/>
        </w:rPr>
      </w:pPr>
      <w:r>
        <w:rPr>
          <w:rFonts w:hint="eastAsia"/>
        </w:rPr>
        <w:t xml:space="preserve">In today's era of information technology sweeping through the educational landscape, traditional teaching models are facing unprecedented challenges. Issues such as shortened student attention spans, insufficient learning motivation, and rapid knowledge forgetting are becoming increasingly prominent, especially in language disciplines that rely heavily on memorization. Taking middle school English vocabulary learning as an example, numerous studies indicate that students generally find repetitive rote memorization tedious and boring, lacking intrinsic drive. This leads to low learning efficiency and even creates a vicious cycle of "learning quickly, forgetting even faster" </w:t>
      </w:r>
      <w:r>
        <w:rPr>
          <w:rStyle w:val="6"/>
          <w:rFonts w:hint="eastAsia"/>
        </w:rPr>
        <w:footnoteReference w:id="0"/>
      </w:r>
      <w:r>
        <w:rPr>
          <w:rFonts w:hint="eastAsia"/>
        </w:rPr>
        <w:t xml:space="preserve">. Although teachers continuously attempt to strengthen memory through dictation and recitation, these methods rely heavily on external supervision and short-term stimulation, making it difficult to cultivate sustainable learning habits </w:t>
      </w:r>
      <w:r>
        <w:rPr>
          <w:rStyle w:val="6"/>
          <w:rFonts w:hint="eastAsia"/>
        </w:rPr>
        <w:footnoteReference w:id="1"/>
      </w:r>
      <w:r>
        <w:rPr>
          <w:rFonts w:hint="eastAsia"/>
        </w:rPr>
        <w:t>. Therefore, how to stimulate students' interest, enhance their willingness to participate actively, and scientifically improve long-term knowledge retention has become a core issue solved in current educational reform.</w:t>
      </w:r>
    </w:p>
    <w:p w14:paraId="7475CE74">
      <w:pPr>
        <w:rPr>
          <w:rFonts w:hint="eastAsia"/>
        </w:rPr>
      </w:pPr>
    </w:p>
    <w:p w14:paraId="0821932E">
      <w:pPr>
        <w:rPr>
          <w:rFonts w:hint="eastAsia"/>
        </w:rPr>
      </w:pPr>
      <w:r>
        <w:rPr>
          <w:rFonts w:hint="eastAsia"/>
        </w:rPr>
        <w:t xml:space="preserve">In recent years, "Gamification in Education" has emerged as a novel teaching strategy, gradually attracting attention from both academia and practitioners. Gamification refers to the application of game design elements (such as points, badges, leaderboards, and task levels) to non-game contexts to enhance user engagement and behavioral stickiness </w:t>
      </w:r>
      <w:r>
        <w:rPr>
          <w:rStyle w:val="6"/>
          <w:rFonts w:hint="eastAsia"/>
        </w:rPr>
        <w:footnoteReference w:id="2"/>
      </w:r>
      <w:r>
        <w:rPr>
          <w:rFonts w:hint="eastAsia"/>
        </w:rPr>
        <w:t xml:space="preserve">. A large body of empirical research confirms that well-designed gamification can effectively improve student motivation, task completion rates, and classroom participation </w:t>
      </w:r>
      <w:r>
        <w:rPr>
          <w:rStyle w:val="6"/>
          <w:rFonts w:hint="eastAsia"/>
        </w:rPr>
        <w:footnoteReference w:id="3"/>
      </w:r>
      <w:r>
        <w:rPr>
          <w:rFonts w:hint="eastAsia"/>
        </w:rPr>
        <w:t xml:space="preserve">. However, many existing gamification practices in education remain superficial, merely introducing reward mechanisms without considering the underlying deep psychological drivers. This often results in "learning for the sake of playing" rather than "playing for the sake of learning," ultimately failing to achieve genuine cognitive engagement and lasting behavioral change </w:t>
      </w:r>
      <w:r>
        <w:rPr>
          <w:rStyle w:val="6"/>
          <w:rFonts w:hint="eastAsia"/>
        </w:rPr>
        <w:footnoteReference w:id="4"/>
      </w:r>
      <w:r>
        <w:rPr>
          <w:rFonts w:hint="eastAsia"/>
        </w:rPr>
        <w:t>.</w:t>
      </w:r>
    </w:p>
    <w:p w14:paraId="700EC0C5">
      <w:pPr>
        <w:rPr>
          <w:rFonts w:hint="eastAsia"/>
        </w:rPr>
      </w:pPr>
    </w:p>
    <w:p w14:paraId="4E8AACAE">
      <w:pPr>
        <w:rPr>
          <w:rFonts w:hint="eastAsia"/>
        </w:rPr>
      </w:pPr>
      <w:r>
        <w:rPr>
          <w:rFonts w:hint="eastAsia"/>
        </w:rPr>
        <w:t>In this context, relevant theories from behavioral psychology and cognitive science offer important insights for deepening gamified learning design. On one hand, Nir Eyal's Hook Model reveals the four-stage path of habit formation: Trigger, Action, Variable Reward, and Investment. This provides a theoretical framework for constructing a closed-loop of sustainable learning behaviors</w:t>
      </w:r>
      <w:r>
        <w:rPr>
          <w:rStyle w:val="6"/>
          <w:rFonts w:hint="eastAsia"/>
        </w:rPr>
        <w:footnoteReference w:id="5"/>
      </w:r>
      <w:r>
        <w:rPr>
          <w:rFonts w:hint="eastAsia"/>
        </w:rPr>
        <w:t xml:space="preserve">. While this model has been widely applied in digital product design, it has recently been gradually transferred to educational settings to promote autonomous learning behaviors </w:t>
      </w:r>
      <w:r>
        <w:rPr>
          <w:rStyle w:val="6"/>
          <w:rFonts w:hint="eastAsia"/>
        </w:rPr>
        <w:footnoteReference w:id="6"/>
      </w:r>
      <w:r>
        <w:rPr>
          <w:rFonts w:hint="eastAsia"/>
        </w:rPr>
        <w:t>. On the other hand, FOMO (Fear of Missing Out), a social psychological phenomenon prevalent among adolescents, can be leveraged through time-limited challenges, real-time rankings, and peer progress notifications to stimulate students' sense of urgency and competitive awareness</w:t>
      </w:r>
      <w:r>
        <w:rPr>
          <w:rStyle w:val="6"/>
          <w:rFonts w:hint="eastAsia"/>
        </w:rPr>
        <w:footnoteReference w:id="7"/>
      </w:r>
      <w:r>
        <w:rPr>
          <w:rFonts w:hint="eastAsia"/>
        </w:rPr>
        <w:t xml:space="preserve">, thereby increasing participation frequency </w:t>
      </w:r>
      <w:r>
        <w:rPr>
          <w:rStyle w:val="6"/>
          <w:rFonts w:hint="eastAsia"/>
        </w:rPr>
        <w:footnoteReference w:id="8"/>
      </w:r>
      <w:r>
        <w:rPr>
          <w:rFonts w:hint="eastAsia"/>
        </w:rPr>
        <w:t>.</w:t>
      </w:r>
    </w:p>
    <w:p w14:paraId="66F5CCAA">
      <w:pPr>
        <w:rPr>
          <w:rFonts w:hint="eastAsia"/>
        </w:rPr>
      </w:pPr>
    </w:p>
    <w:p w14:paraId="7C47F97B">
      <w:r>
        <w:rPr>
          <w:rFonts w:hint="eastAsia"/>
        </w:rPr>
        <w:t>However, there is currently a lack of research that systematically integrates these various psychological mechanisms to build a comprehensive instructional design that balances "motivation activation" with "memory reinforcement." Most studies either prioritize</w:t>
      </w:r>
      <w:r>
        <w:rPr>
          <w:rFonts w:hint="default"/>
        </w:rPr>
        <w:t xml:space="preserve"> </w:t>
      </w:r>
      <w:r>
        <w:rPr>
          <w:rFonts w:hint="eastAsia"/>
        </w:rPr>
        <w:t xml:space="preserve">interest at the expense of cognitive laws or emphasize review efficiency while neglecting emotional experience, failing to achieve the organic unity of being "interesting" and "effective" </w:t>
      </w:r>
      <w:r>
        <w:rPr>
          <w:rStyle w:val="6"/>
          <w:rFonts w:hint="eastAsia"/>
        </w:rPr>
        <w:footnoteReference w:id="9"/>
      </w:r>
      <w:r>
        <w:rPr>
          <w:rFonts w:hint="eastAsia"/>
        </w:rPr>
        <w:t>. Based on this, the present study focuses on the context of middle school English vocabulary teaching. It attempts to construct a gamified learning framework that integrates the Hook Model to drive learning habits, the FOMO mechanism to enhance participation motivation, and the Ebbinghaus Forgetting Curve to guide intelligent review. Through instructional design and preliminary practice, this study explores its feasibility and application value. The research aims to answer: How can the synergistic effects of psychological principles be utilized to design an instructional intervention that not only attracts sustained student participation but also promotes deep knowledge retention? This study not only contributes to enriching the theoretical system of gamified learning but also provides a practical reference for curriculum innovation and technology platform development in smart education environments.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FT Thymes"/>
    <w:panose1 w:val="02020603050405020304"/>
    <w:charset w:val="86"/>
    <w:family w:val="auto"/>
    <w:pitch w:val="default"/>
    <w:sig w:usb0="00000000" w:usb1="00000000" w:usb2="00000009" w:usb3="00000000" w:csb0="400001FF" w:csb1="FFFF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方正雅意黑 GB18030L2 R">
    <w:panose1 w:val="02000500000000000000"/>
    <w:charset w:val="86"/>
    <w:family w:val="auto"/>
    <w:pitch w:val="default"/>
    <w:sig w:usb0="E00002FF" w:usb1="38CFFCFB" w:usb2="00000016" w:usb3="00000000" w:csb0="6004019F" w:csb1="DFD70000"/>
  </w:font>
  <w:font w:name="等线">
    <w:altName w:val="方正等线-简"/>
    <w:panose1 w:val="00000000000000000000"/>
    <w:charset w:val="00"/>
    <w:family w:val="auto"/>
    <w:pitch w:val="default"/>
    <w:sig w:usb0="00000000" w:usb1="00000000" w:usb2="00000000" w:usb3="00000000" w:csb0="00000000" w:csb1="00000000"/>
  </w:font>
  <w:font w:name="方正等线-简">
    <w:panose1 w:val="02000500000000000000"/>
    <w:charset w:val="86"/>
    <w:family w:val="auto"/>
    <w:pitch w:val="default"/>
    <w:sig w:usb0="A10102FF" w:usb1="38CF7CFB" w:usb2="0001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19C62BE8">
      <w:pPr>
        <w:pStyle w:val="3"/>
        <w:snapToGrid w:val="0"/>
        <w:ind w:left="0" w:leftChars="0" w:firstLine="0" w:firstLineChars="0"/>
      </w:pPr>
      <w:r>
        <w:rPr>
          <w:rStyle w:val="6"/>
        </w:rPr>
        <w:footnoteRef/>
      </w:r>
      <w:r>
        <w:t xml:space="preserve"> </w:t>
      </w:r>
      <w:r>
        <w:rPr>
          <w:rFonts w:hint="default" w:ascii="Times New Roman" w:hAnsi="Times New Roman" w:cs="Times New Roman"/>
        </w:rPr>
        <w:t>Nation, I. S. P. (2001). Learning Vocabulary in Another Language. Cambridge University Press</w:t>
      </w:r>
      <w:r>
        <w:rPr>
          <w:rFonts w:hint="eastAsia" w:ascii="Times New Roman" w:hAnsi="Times New Roman" w:cs="Times New Roman"/>
          <w:lang w:val="en-US" w:eastAsia="zh-CN"/>
        </w:rPr>
        <w:t>.</w:t>
      </w:r>
    </w:p>
  </w:footnote>
  <w:footnote w:id="1">
    <w:p w14:paraId="0F7B3FD5">
      <w:pPr>
        <w:pStyle w:val="3"/>
        <w:snapToGrid w:val="0"/>
        <w:ind w:left="0" w:leftChars="0" w:firstLine="0" w:firstLineChars="0"/>
      </w:pPr>
      <w:r>
        <w:rPr>
          <w:rStyle w:val="6"/>
        </w:rPr>
        <w:footnoteRef/>
      </w:r>
      <w:r>
        <w:t xml:space="preserve"> </w:t>
      </w:r>
      <w:r>
        <w:rPr>
          <w:rFonts w:hint="default" w:ascii="Times New Roman" w:hAnsi="Times New Roman" w:cs="Times New Roman"/>
        </w:rPr>
        <w:t>Hattie, J. (2009). Visible Learning: A Synthesis of Over 800 Meta-Analyses Relating to Achievement. Routledge.</w:t>
      </w:r>
    </w:p>
  </w:footnote>
  <w:footnote w:id="2">
    <w:p w14:paraId="271B7CAB">
      <w:pPr>
        <w:pStyle w:val="3"/>
        <w:snapToGrid w:val="0"/>
      </w:pPr>
      <w:r>
        <w:rPr>
          <w:rStyle w:val="6"/>
        </w:rPr>
        <w:footnoteRef/>
      </w:r>
      <w:r>
        <w:t xml:space="preserve"> </w:t>
      </w:r>
      <w:r>
        <w:rPr>
          <w:rFonts w:hint="default" w:ascii="Times New Roman" w:hAnsi="Times New Roman" w:cs="Times New Roman"/>
        </w:rPr>
        <w:t>Deterding, S., et al. (2011). "Gamification: Toward a definition." CHI 2011 Workshop on Gamification.</w:t>
      </w:r>
    </w:p>
  </w:footnote>
  <w:footnote w:id="3">
    <w:p w14:paraId="7964D5CD">
      <w:pPr>
        <w:pStyle w:val="3"/>
        <w:snapToGrid w:val="0"/>
      </w:pPr>
      <w:r>
        <w:rPr>
          <w:rStyle w:val="6"/>
        </w:rPr>
        <w:footnoteRef/>
      </w:r>
      <w:r>
        <w:t xml:space="preserve"> </w:t>
      </w:r>
      <w:r>
        <w:rPr>
          <w:rFonts w:hint="default" w:ascii="Times New Roman" w:hAnsi="Times New Roman" w:cs="Times New Roman"/>
        </w:rPr>
        <w:t>Sailer, M., &amp; Homner, L. (2020). "The gamification of learning: A meta-analysis." Educational Research Review, 30, 100322.</w:t>
      </w:r>
    </w:p>
  </w:footnote>
  <w:footnote w:id="4">
    <w:p w14:paraId="3F3C47D2">
      <w:pPr>
        <w:pStyle w:val="3"/>
        <w:snapToGrid w:val="0"/>
        <w:ind w:left="0" w:leftChars="0" w:firstLine="0" w:firstLineChars="0"/>
      </w:pPr>
      <w:r>
        <w:rPr>
          <w:rStyle w:val="6"/>
        </w:rPr>
        <w:footnoteRef/>
      </w:r>
      <w:r>
        <w:t xml:space="preserve"> </w:t>
      </w:r>
      <w:r>
        <w:rPr>
          <w:rFonts w:hint="default" w:ascii="Times New Roman" w:hAnsi="Times New Roman" w:cs="Times New Roman"/>
        </w:rPr>
        <w:t>Koivisto, J., &amp; Hamari, J. (2019). "The rise of motivational information systems: A review of gamification research." International Journal of Information Management, 45, 191–210.</w:t>
      </w:r>
    </w:p>
  </w:footnote>
  <w:footnote w:id="5">
    <w:p w14:paraId="28ECCADE">
      <w:pPr>
        <w:pStyle w:val="3"/>
        <w:snapToGrid w:val="0"/>
        <w:ind w:left="0" w:leftChars="0" w:firstLine="0" w:firstLineChars="0"/>
      </w:pPr>
      <w:r>
        <w:rPr>
          <w:rStyle w:val="6"/>
        </w:rPr>
        <w:footnoteRef/>
      </w:r>
      <w:r>
        <w:t xml:space="preserve"> </w:t>
      </w:r>
      <w:r>
        <w:rPr>
          <w:rFonts w:hint="default" w:ascii="Times New Roman" w:hAnsi="Times New Roman" w:cs="Times New Roman"/>
        </w:rPr>
        <w:t>Eyal, N. (2014). Hooked: How to Build Habit-Forming Products. Portfolio.</w:t>
      </w:r>
    </w:p>
  </w:footnote>
  <w:footnote w:id="6">
    <w:p w14:paraId="6606F5C8">
      <w:pPr>
        <w:pStyle w:val="3"/>
        <w:snapToGrid w:val="0"/>
      </w:pPr>
      <w:r>
        <w:rPr>
          <w:rStyle w:val="6"/>
        </w:rPr>
        <w:footnoteRef/>
      </w:r>
      <w:r>
        <w:t xml:space="preserve"> </w:t>
      </w:r>
      <w:r>
        <w:rPr>
          <w:rFonts w:hint="default" w:ascii="Times New Roman" w:hAnsi="Times New Roman" w:cs="Times New Roman"/>
        </w:rPr>
        <w:t>Mora, A., Riera, D., &amp; González, C. (2015). "Applying the Hook Model to gamified education." In Proceedings of the 1st International GamiFIN Conference (pp. 142–149).</w:t>
      </w:r>
    </w:p>
  </w:footnote>
  <w:footnote w:id="7">
    <w:p w14:paraId="6027CB31">
      <w:pPr>
        <w:pStyle w:val="3"/>
        <w:snapToGrid w:val="0"/>
        <w:ind w:left="0" w:leftChars="0" w:firstLine="0" w:firstLineChars="0"/>
      </w:pPr>
      <w:r>
        <w:rPr>
          <w:rStyle w:val="6"/>
        </w:rPr>
        <w:footnoteRef/>
      </w:r>
      <w:r>
        <w:t xml:space="preserve"> </w:t>
      </w:r>
      <w:r>
        <w:rPr>
          <w:rFonts w:hint="default" w:ascii="Times New Roman" w:hAnsi="Times New Roman" w:cs="Times New Roman"/>
        </w:rPr>
        <w:t>Przybylski, A. K., et al. (2013). "Motivating social media use: A theoretical review and research agenda." Review of General Psychology, 17(4), 478–487.</w:t>
      </w:r>
    </w:p>
  </w:footnote>
  <w:footnote w:id="8">
    <w:p w14:paraId="006B8C27">
      <w:pPr>
        <w:pStyle w:val="3"/>
        <w:snapToGrid w:val="0"/>
      </w:pPr>
      <w:r>
        <w:rPr>
          <w:rStyle w:val="6"/>
        </w:rPr>
        <w:footnoteRef/>
      </w:r>
      <w:r>
        <w:t xml:space="preserve"> </w:t>
      </w:r>
      <w:r>
        <w:rPr>
          <w:rFonts w:hint="default" w:ascii="Times New Roman" w:hAnsi="Times New Roman" w:cs="Times New Roman"/>
        </w:rPr>
        <w:t>Al-Rahmi, W. M., et al. (2019). "Gamification and FOMO: Exploring the effects on students’ engagement in learning." Interactive Learning Environments, 27(4), 505–517.</w:t>
      </w:r>
    </w:p>
  </w:footnote>
  <w:footnote w:id="9">
    <w:p w14:paraId="2FB9352E">
      <w:pPr>
        <w:pStyle w:val="3"/>
        <w:snapToGrid w:val="0"/>
      </w:pPr>
      <w:r>
        <w:rPr>
          <w:rStyle w:val="6"/>
        </w:rPr>
        <w:footnoteRef/>
      </w:r>
      <w:r>
        <w:t xml:space="preserve"> </w:t>
      </w:r>
      <w:r>
        <w:rPr>
          <w:rFonts w:hint="eastAsia"/>
        </w:rPr>
        <w:t>Zichermann, G., &amp; Cunningham, C. (2011). Gamification by design: Implementing game mechanics in web and mobile apps. O’Reilly Media.</w:t>
      </w:r>
      <w:bookmarkStart w:id="0" w:name="_GoBack"/>
      <w:bookmarkEnd w:id="0"/>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0"/>
    <w:footnote w:id="2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3E635D"/>
    <w:rsid w:val="573E6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footnote text"/>
    <w:basedOn w:val="1"/>
    <w:uiPriority w:val="0"/>
    <w:pPr>
      <w:snapToGrid w:val="0"/>
      <w:jc w:val="left"/>
    </w:pPr>
    <w:rPr>
      <w:sz w:val="18"/>
    </w:rPr>
  </w:style>
  <w:style w:type="character" w:styleId="6">
    <w:name w:val="footnote reference"/>
    <w:basedOn w:val="5"/>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Office_12.1.3.24659_F1E327BC-269C-435d-A152-05C5408002CA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2025-12-31T17:21:00Z</dcterms:created>
  <dc:creator>Max</dc:creator>
  <cp:lastModifiedBy>Max</cp:lastModifiedBy>
  <dcterms:modified xsi:type="dcterms:W3CDTF">2026-01-01T13:33:22Z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2052-12.1.3.24659</vt:lpwstr>
  </property>
  <property fmtid="{D5CDD505-2E9C-101B-9397-08002B2CF9AE}" pid="3" name="ICV">
    <vt:lpwstr>1341640EEE452BB015EB54697B77CC99_41</vt:lpwstr>
  </property>
</Properties>
</file>