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A192A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Game-based Learning: Motivation Activation and Memory Reinforcement</w:t>
      </w:r>
      <w:r>
        <w:rPr>
          <w:rFonts w:hint="default"/>
        </w:rPr>
        <w:t xml:space="preserve"> </w:t>
      </w:r>
      <w:r>
        <w:rPr>
          <w:rFonts w:hint="eastAsia"/>
        </w:rPr>
        <w:t>Teaching Innovation</w:t>
      </w:r>
    </w:p>
    <w:p w14:paraId="016CF581">
      <w:pPr>
        <w:rPr>
          <w:rFonts w:hint="eastAsia"/>
        </w:rPr>
      </w:pPr>
    </w:p>
    <w:p w14:paraId="312EB94D">
      <w:pPr>
        <w:rPr>
          <w:rFonts w:hint="eastAsia"/>
        </w:rPr>
      </w:pPr>
      <w:r>
        <w:rPr>
          <w:rFonts w:hint="eastAsia"/>
          <w:b/>
          <w:bCs/>
        </w:rPr>
        <w:t xml:space="preserve">Abstract: </w:t>
      </w:r>
      <w:r>
        <w:rPr>
          <w:rFonts w:hint="eastAsia"/>
        </w:rPr>
        <w:t>With the advancement of information technology and the increasing scarcity of students' attention resources, how to stimulate learning motivation and enhance knowledge retention has become a critical issue in the field of education. This study focuses on professional course instruction for adolescents, exploring the impact of game-based instructional design—based on psychological mechanisms—on students' learning interest and long-term memory retention. By integrating the Hook behavioral model and the Fear of Missing Out (FOMO) effect, this research constructs a "Motivation-Memory Dual-Drive" game-based learning framework. Two quasi-experiments were conducted in real teaching environments.</w:t>
      </w:r>
      <w:r>
        <w:rPr>
          <w:rFonts w:hint="default"/>
        </w:rPr>
        <w:t xml:space="preserve"> </w:t>
      </w:r>
      <w:r>
        <w:rPr>
          <w:rFonts w:hint="eastAsia"/>
          <w:b/>
          <w:bCs/>
        </w:rPr>
        <w:t>Experiment I</w:t>
      </w:r>
      <w:r>
        <w:rPr>
          <w:rFonts w:hint="default"/>
        </w:rPr>
        <w:t xml:space="preserve"> </w:t>
      </w:r>
      <w:r>
        <w:rPr>
          <w:rFonts w:hint="eastAsia"/>
        </w:rPr>
        <w:t>selected a fourth-grade class (n=33) as the research subject.</w:t>
      </w:r>
      <w:r>
        <w:rPr>
          <w:rFonts w:hint="default"/>
        </w:rPr>
        <w:t xml:space="preserve"> </w:t>
      </w:r>
      <w:r>
        <w:rPr>
          <w:rFonts w:hint="eastAsia"/>
          <w:b/>
          <w:bCs/>
        </w:rPr>
        <w:t>Experiment II</w:t>
      </w:r>
      <w:r>
        <w:rPr>
          <w:rFonts w:hint="eastAsia"/>
        </w:rPr>
        <w:t xml:space="preserve"> selected a sixth-grade class (n=26).</w:t>
      </w:r>
      <w:r>
        <w:rPr>
          <w:rFonts w:hint="default"/>
        </w:rPr>
        <w:t xml:space="preserve"> </w:t>
      </w:r>
      <w:r>
        <w:rPr>
          <w:rFonts w:hint="eastAsia"/>
        </w:rPr>
        <w:t>A prior control experiment was conducted where the control group learned via traditional classroom methods, while the experimental group utilized a self-designed gamified learning system. The system incorporated mechanisms such as daily login rewards, time-limited challenges, and an integrated points-level-badge system. Multisource data—including pre-test and post-test scores, platform behavioral data, and learning interest questionnaires—were analyzed to assess the effectiveness of the teaching intervention.</w:t>
      </w:r>
      <w:r>
        <w:rPr>
          <w:rFonts w:hint="default"/>
        </w:rPr>
        <w:t xml:space="preserve"> </w:t>
      </w:r>
      <w:r>
        <w:rPr>
          <w:rFonts w:hint="eastAsia"/>
        </w:rPr>
        <w:t>The research results indicate that:</w:t>
      </w:r>
      <w:r>
        <w:rPr>
          <w:rFonts w:hint="default"/>
        </w:rPr>
        <w:t xml:space="preserve">(1) </w:t>
      </w:r>
      <w:r>
        <w:rPr>
          <w:rFonts w:hint="eastAsia"/>
        </w:rPr>
        <w:t>The experimental group achieved significantly higher scores in post-tests and delayed retention tests compared to the control group ($p &lt; 0.05$), demonstrating that the integration of spaced repetition memory mechanisms effectively improves long-term knowledge retention.</w:t>
      </w:r>
      <w:r>
        <w:rPr>
          <w:rFonts w:hint="default"/>
        </w:rPr>
        <w:t xml:space="preserve"> </w:t>
      </w:r>
      <w:r>
        <w:rPr>
          <w:rFonts w:hint="default"/>
        </w:rPr>
        <w:t>(</w:t>
      </w:r>
      <w:r>
        <w:rPr>
          <w:rFonts w:hint="default"/>
        </w:rPr>
        <w:t>2</w:t>
      </w:r>
      <w:r>
        <w:rPr>
          <w:rFonts w:hint="default"/>
        </w:rPr>
        <w:t xml:space="preserve">) </w:t>
      </w:r>
      <w:r>
        <w:rPr>
          <w:rFonts w:hint="eastAsia"/>
        </w:rPr>
        <w:t>The experimental group showed significantly increased learning duration, task completion rates, and continuous engagement, verifying the feasibility of the Hook model in establishing learning habits.</w:t>
      </w:r>
      <w:r>
        <w:rPr>
          <w:rFonts w:hint="default"/>
        </w:rPr>
        <w:t xml:space="preserve"> </w:t>
      </w:r>
      <w:r>
        <w:rPr>
          <w:rFonts w:hint="default"/>
        </w:rPr>
        <w:t>(</w:t>
      </w:r>
      <w:r>
        <w:rPr>
          <w:rFonts w:hint="default"/>
        </w:rPr>
        <w:t>3</w:t>
      </w:r>
      <w:r>
        <w:rPr>
          <w:rFonts w:hint="default"/>
        </w:rPr>
        <w:t xml:space="preserve">) </w:t>
      </w:r>
      <w:r>
        <w:rPr>
          <w:rFonts w:hint="eastAsia"/>
        </w:rPr>
        <w:t>FOMO-driven time-limited challenges and leaderboard mechanisms significantly enhanced students' sense of participation urgency and social competitive awareness.</w:t>
      </w:r>
      <w:r>
        <w:rPr>
          <w:rFonts w:hint="default"/>
        </w:rPr>
        <w:t xml:space="preserve"> </w:t>
      </w:r>
      <w:r>
        <w:rPr>
          <w:rFonts w:hint="default"/>
        </w:rPr>
        <w:t>(</w:t>
      </w:r>
      <w:r>
        <w:rPr>
          <w:rFonts w:hint="default"/>
        </w:rPr>
        <w:t>4</w:t>
      </w:r>
      <w:r>
        <w:rPr>
          <w:rFonts w:hint="default"/>
        </w:rPr>
        <w:t xml:space="preserve">) </w:t>
      </w:r>
      <w:r>
        <w:rPr>
          <w:rFonts w:hint="eastAsia"/>
        </w:rPr>
        <w:t>Although external incentives effectively stimulated initial participation, some students exhibited dependence on badges and rankings, suggesting a need to focus on the transition path from extrinsic to intrinsic motivation.</w:t>
      </w:r>
      <w:r>
        <w:rPr>
          <w:rFonts w:hint="default"/>
        </w:rPr>
        <w:t xml:space="preserve"> </w:t>
      </w:r>
      <w:r>
        <w:rPr>
          <w:rFonts w:hint="eastAsia"/>
        </w:rPr>
        <w:t>This study provides theoretical support and practical examples for the design of game-based learning within the context of smart education. It is recommended that future teaching systems, while enhancing</w:t>
      </w:r>
      <w:r>
        <w:rPr>
          <w:rFonts w:hint="default"/>
        </w:rPr>
        <w:t xml:space="preserve"> </w:t>
      </w:r>
      <w:r>
        <w:rPr>
          <w:rFonts w:hint="eastAsia"/>
        </w:rPr>
        <w:t>interest, pay attention to cognitive load management and the cultivation of self-directed learning abilities, thereby achieving an organic unity of being "interesting" and "effective."</w:t>
      </w:r>
    </w:p>
    <w:p w14:paraId="2F2CDB7C">
      <w:pPr>
        <w:rPr>
          <w:rFonts w:hint="eastAsia"/>
        </w:rPr>
      </w:pPr>
    </w:p>
    <w:p w14:paraId="38C5535E">
      <w:r>
        <w:rPr>
          <w:rFonts w:hint="eastAsia"/>
          <w:b/>
          <w:bCs/>
        </w:rPr>
        <w:t>Keywords:</w:t>
      </w:r>
      <w:r>
        <w:rPr>
          <w:rFonts w:hint="default"/>
        </w:rPr>
        <w:t xml:space="preserve"> </w:t>
      </w:r>
      <w:r>
        <w:rPr>
          <w:rFonts w:hint="eastAsia"/>
        </w:rPr>
        <w:t>Gamification Incentive Mechanisms; Hook Model; FOMO; Learning Motivation; Interactive Learning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C7164"/>
    <w:rsid w:val="5DFC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Office_12.1.3.24659_F1E327BC-269C-435d-A152-05C5408002CA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2025-12-31T16:30:00Z</dcterms:created>
  <dc:creator>Max</dc:creator>
  <cp:lastModifiedBy>Max</cp:lastModifiedBy>
  <dcterms:modified xsi:type="dcterms:W3CDTF">2025-12-31T17:02:38Z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2052-12.1.3.24659</vt:lpwstr>
  </property>
  <property fmtid="{D5CDD505-2E9C-101B-9397-08002B2CF9AE}" pid="3" name="ICV">
    <vt:lpwstr>DDD3AE7E53C321B209DF54697E1AAECE_41</vt:lpwstr>
  </property>
</Properties>
</file>