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672FA">
      <w:pPr>
        <w:pStyle w:val="2"/>
        <w:bidi w:val="0"/>
        <w:rPr>
          <w:rFonts w:hint="eastAsia"/>
        </w:rPr>
      </w:pPr>
      <w:r>
        <w:rPr>
          <w:rFonts w:hint="default"/>
        </w:rPr>
        <w:t xml:space="preserve">Chapter 5: </w:t>
      </w:r>
      <w:r>
        <w:rPr>
          <w:rFonts w:hint="eastAsia"/>
        </w:rPr>
        <w:t>Results Analysis and Discussion</w:t>
      </w:r>
    </w:p>
    <w:p w14:paraId="76034DFB">
      <w:pPr>
        <w:pStyle w:val="4"/>
        <w:bidi w:val="0"/>
        <w:rPr>
          <w:rFonts w:hint="default"/>
        </w:rPr>
      </w:pPr>
      <w:r>
        <w:rPr>
          <w:rFonts w:hint="default"/>
        </w:rPr>
        <w:t>5.1 Results analysis</w:t>
      </w:r>
    </w:p>
    <w:p w14:paraId="6BAFF7EB">
      <w:pPr>
        <w:rPr>
          <w:rFonts w:hint="eastAsia"/>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1634"/>
        <w:gridCol w:w="1553"/>
        <w:gridCol w:w="1705"/>
        <w:gridCol w:w="1705"/>
      </w:tblGrid>
      <w:tr w14:paraId="31F6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single" w:color="000000" w:sz="12" w:space="0"/>
              <w:left w:val="nil"/>
              <w:bottom w:val="single" w:color="000000" w:sz="6" w:space="0"/>
              <w:right w:val="nil"/>
            </w:tcBorders>
            <w:shd w:val="clear" w:color="auto" w:fill="FFFFFF"/>
          </w:tcPr>
          <w:p w14:paraId="236B0BCA">
            <w:pPr>
              <w:bidi w:val="0"/>
              <w:ind w:left="0" w:leftChars="0" w:firstLine="0" w:firstLineChars="0"/>
              <w:jc w:val="center"/>
              <w:rPr>
                <w:rFonts w:hint="default"/>
                <w:b/>
                <w:i w:val="0"/>
                <w:color w:val="000000"/>
                <w:vertAlign w:val="baseline"/>
                <w:lang w:eastAsia="zh-CN"/>
              </w:rPr>
            </w:pPr>
            <w:r>
              <w:rPr>
                <w:rFonts w:hint="default"/>
                <w:b/>
                <w:i w:val="0"/>
                <w:color w:val="000000"/>
                <w:vertAlign w:val="baseline"/>
                <w:lang w:val="en-US" w:eastAsia="zh-CN"/>
              </w:rPr>
              <w:t>Statistics</w:t>
            </w:r>
          </w:p>
        </w:tc>
        <w:tc>
          <w:tcPr>
            <w:tcW w:w="1634" w:type="dxa"/>
            <w:tcBorders>
              <w:top w:val="single" w:color="000000" w:sz="12" w:space="0"/>
              <w:left w:val="nil"/>
              <w:bottom w:val="single" w:color="000000" w:sz="6" w:space="0"/>
              <w:right w:val="nil"/>
            </w:tcBorders>
            <w:shd w:val="clear" w:color="auto" w:fill="FFFFFF"/>
          </w:tcPr>
          <w:p w14:paraId="7584D323">
            <w:pPr>
              <w:bidi w:val="0"/>
              <w:ind w:left="0" w:leftChars="0" w:firstLine="0" w:firstLineChars="0"/>
              <w:jc w:val="center"/>
              <w:rPr>
                <w:rFonts w:hint="default"/>
                <w:b/>
                <w:i w:val="0"/>
                <w:color w:val="000000"/>
                <w:vertAlign w:val="baseline"/>
                <w:lang w:val="en-US" w:eastAsia="zh-CN"/>
              </w:rPr>
            </w:pPr>
            <w:r>
              <w:rPr>
                <w:rFonts w:hint="eastAsia"/>
                <w:b/>
                <w:i w:val="0"/>
                <w:color w:val="000000"/>
                <w:vertAlign w:val="baseline"/>
                <w:lang w:val="en-US" w:eastAsia="zh-CN"/>
              </w:rPr>
              <w:t>Baseline 1</w:t>
            </w:r>
          </w:p>
        </w:tc>
        <w:tc>
          <w:tcPr>
            <w:tcW w:w="1553" w:type="dxa"/>
            <w:tcBorders>
              <w:top w:val="single" w:color="000000" w:sz="12" w:space="0"/>
              <w:left w:val="nil"/>
              <w:bottom w:val="single" w:color="000000" w:sz="6" w:space="0"/>
              <w:right w:val="nil"/>
            </w:tcBorders>
            <w:shd w:val="clear" w:color="auto" w:fill="FFFFFF"/>
          </w:tcPr>
          <w:p w14:paraId="67FCF838">
            <w:pPr>
              <w:bidi w:val="0"/>
              <w:ind w:left="0" w:leftChars="0" w:firstLine="0" w:firstLineChars="0"/>
              <w:jc w:val="center"/>
              <w:rPr>
                <w:rFonts w:hint="default"/>
                <w:b/>
                <w:i w:val="0"/>
                <w:color w:val="000000"/>
                <w:vertAlign w:val="baseline"/>
                <w:lang w:val="en-US" w:eastAsia="zh-CN"/>
              </w:rPr>
            </w:pPr>
            <w:r>
              <w:rPr>
                <w:rFonts w:hint="default"/>
                <w:b/>
                <w:i w:val="0"/>
                <w:color w:val="000000"/>
                <w:vertAlign w:val="baseline"/>
                <w:lang w:eastAsia="zh-CN"/>
              </w:rPr>
              <w:t>Test</w:t>
            </w:r>
            <w:r>
              <w:rPr>
                <w:rFonts w:hint="eastAsia"/>
                <w:b/>
                <w:i w:val="0"/>
                <w:color w:val="000000"/>
                <w:vertAlign w:val="baseline"/>
                <w:lang w:val="en-US" w:eastAsia="zh-CN"/>
              </w:rPr>
              <w:t xml:space="preserve"> 1</w:t>
            </w:r>
          </w:p>
        </w:tc>
        <w:tc>
          <w:tcPr>
            <w:tcW w:w="1705" w:type="dxa"/>
            <w:tcBorders>
              <w:top w:val="single" w:color="000000" w:sz="12" w:space="0"/>
              <w:left w:val="nil"/>
              <w:bottom w:val="single" w:color="000000" w:sz="6" w:space="0"/>
              <w:right w:val="nil"/>
            </w:tcBorders>
            <w:shd w:val="clear" w:color="auto" w:fill="FFFFFF"/>
          </w:tcPr>
          <w:p w14:paraId="358E3FB8">
            <w:pPr>
              <w:bidi w:val="0"/>
              <w:ind w:left="0" w:leftChars="0" w:firstLine="0" w:firstLineChars="0"/>
              <w:jc w:val="center"/>
              <w:rPr>
                <w:rFonts w:hint="default"/>
                <w:b/>
                <w:i w:val="0"/>
                <w:color w:val="000000"/>
                <w:vertAlign w:val="baseline"/>
                <w:lang w:val="en-US" w:eastAsia="zh-CN"/>
              </w:rPr>
            </w:pPr>
            <w:r>
              <w:rPr>
                <w:rFonts w:hint="eastAsia"/>
                <w:b/>
                <w:i w:val="0"/>
                <w:color w:val="000000"/>
                <w:vertAlign w:val="baseline"/>
                <w:lang w:val="en-US" w:eastAsia="zh-CN"/>
              </w:rPr>
              <w:t>Baseline 2</w:t>
            </w:r>
          </w:p>
        </w:tc>
        <w:tc>
          <w:tcPr>
            <w:tcW w:w="1705" w:type="dxa"/>
            <w:tcBorders>
              <w:top w:val="single" w:color="000000" w:sz="12" w:space="0"/>
              <w:left w:val="nil"/>
              <w:bottom w:val="single" w:color="000000" w:sz="6" w:space="0"/>
              <w:right w:val="nil"/>
            </w:tcBorders>
            <w:shd w:val="clear" w:color="auto" w:fill="FFFFFF"/>
          </w:tcPr>
          <w:p w14:paraId="7C821F6C">
            <w:pPr>
              <w:bidi w:val="0"/>
              <w:ind w:left="0" w:leftChars="0" w:firstLine="0" w:firstLineChars="0"/>
              <w:jc w:val="center"/>
              <w:rPr>
                <w:rFonts w:hint="default"/>
                <w:b/>
                <w:i w:val="0"/>
                <w:color w:val="000000"/>
                <w:vertAlign w:val="baseline"/>
                <w:lang w:val="en-US" w:eastAsia="zh-CN"/>
              </w:rPr>
            </w:pPr>
            <w:r>
              <w:rPr>
                <w:rFonts w:hint="default"/>
                <w:b/>
                <w:i w:val="0"/>
                <w:color w:val="000000"/>
                <w:vertAlign w:val="baseline"/>
                <w:lang w:eastAsia="zh-CN"/>
              </w:rPr>
              <w:t>Test</w:t>
            </w:r>
            <w:r>
              <w:rPr>
                <w:rFonts w:hint="eastAsia"/>
                <w:b/>
                <w:i w:val="0"/>
                <w:color w:val="000000"/>
                <w:vertAlign w:val="baseline"/>
                <w:lang w:val="en-US" w:eastAsia="zh-CN"/>
              </w:rPr>
              <w:t xml:space="preserve"> 2</w:t>
            </w:r>
          </w:p>
        </w:tc>
      </w:tr>
      <w:tr w14:paraId="49A3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single" w:color="000000" w:sz="12" w:space="0"/>
              <w:left w:val="nil"/>
              <w:bottom w:val="single" w:color="000000" w:sz="6" w:space="0"/>
              <w:right w:val="nil"/>
            </w:tcBorders>
            <w:shd w:val="clear" w:color="auto" w:fill="FFFFFF"/>
          </w:tcPr>
          <w:p w14:paraId="02FA95C0">
            <w:pPr>
              <w:bidi w:val="0"/>
              <w:ind w:left="0" w:leftChars="0" w:firstLine="0" w:firstLineChars="0"/>
              <w:jc w:val="center"/>
              <w:rPr>
                <w:rFonts w:hint="default"/>
                <w:b/>
                <w:i w:val="0"/>
                <w:color w:val="000000"/>
                <w:vertAlign w:val="baseline"/>
                <w:lang w:eastAsia="zh-CN"/>
              </w:rPr>
            </w:pPr>
            <w:r>
              <w:rPr>
                <w:rFonts w:hint="default"/>
                <w:b/>
                <w:i w:val="0"/>
                <w:color w:val="000000"/>
                <w:vertAlign w:val="baseline"/>
                <w:lang w:eastAsia="zh-CN"/>
              </w:rPr>
              <w:t>Number</w:t>
            </w:r>
          </w:p>
        </w:tc>
        <w:tc>
          <w:tcPr>
            <w:tcW w:w="1634" w:type="dxa"/>
            <w:tcBorders>
              <w:top w:val="single" w:color="000000" w:sz="12" w:space="0"/>
              <w:left w:val="nil"/>
              <w:bottom w:val="single" w:color="000000" w:sz="6" w:space="0"/>
              <w:right w:val="nil"/>
            </w:tcBorders>
            <w:shd w:val="clear" w:color="auto" w:fill="FFFFFF"/>
          </w:tcPr>
          <w:p w14:paraId="65C8C80E">
            <w:pPr>
              <w:bidi w:val="0"/>
              <w:ind w:left="0" w:leftChars="0" w:firstLine="0" w:firstLineChars="0"/>
              <w:jc w:val="center"/>
              <w:rPr>
                <w:rFonts w:hint="default"/>
                <w:b/>
                <w:i w:val="0"/>
                <w:color w:val="000000"/>
                <w:vertAlign w:val="baseline"/>
                <w:lang w:val="en-US" w:eastAsia="zh-CN"/>
              </w:rPr>
            </w:pPr>
            <w:r>
              <w:rPr>
                <w:rFonts w:hint="eastAsia"/>
                <w:b/>
                <w:i w:val="0"/>
                <w:color w:val="000000"/>
                <w:vertAlign w:val="baseline"/>
                <w:lang w:val="en-US" w:eastAsia="zh-CN"/>
              </w:rPr>
              <w:t>33</w:t>
            </w:r>
          </w:p>
        </w:tc>
        <w:tc>
          <w:tcPr>
            <w:tcW w:w="1553" w:type="dxa"/>
            <w:tcBorders>
              <w:top w:val="single" w:color="000000" w:sz="12" w:space="0"/>
              <w:left w:val="nil"/>
              <w:bottom w:val="single" w:color="000000" w:sz="6" w:space="0"/>
              <w:right w:val="nil"/>
            </w:tcBorders>
            <w:shd w:val="clear" w:color="auto" w:fill="FFFFFF"/>
          </w:tcPr>
          <w:p w14:paraId="5237FDC1">
            <w:pPr>
              <w:bidi w:val="0"/>
              <w:ind w:left="0" w:leftChars="0" w:firstLine="0" w:firstLineChars="0"/>
              <w:jc w:val="center"/>
              <w:rPr>
                <w:rFonts w:hint="eastAsia"/>
                <w:b/>
                <w:i w:val="0"/>
                <w:color w:val="000000"/>
                <w:vertAlign w:val="baseline"/>
                <w:lang w:val="en-US" w:eastAsia="zh-CN"/>
              </w:rPr>
            </w:pPr>
            <w:r>
              <w:rPr>
                <w:rFonts w:hint="eastAsia"/>
                <w:b/>
                <w:i w:val="0"/>
                <w:color w:val="000000"/>
                <w:vertAlign w:val="baseline"/>
                <w:lang w:val="en-US" w:eastAsia="zh-CN"/>
              </w:rPr>
              <w:t>33</w:t>
            </w:r>
          </w:p>
        </w:tc>
        <w:tc>
          <w:tcPr>
            <w:tcW w:w="1705" w:type="dxa"/>
            <w:tcBorders>
              <w:top w:val="single" w:color="000000" w:sz="12" w:space="0"/>
              <w:left w:val="nil"/>
              <w:bottom w:val="single" w:color="000000" w:sz="6" w:space="0"/>
              <w:right w:val="nil"/>
            </w:tcBorders>
            <w:shd w:val="clear" w:color="auto" w:fill="FFFFFF"/>
          </w:tcPr>
          <w:p w14:paraId="0F8D632E">
            <w:pPr>
              <w:bidi w:val="0"/>
              <w:ind w:left="0" w:leftChars="0" w:firstLine="0" w:firstLineChars="0"/>
              <w:jc w:val="center"/>
              <w:rPr>
                <w:rFonts w:hint="eastAsia"/>
                <w:b/>
                <w:i w:val="0"/>
                <w:color w:val="000000"/>
                <w:vertAlign w:val="baseline"/>
                <w:lang w:val="en-US" w:eastAsia="zh-CN"/>
              </w:rPr>
            </w:pPr>
            <w:r>
              <w:rPr>
                <w:rFonts w:hint="eastAsia"/>
                <w:b/>
                <w:i w:val="0"/>
                <w:color w:val="000000"/>
                <w:vertAlign w:val="baseline"/>
                <w:lang w:val="en-US" w:eastAsia="zh-CN"/>
              </w:rPr>
              <w:t>33</w:t>
            </w:r>
          </w:p>
        </w:tc>
        <w:tc>
          <w:tcPr>
            <w:tcW w:w="1705" w:type="dxa"/>
            <w:tcBorders>
              <w:top w:val="single" w:color="000000" w:sz="12" w:space="0"/>
              <w:left w:val="nil"/>
              <w:bottom w:val="single" w:color="000000" w:sz="6" w:space="0"/>
              <w:right w:val="nil"/>
            </w:tcBorders>
            <w:shd w:val="clear" w:color="auto" w:fill="FFFFFF"/>
          </w:tcPr>
          <w:p w14:paraId="417CC3DE">
            <w:pPr>
              <w:bidi w:val="0"/>
              <w:ind w:left="0" w:leftChars="0" w:firstLine="0" w:firstLineChars="0"/>
              <w:jc w:val="center"/>
              <w:rPr>
                <w:rFonts w:hint="eastAsia"/>
                <w:b/>
                <w:i w:val="0"/>
                <w:color w:val="000000"/>
                <w:vertAlign w:val="baseline"/>
                <w:lang w:val="en-US" w:eastAsia="zh-CN"/>
              </w:rPr>
            </w:pPr>
            <w:r>
              <w:rPr>
                <w:rFonts w:hint="eastAsia"/>
                <w:b/>
                <w:i w:val="0"/>
                <w:color w:val="000000"/>
                <w:vertAlign w:val="baseline"/>
                <w:lang w:val="en-US" w:eastAsia="zh-CN"/>
              </w:rPr>
              <w:t>33</w:t>
            </w:r>
          </w:p>
        </w:tc>
      </w:tr>
      <w:tr w14:paraId="60FE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single" w:color="000000" w:sz="6" w:space="0"/>
              <w:left w:val="nil"/>
              <w:bottom w:val="nil"/>
              <w:right w:val="nil"/>
            </w:tcBorders>
            <w:shd w:val="clear" w:color="auto" w:fill="FFFFFF"/>
          </w:tcPr>
          <w:p w14:paraId="76EAF4B0">
            <w:pPr>
              <w:bidi w:val="0"/>
              <w:ind w:left="0" w:leftChars="0" w:firstLine="0" w:firstLineChars="0"/>
              <w:jc w:val="center"/>
              <w:rPr>
                <w:rFonts w:hint="default"/>
                <w:b w:val="0"/>
                <w:i w:val="0"/>
                <w:color w:val="08090C"/>
                <w:vertAlign w:val="baseline"/>
                <w:lang w:val="en-US" w:eastAsia="zh-CN"/>
              </w:rPr>
            </w:pPr>
            <w:r>
              <w:rPr>
                <w:rFonts w:hint="default"/>
                <w:b w:val="0"/>
                <w:i w:val="0"/>
                <w:color w:val="08090C"/>
                <w:vertAlign w:val="baseline"/>
                <w:lang w:eastAsia="zh-CN"/>
              </w:rPr>
              <w:t>Mean</w:t>
            </w:r>
          </w:p>
        </w:tc>
        <w:tc>
          <w:tcPr>
            <w:tcW w:w="1634" w:type="dxa"/>
            <w:tcBorders>
              <w:top w:val="single" w:color="000000" w:sz="6" w:space="0"/>
              <w:left w:val="nil"/>
              <w:bottom w:val="nil"/>
              <w:right w:val="nil"/>
            </w:tcBorders>
            <w:shd w:val="clear" w:color="auto" w:fill="FFFFFF"/>
          </w:tcPr>
          <w:p w14:paraId="4B475169">
            <w:pPr>
              <w:bidi w:val="0"/>
              <w:ind w:left="0" w:leftChars="0" w:firstLine="0" w:firstLineChars="0"/>
              <w:jc w:val="center"/>
              <w:rPr>
                <w:rFonts w:hint="default"/>
                <w:b w:val="0"/>
                <w:i w:val="0"/>
                <w:color w:val="08090C"/>
                <w:vertAlign w:val="baseline"/>
                <w:lang w:val="en-US" w:eastAsia="zh-CN"/>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76.36</w:t>
            </w:r>
          </w:p>
        </w:tc>
        <w:tc>
          <w:tcPr>
            <w:tcW w:w="1553" w:type="dxa"/>
            <w:tcBorders>
              <w:top w:val="single" w:color="000000" w:sz="6" w:space="0"/>
              <w:left w:val="nil"/>
              <w:bottom w:val="nil"/>
              <w:right w:val="nil"/>
            </w:tcBorders>
            <w:shd w:val="clear" w:color="auto" w:fill="FFFFFF"/>
          </w:tcPr>
          <w:p w14:paraId="4BC356C9">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78.97</w:t>
            </w:r>
          </w:p>
        </w:tc>
        <w:tc>
          <w:tcPr>
            <w:tcW w:w="1705" w:type="dxa"/>
            <w:tcBorders>
              <w:top w:val="single" w:color="000000" w:sz="6" w:space="0"/>
              <w:left w:val="nil"/>
              <w:bottom w:val="nil"/>
              <w:right w:val="nil"/>
            </w:tcBorders>
            <w:shd w:val="clear" w:color="auto" w:fill="FFFFFF"/>
          </w:tcPr>
          <w:p w14:paraId="48A543E6">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85.93</w:t>
            </w:r>
          </w:p>
        </w:tc>
        <w:tc>
          <w:tcPr>
            <w:tcW w:w="1705" w:type="dxa"/>
            <w:tcBorders>
              <w:top w:val="single" w:color="000000" w:sz="6" w:space="0"/>
              <w:left w:val="nil"/>
              <w:bottom w:val="nil"/>
              <w:right w:val="nil"/>
            </w:tcBorders>
            <w:shd w:val="clear" w:color="auto" w:fill="FFFFFF"/>
            <w:vAlign w:val="top"/>
          </w:tcPr>
          <w:p w14:paraId="08921A50">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84.52</w:t>
            </w:r>
          </w:p>
        </w:tc>
      </w:tr>
      <w:tr w14:paraId="3BCB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6" w:hRule="atLeast"/>
        </w:trPr>
        <w:tc>
          <w:tcPr>
            <w:tcW w:w="1925" w:type="dxa"/>
            <w:tcBorders>
              <w:top w:val="nil"/>
              <w:left w:val="nil"/>
              <w:bottom w:val="nil"/>
              <w:right w:val="nil"/>
            </w:tcBorders>
            <w:shd w:val="clear" w:color="auto" w:fill="FFFFFF"/>
          </w:tcPr>
          <w:p w14:paraId="02041AEE">
            <w:pPr>
              <w:bidi w:val="0"/>
              <w:ind w:left="0" w:leftChars="0" w:firstLine="0" w:firstLineChars="0"/>
              <w:jc w:val="center"/>
              <w:rPr>
                <w:rFonts w:hint="default"/>
                <w:b w:val="0"/>
                <w:i w:val="0"/>
                <w:color w:val="08090C"/>
                <w:vertAlign w:val="baseline"/>
                <w:lang w:val="en-US" w:eastAsia="zh-CN"/>
              </w:rPr>
            </w:pPr>
            <w:r>
              <w:rPr>
                <w:rFonts w:hint="default"/>
                <w:b w:val="0"/>
                <w:i w:val="0"/>
                <w:color w:val="08090C"/>
                <w:vertAlign w:val="baseline"/>
                <w:lang w:eastAsia="zh-CN"/>
              </w:rPr>
              <w:t>Median</w:t>
            </w:r>
          </w:p>
        </w:tc>
        <w:tc>
          <w:tcPr>
            <w:tcW w:w="1634" w:type="dxa"/>
            <w:tcBorders>
              <w:top w:val="nil"/>
              <w:left w:val="nil"/>
              <w:bottom w:val="nil"/>
              <w:right w:val="nil"/>
            </w:tcBorders>
            <w:shd w:val="clear" w:color="auto" w:fill="FFFFFF"/>
          </w:tcPr>
          <w:p w14:paraId="274102E8">
            <w:pPr>
              <w:bidi w:val="0"/>
              <w:ind w:left="0" w:leftChars="0" w:firstLine="0" w:firstLineChars="0"/>
              <w:jc w:val="center"/>
              <w:rPr>
                <w:rFonts w:hint="default"/>
                <w:b w:val="0"/>
                <w:i w:val="0"/>
                <w:color w:val="000000" w:themeColor="text1"/>
                <w:vertAlign w:val="baseline"/>
                <w:lang w:val="en-US" w:eastAsia="zh-CN"/>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80</w:t>
            </w:r>
          </w:p>
        </w:tc>
        <w:tc>
          <w:tcPr>
            <w:tcW w:w="1553" w:type="dxa"/>
            <w:tcBorders>
              <w:top w:val="nil"/>
              <w:left w:val="nil"/>
              <w:bottom w:val="nil"/>
              <w:right w:val="nil"/>
            </w:tcBorders>
            <w:shd w:val="clear" w:color="auto" w:fill="FFFFFF"/>
          </w:tcPr>
          <w:p w14:paraId="745B19E7">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82</w:t>
            </w:r>
          </w:p>
        </w:tc>
        <w:tc>
          <w:tcPr>
            <w:tcW w:w="1705" w:type="dxa"/>
            <w:tcBorders>
              <w:top w:val="nil"/>
              <w:left w:val="nil"/>
              <w:bottom w:val="nil"/>
              <w:right w:val="nil"/>
            </w:tcBorders>
            <w:shd w:val="clear" w:color="auto" w:fill="FFFFFF"/>
          </w:tcPr>
          <w:p w14:paraId="6D3C17F8">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86.7</w:t>
            </w:r>
          </w:p>
        </w:tc>
        <w:tc>
          <w:tcPr>
            <w:tcW w:w="1705" w:type="dxa"/>
            <w:tcBorders>
              <w:top w:val="nil"/>
              <w:left w:val="nil"/>
              <w:bottom w:val="nil"/>
              <w:right w:val="nil"/>
            </w:tcBorders>
            <w:shd w:val="clear" w:color="auto" w:fill="FFFFFF"/>
            <w:vAlign w:val="top"/>
          </w:tcPr>
          <w:p w14:paraId="116BD4FE">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85</w:t>
            </w:r>
          </w:p>
        </w:tc>
      </w:tr>
      <w:tr w14:paraId="1E0E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nil"/>
              <w:left w:val="nil"/>
              <w:bottom w:val="nil"/>
              <w:right w:val="nil"/>
            </w:tcBorders>
            <w:shd w:val="clear" w:color="auto" w:fill="FFFFFF"/>
          </w:tcPr>
          <w:p w14:paraId="116A41E1">
            <w:pPr>
              <w:bidi w:val="0"/>
              <w:ind w:left="0" w:leftChars="0" w:firstLine="0" w:firstLineChars="0"/>
              <w:jc w:val="center"/>
              <w:rPr>
                <w:rFonts w:hint="default"/>
                <w:b w:val="0"/>
                <w:i w:val="0"/>
                <w:color w:val="08090C"/>
                <w:vertAlign w:val="baseline"/>
                <w:lang w:eastAsia="zh-CN"/>
              </w:rPr>
            </w:pPr>
            <w:r>
              <w:rPr>
                <w:rFonts w:hint="default"/>
                <w:b w:val="0"/>
                <w:i w:val="0"/>
                <w:color w:val="08090C"/>
                <w:vertAlign w:val="baseline"/>
                <w:lang w:eastAsia="zh-CN"/>
              </w:rPr>
              <w:t>Standard deviation</w:t>
            </w:r>
          </w:p>
        </w:tc>
        <w:tc>
          <w:tcPr>
            <w:tcW w:w="1634" w:type="dxa"/>
            <w:tcBorders>
              <w:top w:val="nil"/>
              <w:left w:val="nil"/>
              <w:bottom w:val="nil"/>
              <w:right w:val="nil"/>
            </w:tcBorders>
            <w:shd w:val="clear" w:color="auto" w:fill="FFFFFF"/>
          </w:tcPr>
          <w:p w14:paraId="297343B9">
            <w:pPr>
              <w:bidi w:val="0"/>
              <w:ind w:left="0" w:leftChars="0" w:firstLine="0" w:firstLineChars="0"/>
              <w:jc w:val="center"/>
              <w:rPr>
                <w:rFonts w:hint="default"/>
                <w:b w:val="0"/>
                <w:i w:val="0"/>
                <w:color w:val="000000" w:themeColor="text1"/>
                <w:vertAlign w:val="baseline"/>
                <w:lang w:val="en-US" w:eastAsia="zh-CN"/>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18.34</w:t>
            </w:r>
          </w:p>
        </w:tc>
        <w:tc>
          <w:tcPr>
            <w:tcW w:w="1553" w:type="dxa"/>
            <w:tcBorders>
              <w:top w:val="nil"/>
              <w:left w:val="nil"/>
              <w:bottom w:val="nil"/>
              <w:right w:val="nil"/>
            </w:tcBorders>
            <w:shd w:val="clear" w:color="auto" w:fill="FFFFFF"/>
          </w:tcPr>
          <w:p w14:paraId="39466A46">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14.19</w:t>
            </w:r>
          </w:p>
        </w:tc>
        <w:tc>
          <w:tcPr>
            <w:tcW w:w="1705" w:type="dxa"/>
            <w:tcBorders>
              <w:top w:val="nil"/>
              <w:left w:val="nil"/>
              <w:bottom w:val="nil"/>
              <w:right w:val="nil"/>
            </w:tcBorders>
            <w:shd w:val="clear" w:color="auto" w:fill="FFFFFF"/>
          </w:tcPr>
          <w:p w14:paraId="7BCE55FA">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11.21</w:t>
            </w:r>
          </w:p>
        </w:tc>
        <w:tc>
          <w:tcPr>
            <w:tcW w:w="1705" w:type="dxa"/>
            <w:tcBorders>
              <w:top w:val="nil"/>
              <w:left w:val="nil"/>
              <w:bottom w:val="nil"/>
              <w:right w:val="nil"/>
            </w:tcBorders>
            <w:shd w:val="clear" w:color="auto" w:fill="FFFFFF"/>
            <w:vAlign w:val="top"/>
          </w:tcPr>
          <w:p w14:paraId="1632A7B0">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9.67</w:t>
            </w:r>
          </w:p>
        </w:tc>
      </w:tr>
      <w:tr w14:paraId="6B16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nil"/>
              <w:left w:val="nil"/>
              <w:bottom w:val="nil"/>
              <w:right w:val="nil"/>
            </w:tcBorders>
            <w:shd w:val="clear" w:color="auto" w:fill="FFFFFF"/>
          </w:tcPr>
          <w:p w14:paraId="67BAC5FE">
            <w:pPr>
              <w:bidi w:val="0"/>
              <w:ind w:left="0" w:leftChars="0" w:firstLine="0" w:firstLineChars="0"/>
              <w:jc w:val="center"/>
              <w:rPr>
                <w:rFonts w:hint="default"/>
                <w:b w:val="0"/>
                <w:i w:val="0"/>
                <w:color w:val="08090C"/>
                <w:vertAlign w:val="baseline"/>
                <w:lang w:val="en-US" w:eastAsia="zh-CN"/>
              </w:rPr>
            </w:pPr>
            <w:r>
              <w:rPr>
                <w:rFonts w:hint="default"/>
                <w:b w:val="0"/>
                <w:i w:val="0"/>
                <w:color w:val="08090C"/>
                <w:vertAlign w:val="baseline"/>
                <w:lang w:eastAsia="zh-CN"/>
              </w:rPr>
              <w:t>Range</w:t>
            </w:r>
          </w:p>
        </w:tc>
        <w:tc>
          <w:tcPr>
            <w:tcW w:w="1634" w:type="dxa"/>
            <w:tcBorders>
              <w:top w:val="nil"/>
              <w:left w:val="nil"/>
              <w:bottom w:val="nil"/>
              <w:right w:val="nil"/>
            </w:tcBorders>
            <w:shd w:val="clear" w:color="auto" w:fill="FFFFFF"/>
          </w:tcPr>
          <w:p w14:paraId="10AA2ADE">
            <w:pPr>
              <w:bidi w:val="0"/>
              <w:ind w:left="0" w:leftChars="0" w:firstLine="0" w:firstLineChars="0"/>
              <w:jc w:val="center"/>
              <w:rPr>
                <w:rFonts w:hint="default"/>
                <w:b w:val="0"/>
                <w:i w:val="0"/>
                <w:color w:val="000000" w:themeColor="text1"/>
                <w:vertAlign w:val="baseline"/>
                <w:lang w:val="en-US" w:eastAsia="zh-CN"/>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60</w:t>
            </w:r>
          </w:p>
        </w:tc>
        <w:tc>
          <w:tcPr>
            <w:tcW w:w="1553" w:type="dxa"/>
            <w:tcBorders>
              <w:top w:val="nil"/>
              <w:left w:val="nil"/>
              <w:bottom w:val="nil"/>
              <w:right w:val="nil"/>
            </w:tcBorders>
            <w:shd w:val="clear" w:color="auto" w:fill="FFFFFF"/>
          </w:tcPr>
          <w:p w14:paraId="4D1737E2">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49.5</w:t>
            </w:r>
          </w:p>
        </w:tc>
        <w:tc>
          <w:tcPr>
            <w:tcW w:w="1705" w:type="dxa"/>
            <w:tcBorders>
              <w:top w:val="nil"/>
              <w:left w:val="nil"/>
              <w:bottom w:val="nil"/>
              <w:right w:val="nil"/>
            </w:tcBorders>
            <w:shd w:val="clear" w:color="auto" w:fill="FFFFFF"/>
          </w:tcPr>
          <w:p w14:paraId="072E8EC9">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43.3</w:t>
            </w:r>
          </w:p>
        </w:tc>
        <w:tc>
          <w:tcPr>
            <w:tcW w:w="1705" w:type="dxa"/>
            <w:tcBorders>
              <w:top w:val="nil"/>
              <w:left w:val="nil"/>
              <w:bottom w:val="nil"/>
              <w:right w:val="nil"/>
            </w:tcBorders>
            <w:shd w:val="clear" w:color="auto" w:fill="FFFFFF"/>
            <w:vAlign w:val="top"/>
          </w:tcPr>
          <w:p w14:paraId="5E709887">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35</w:t>
            </w:r>
          </w:p>
        </w:tc>
      </w:tr>
      <w:tr w14:paraId="514A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nil"/>
              <w:left w:val="nil"/>
              <w:bottom w:val="single" w:color="000000" w:sz="12" w:space="0"/>
              <w:right w:val="nil"/>
            </w:tcBorders>
            <w:shd w:val="clear" w:color="auto" w:fill="FFFFFF"/>
          </w:tcPr>
          <w:p w14:paraId="3948A8D6">
            <w:pPr>
              <w:bidi w:val="0"/>
              <w:ind w:left="0" w:leftChars="0" w:firstLine="0" w:firstLineChars="0"/>
              <w:jc w:val="center"/>
              <w:rPr>
                <w:rFonts w:hint="default"/>
                <w:b w:val="0"/>
                <w:i w:val="0"/>
                <w:color w:val="08090C"/>
                <w:vertAlign w:val="baseline"/>
                <w:lang w:val="en-US" w:eastAsia="zh-CN"/>
              </w:rPr>
            </w:pPr>
            <w:r>
              <w:rPr>
                <w:rFonts w:hint="eastAsia"/>
                <w:b w:val="0"/>
                <w:i w:val="0"/>
                <w:color w:val="08090C"/>
                <w:vertAlign w:val="baseline"/>
                <w:lang w:val="en-US" w:eastAsia="zh-CN"/>
              </w:rPr>
              <w:t>1/4</w:t>
            </w:r>
            <w:r>
              <w:rPr>
                <w:rFonts w:hint="default"/>
                <w:b w:val="0"/>
                <w:i w:val="0"/>
                <w:color w:val="08090C"/>
                <w:vertAlign w:val="baseline"/>
                <w:lang w:eastAsia="zh-CN"/>
              </w:rPr>
              <w:t xml:space="preserve"> percentile</w:t>
            </w:r>
          </w:p>
        </w:tc>
        <w:tc>
          <w:tcPr>
            <w:tcW w:w="1634" w:type="dxa"/>
            <w:tcBorders>
              <w:top w:val="nil"/>
              <w:left w:val="nil"/>
              <w:bottom w:val="single" w:color="000000" w:sz="12" w:space="0"/>
              <w:right w:val="nil"/>
            </w:tcBorders>
            <w:shd w:val="clear" w:color="auto" w:fill="FFFFFF"/>
          </w:tcPr>
          <w:p w14:paraId="31C4D9AA">
            <w:pPr>
              <w:bidi w:val="0"/>
              <w:ind w:left="0" w:leftChars="0" w:firstLine="0" w:firstLineChars="0"/>
              <w:jc w:val="center"/>
              <w:rPr>
                <w:rFonts w:hint="default"/>
                <w:b w:val="0"/>
                <w:i w:val="0"/>
                <w:color w:val="000000" w:themeColor="text1"/>
                <w:vertAlign w:val="baseline"/>
                <w:lang w:val="en-US" w:eastAsia="zh-CN"/>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65</w:t>
            </w:r>
          </w:p>
        </w:tc>
        <w:tc>
          <w:tcPr>
            <w:tcW w:w="1553" w:type="dxa"/>
            <w:tcBorders>
              <w:top w:val="nil"/>
              <w:left w:val="nil"/>
              <w:bottom w:val="single" w:color="000000" w:sz="12" w:space="0"/>
              <w:right w:val="nil"/>
            </w:tcBorders>
            <w:shd w:val="clear" w:color="auto" w:fill="FFFFFF"/>
          </w:tcPr>
          <w:p w14:paraId="7C88E350">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68.5</w:t>
            </w:r>
          </w:p>
        </w:tc>
        <w:tc>
          <w:tcPr>
            <w:tcW w:w="1705" w:type="dxa"/>
            <w:tcBorders>
              <w:top w:val="nil"/>
              <w:left w:val="nil"/>
              <w:bottom w:val="single" w:color="000000" w:sz="12" w:space="0"/>
              <w:right w:val="nil"/>
            </w:tcBorders>
            <w:shd w:val="clear" w:color="auto" w:fill="FFFFFF"/>
          </w:tcPr>
          <w:p w14:paraId="10C1FDD4">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80</w:t>
            </w:r>
          </w:p>
        </w:tc>
        <w:tc>
          <w:tcPr>
            <w:tcW w:w="1705" w:type="dxa"/>
            <w:tcBorders>
              <w:top w:val="nil"/>
              <w:left w:val="nil"/>
              <w:bottom w:val="single" w:color="000000" w:sz="12" w:space="0"/>
              <w:right w:val="nil"/>
            </w:tcBorders>
            <w:shd w:val="clear" w:color="auto" w:fill="FFFFFF"/>
            <w:vAlign w:val="top"/>
          </w:tcPr>
          <w:p w14:paraId="54A77292">
            <w:pPr>
              <w:bidi w:val="0"/>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cs="宋体"/>
                <w:b/>
                <w:i w:val="0"/>
                <w:iCs w:val="0"/>
                <w:caps w:val="0"/>
                <w:color w:val="000000" w:themeColor="text1"/>
                <w:spacing w:val="0"/>
                <w:kern w:val="0"/>
                <w:sz w:val="24"/>
                <w:szCs w:val="24"/>
                <w:lang w:val="en-US" w:eastAsia="zh-CN" w:bidi="ar"/>
                <w14:textFill>
                  <w14:solidFill>
                    <w14:schemeClr w14:val="tx1"/>
                  </w14:solidFill>
                </w14:textFill>
              </w:rPr>
              <w:t>78.5</w:t>
            </w:r>
          </w:p>
        </w:tc>
      </w:tr>
    </w:tbl>
    <w:p w14:paraId="788B7AE4"/>
    <w:p w14:paraId="2E296DB8">
      <w:pPr>
        <w:ind w:left="0" w:leftChars="0" w:firstLine="420" w:firstLineChars="0"/>
        <w:rPr>
          <w:rFonts w:hint="eastAsia"/>
          <w:lang w:val="en-US" w:eastAsia="zh-CN"/>
        </w:rPr>
      </w:pPr>
      <w:r>
        <w:rPr>
          <w:rFonts w:hint="eastAsia"/>
          <w:lang w:val="en-US" w:eastAsia="zh-CN"/>
        </w:rPr>
        <w:t>This analysis is based on the test scores of 33 subjects across four assessments. Specifically, Test 1 and Test 3 represent the pre- and post-intervention results for software multiple-choice question (MCQ) detection, while Test 2 and Test 4 represent the pre- and post-intervention results for classroom written examinations. The analysis examines the data through the dimensions of central tendency, dispersion, and quantile distribution.</w:t>
      </w:r>
    </w:p>
    <w:p w14:paraId="11BFA774">
      <w:pPr>
        <w:ind w:left="0" w:leftChars="0" w:firstLine="420" w:firstLineChars="0"/>
        <w:rPr>
          <w:rFonts w:hint="eastAsia"/>
          <w:lang w:val="en-US" w:eastAsia="zh-CN"/>
        </w:rPr>
      </w:pPr>
      <w:r>
        <w:rPr>
          <w:rFonts w:hint="eastAsia"/>
          <w:lang w:val="en-US" w:eastAsia="zh-CN"/>
        </w:rPr>
        <w:t>1. Central Tendency</w:t>
      </w:r>
    </w:p>
    <w:p w14:paraId="5F9A6EA4">
      <w:pPr>
        <w:ind w:left="0" w:leftChars="0" w:firstLine="420" w:firstLineChars="0"/>
        <w:rPr>
          <w:rFonts w:hint="eastAsia"/>
          <w:lang w:val="en-US" w:eastAsia="zh-CN"/>
        </w:rPr>
      </w:pPr>
      <w:r>
        <w:rPr>
          <w:rFonts w:hint="eastAsia"/>
          <w:lang w:val="en-US" w:eastAsia="zh-CN"/>
        </w:rPr>
        <w:t>From the perspective of central tendency, both assessment types show significant performance improvements, with a slightly higher improvement magnitude observed in the software MCQ detection.</w:t>
      </w:r>
    </w:p>
    <w:p w14:paraId="1A26F01A">
      <w:pPr>
        <w:ind w:left="0" w:leftChars="0" w:firstLine="420" w:firstLineChars="0"/>
        <w:rPr>
          <w:rFonts w:hint="eastAsia"/>
          <w:lang w:val="en-US" w:eastAsia="zh-CN"/>
        </w:rPr>
      </w:pPr>
      <w:r>
        <w:rPr>
          <w:rFonts w:hint="eastAsia"/>
          <w:lang w:val="en-US" w:eastAsia="zh-CN"/>
        </w:rPr>
        <w:t>Software MCQ Detection:</w:t>
      </w:r>
    </w:p>
    <w:p w14:paraId="533D3138">
      <w:pPr>
        <w:ind w:left="0" w:leftChars="0" w:firstLine="420" w:firstLineChars="0"/>
        <w:rPr>
          <w:rFonts w:hint="eastAsia"/>
          <w:lang w:val="en-US" w:eastAsia="zh-CN"/>
        </w:rPr>
      </w:pPr>
      <w:r>
        <w:rPr>
          <w:rFonts w:hint="eastAsia"/>
          <w:lang w:val="en-US" w:eastAsia="zh-CN"/>
        </w:rPr>
        <w:t>The average score increased from 76.36 in Test 1 to 85.93 in Test 3.</w:t>
      </w:r>
    </w:p>
    <w:p w14:paraId="1D5D70AE">
      <w:pPr>
        <w:ind w:left="0" w:leftChars="0" w:firstLine="420" w:firstLineChars="0"/>
        <w:rPr>
          <w:rFonts w:hint="eastAsia"/>
          <w:lang w:val="en-US" w:eastAsia="zh-CN"/>
        </w:rPr>
      </w:pPr>
      <w:r>
        <w:rPr>
          <w:rFonts w:hint="eastAsia"/>
          <w:lang w:val="en-US" w:eastAsia="zh-CN"/>
        </w:rPr>
        <w:t>The median rose from 80 to 86.7.</w:t>
      </w:r>
    </w:p>
    <w:p w14:paraId="3A362866">
      <w:pPr>
        <w:ind w:left="0" w:leftChars="0" w:firstLine="420" w:firstLineChars="0"/>
        <w:rPr>
          <w:rFonts w:hint="eastAsia"/>
          <w:lang w:val="en-US" w:eastAsia="zh-CN"/>
        </w:rPr>
      </w:pPr>
      <w:r>
        <w:rPr>
          <w:rFonts w:hint="eastAsia"/>
          <w:lang w:val="en-US" w:eastAsia="zh-CN"/>
        </w:rPr>
        <w:t>Classroom Written Test:</w:t>
      </w:r>
    </w:p>
    <w:p w14:paraId="1296486F">
      <w:pPr>
        <w:ind w:left="0" w:leftChars="0" w:firstLine="420" w:firstLineChars="0"/>
        <w:rPr>
          <w:rFonts w:hint="eastAsia"/>
          <w:lang w:val="en-US" w:eastAsia="zh-CN"/>
        </w:rPr>
      </w:pPr>
      <w:r>
        <w:rPr>
          <w:rFonts w:hint="eastAsia"/>
          <w:lang w:val="en-US" w:eastAsia="zh-CN"/>
        </w:rPr>
        <w:t>The average score increased from 78.97</w:t>
      </w:r>
      <w:r>
        <w:rPr>
          <w:rFonts w:hint="default"/>
          <w:lang w:eastAsia="zh-CN"/>
        </w:rPr>
        <w:t xml:space="preserve"> </w:t>
      </w:r>
      <w:r>
        <w:rPr>
          <w:rFonts w:hint="eastAsia"/>
          <w:lang w:val="en-US" w:eastAsia="zh-CN"/>
        </w:rPr>
        <w:t>in Test 2 to 84.52 in Test 4.</w:t>
      </w:r>
    </w:p>
    <w:p w14:paraId="19C6B3F6">
      <w:pPr>
        <w:ind w:left="0" w:leftChars="0" w:firstLine="420" w:firstLineChars="0"/>
        <w:rPr>
          <w:rFonts w:hint="eastAsia"/>
          <w:lang w:val="en-US" w:eastAsia="zh-CN"/>
        </w:rPr>
      </w:pPr>
      <w:r>
        <w:rPr>
          <w:rFonts w:hint="eastAsia"/>
          <w:lang w:val="en-US" w:eastAsia="zh-CN"/>
        </w:rPr>
        <w:t>The median rose from 82 to 85.</w:t>
      </w:r>
    </w:p>
    <w:p w14:paraId="40A89106">
      <w:pPr>
        <w:ind w:left="0" w:leftChars="0" w:firstLine="420" w:firstLineChars="0"/>
        <w:rPr>
          <w:rFonts w:hint="eastAsia"/>
          <w:lang w:val="en-US" w:eastAsia="zh-CN"/>
        </w:rPr>
      </w:pPr>
      <w:r>
        <w:rPr>
          <w:rFonts w:hint="eastAsia"/>
          <w:lang w:val="en-US" w:eastAsia="zh-CN"/>
        </w:rPr>
        <w:t>2. Dispersion (Variability)</w:t>
      </w:r>
    </w:p>
    <w:p w14:paraId="08037540">
      <w:pPr>
        <w:ind w:left="0" w:leftChars="0" w:firstLine="420" w:firstLineChars="0"/>
        <w:rPr>
          <w:rFonts w:hint="eastAsia"/>
          <w:lang w:val="en-US" w:eastAsia="zh-CN"/>
        </w:rPr>
      </w:pPr>
      <w:r>
        <w:rPr>
          <w:rFonts w:hint="eastAsia"/>
          <w:lang w:val="en-US" w:eastAsia="zh-CN"/>
        </w:rPr>
        <w:t>In terms of dispersion, the variability in scores decreased significantly for both types of assessments as the testing progressed, indicating a narrowing of the performance gap among students and increasingly balanced overall results.</w:t>
      </w:r>
    </w:p>
    <w:p w14:paraId="31DA78CD">
      <w:pPr>
        <w:ind w:left="0" w:leftChars="0" w:firstLine="420" w:firstLineChars="0"/>
        <w:rPr>
          <w:rFonts w:hint="eastAsia"/>
          <w:lang w:val="en-US" w:eastAsia="zh-CN"/>
        </w:rPr>
      </w:pPr>
      <w:r>
        <w:rPr>
          <w:rFonts w:hint="eastAsia"/>
          <w:lang w:val="en-US" w:eastAsia="zh-CN"/>
        </w:rPr>
        <w:t>Software MCQ Detection:</w:t>
      </w:r>
    </w:p>
    <w:p w14:paraId="32CD4F20">
      <w:pPr>
        <w:ind w:left="0" w:leftChars="0" w:firstLine="420" w:firstLineChars="0"/>
        <w:rPr>
          <w:rFonts w:hint="eastAsia"/>
          <w:lang w:val="en-US" w:eastAsia="zh-CN"/>
        </w:rPr>
      </w:pPr>
      <w:r>
        <w:rPr>
          <w:rFonts w:hint="eastAsia"/>
          <w:lang w:val="en-US" w:eastAsia="zh-CN"/>
        </w:rPr>
        <w:t>Standard deviation decreased from 18.34 (Test 1) to 11.21 (Test 3).</w:t>
      </w:r>
    </w:p>
    <w:p w14:paraId="3CDF0084">
      <w:pPr>
        <w:ind w:left="0" w:leftChars="0" w:firstLine="420" w:firstLineChars="0"/>
        <w:rPr>
          <w:rFonts w:hint="eastAsia"/>
          <w:lang w:val="en-US" w:eastAsia="zh-CN"/>
        </w:rPr>
      </w:pPr>
      <w:r>
        <w:rPr>
          <w:rFonts w:hint="eastAsia"/>
          <w:lang w:val="en-US" w:eastAsia="zh-CN"/>
        </w:rPr>
        <w:t>The range narrowed from 60 to 43.3.</w:t>
      </w:r>
    </w:p>
    <w:p w14:paraId="55B3A850">
      <w:pPr>
        <w:ind w:left="0" w:leftChars="0" w:firstLine="420" w:firstLineChars="0"/>
        <w:rPr>
          <w:rFonts w:hint="eastAsia"/>
          <w:lang w:val="en-US" w:eastAsia="zh-CN"/>
        </w:rPr>
      </w:pPr>
      <w:r>
        <w:rPr>
          <w:rFonts w:hint="eastAsia"/>
          <w:lang w:val="en-US" w:eastAsia="zh-CN"/>
        </w:rPr>
        <w:t>Classroom Written Test:</w:t>
      </w:r>
    </w:p>
    <w:p w14:paraId="4D342440">
      <w:pPr>
        <w:ind w:left="0" w:leftChars="0" w:firstLine="420" w:firstLineChars="0"/>
        <w:rPr>
          <w:rFonts w:hint="eastAsia"/>
          <w:lang w:val="en-US" w:eastAsia="zh-CN"/>
        </w:rPr>
      </w:pPr>
      <w:r>
        <w:rPr>
          <w:rFonts w:hint="eastAsia"/>
          <w:lang w:val="en-US" w:eastAsia="zh-CN"/>
        </w:rPr>
        <w:t>Standard deviation decreased from 14.19</w:t>
      </w:r>
      <w:r>
        <w:rPr>
          <w:rFonts w:hint="default"/>
          <w:lang w:eastAsia="zh-CN"/>
        </w:rPr>
        <w:t xml:space="preserve"> </w:t>
      </w:r>
      <w:r>
        <w:rPr>
          <w:rFonts w:hint="eastAsia"/>
          <w:lang w:val="en-US" w:eastAsia="zh-CN"/>
        </w:rPr>
        <w:t>(Test 2) to 9.67 (Test 4).</w:t>
      </w:r>
    </w:p>
    <w:p w14:paraId="1852AB21">
      <w:pPr>
        <w:ind w:left="0" w:leftChars="0" w:firstLine="420" w:firstLineChars="0"/>
        <w:rPr>
          <w:rFonts w:hint="eastAsia"/>
          <w:lang w:val="en-US" w:eastAsia="zh-CN"/>
        </w:rPr>
      </w:pPr>
      <w:r>
        <w:rPr>
          <w:rFonts w:hint="eastAsia"/>
          <w:lang w:val="en-US" w:eastAsia="zh-CN"/>
        </w:rPr>
        <w:t>The range narrowed from 49.5 to 35.</w:t>
      </w:r>
    </w:p>
    <w:p w14:paraId="015120A8">
      <w:pPr>
        <w:ind w:left="0" w:leftChars="0" w:firstLine="420" w:firstLineChars="0"/>
        <w:rPr>
          <w:rFonts w:hint="eastAsia"/>
          <w:lang w:val="en-US" w:eastAsia="zh-CN"/>
        </w:rPr>
      </w:pPr>
      <w:r>
        <w:rPr>
          <w:rFonts w:hint="eastAsia"/>
          <w:lang w:val="en-US" w:eastAsia="zh-CN"/>
        </w:rPr>
        <w:t>3. Quantile Distribution</w:t>
      </w:r>
    </w:p>
    <w:p w14:paraId="10C433B7">
      <w:pPr>
        <w:ind w:left="0" w:leftChars="0" w:firstLine="420" w:firstLineChars="0"/>
        <w:rPr>
          <w:rFonts w:hint="eastAsia"/>
          <w:lang w:val="en-US" w:eastAsia="zh-CN"/>
        </w:rPr>
      </w:pPr>
      <w:r>
        <w:rPr>
          <w:rFonts w:hint="eastAsia"/>
          <w:lang w:val="en-US" w:eastAsia="zh-CN"/>
        </w:rPr>
        <w:t>The quantile distribution further corroborates the aforementioned trends, highlighting significant improvements in lower scores while higher scores remained stable.</w:t>
      </w:r>
    </w:p>
    <w:p w14:paraId="103033C6">
      <w:pPr>
        <w:ind w:left="0" w:leftChars="0" w:firstLine="420" w:firstLineChars="0"/>
        <w:rPr>
          <w:rFonts w:hint="eastAsia"/>
          <w:lang w:val="en-US" w:eastAsia="zh-CN"/>
        </w:rPr>
      </w:pPr>
      <w:r>
        <w:rPr>
          <w:rFonts w:hint="eastAsia"/>
          <w:lang w:val="en-US" w:eastAsia="zh-CN"/>
        </w:rPr>
        <w:t>Software MCQ Detection:</w:t>
      </w:r>
    </w:p>
    <w:p w14:paraId="20A6A119">
      <w:pPr>
        <w:ind w:left="0" w:leftChars="0" w:firstLine="420" w:firstLineChars="0"/>
        <w:rPr>
          <w:rFonts w:hint="eastAsia"/>
          <w:lang w:val="en-US" w:eastAsia="zh-CN"/>
        </w:rPr>
      </w:pPr>
      <w:r>
        <w:rPr>
          <w:rFonts w:hint="eastAsia"/>
          <w:lang w:val="en-US" w:eastAsia="zh-CN"/>
        </w:rPr>
        <w:t>Test 1: 25th percentile = 65, 75th percentile = 90. Interquartile Range (IQR) = 25.</w:t>
      </w:r>
    </w:p>
    <w:p w14:paraId="0ED7ED6D">
      <w:pPr>
        <w:ind w:left="0" w:leftChars="0" w:firstLine="420" w:firstLineChars="0"/>
        <w:rPr>
          <w:rFonts w:hint="eastAsia"/>
          <w:lang w:val="en-US" w:eastAsia="zh-CN"/>
        </w:rPr>
      </w:pPr>
      <w:r>
        <w:rPr>
          <w:rFonts w:hint="eastAsia"/>
          <w:lang w:val="en-US" w:eastAsia="zh-CN"/>
        </w:rPr>
        <w:t>Test 3: 25th percentile = 80, 75th percentile = 95. Interquartile Range (IQR) = 15.</w:t>
      </w:r>
    </w:p>
    <w:p w14:paraId="6B9B49E0">
      <w:pPr>
        <w:ind w:left="0" w:leftChars="0" w:firstLine="420" w:firstLineChars="0"/>
        <w:rPr>
          <w:rFonts w:hint="eastAsia"/>
          <w:lang w:val="en-US" w:eastAsia="zh-CN"/>
        </w:rPr>
      </w:pPr>
      <w:r>
        <w:rPr>
          <w:rFonts w:hint="eastAsia"/>
          <w:lang w:val="en-US" w:eastAsia="zh-CN"/>
        </w:rPr>
        <w:t>Classroom Written Test:</w:t>
      </w:r>
    </w:p>
    <w:p w14:paraId="74970EB3">
      <w:pPr>
        <w:ind w:left="0" w:leftChars="0" w:firstLine="420" w:firstLineChars="0"/>
        <w:rPr>
          <w:rFonts w:hint="eastAsia"/>
          <w:lang w:val="en-US" w:eastAsia="zh-CN"/>
        </w:rPr>
      </w:pPr>
      <w:r>
        <w:rPr>
          <w:rFonts w:hint="eastAsia"/>
          <w:lang w:val="en-US" w:eastAsia="zh-CN"/>
        </w:rPr>
        <w:t>Test 2:</w:t>
      </w:r>
      <w:r>
        <w:rPr>
          <w:rFonts w:hint="default"/>
          <w:lang w:eastAsia="zh-CN"/>
        </w:rPr>
        <w:t xml:space="preserve"> </w:t>
      </w:r>
      <w:r>
        <w:rPr>
          <w:rFonts w:hint="eastAsia"/>
          <w:lang w:val="en-US" w:eastAsia="zh-CN"/>
        </w:rPr>
        <w:t>25th percentile = 68.5, 75th percentile = 91. Interquartile Range (IQR) = 22.5.</w:t>
      </w:r>
    </w:p>
    <w:p w14:paraId="1F8A3EFE">
      <w:pPr>
        <w:ind w:left="0" w:leftChars="0" w:firstLine="420" w:firstLineChars="0"/>
        <w:rPr>
          <w:rFonts w:hint="eastAsia"/>
          <w:lang w:val="en-US" w:eastAsia="zh-CN"/>
        </w:rPr>
      </w:pPr>
      <w:r>
        <w:rPr>
          <w:rFonts w:hint="eastAsia"/>
          <w:lang w:val="en-US" w:eastAsia="zh-CN"/>
        </w:rPr>
        <w:t>Test 4: 25th percentile = 78.5, 75th percentile = 91. Interquartile Range (IQR) = 12.5.</w:t>
      </w:r>
    </w:p>
    <w:p w14:paraId="0965856D">
      <w:pPr>
        <w:ind w:left="0" w:leftChars="0" w:firstLine="420" w:firstLineChars="0"/>
        <w:rPr>
          <w:rFonts w:hint="eastAsia"/>
          <w:lang w:val="en-US" w:eastAsia="zh-CN"/>
        </w:rPr>
      </w:pPr>
      <w:r>
        <w:rPr>
          <w:rFonts w:hint="eastAsia"/>
          <w:lang w:val="en-US" w:eastAsia="zh-CN"/>
        </w:rPr>
        <w:t>Both assessments demonstrate a continuous narrowing of the score interval for the middle 50% of students.</w:t>
      </w:r>
    </w:p>
    <w:p w14:paraId="29914BDF">
      <w:pPr>
        <w:ind w:left="0" w:leftChars="0" w:firstLine="420" w:firstLineChars="0"/>
        <w:rPr>
          <w:rFonts w:hint="eastAsia"/>
          <w:lang w:val="en-US" w:eastAsia="zh-CN"/>
        </w:rPr>
      </w:pPr>
      <w:r>
        <w:rPr>
          <w:rFonts w:hint="eastAsia"/>
          <w:lang w:val="en-US" w:eastAsia="zh-CN"/>
        </w:rPr>
        <w:t>4. Conclusion</w:t>
      </w:r>
    </w:p>
    <w:p w14:paraId="7082CEE3">
      <w:pPr>
        <w:ind w:left="0" w:leftChars="0" w:firstLine="420" w:firstLineChars="0"/>
        <w:rPr>
          <w:rFonts w:hint="eastAsia"/>
          <w:lang w:val="en-US" w:eastAsia="zh-CN"/>
        </w:rPr>
      </w:pPr>
      <w:r>
        <w:rPr>
          <w:rFonts w:hint="eastAsia"/>
          <w:lang w:val="en-US" w:eastAsia="zh-CN"/>
        </w:rPr>
        <w:t>The comparative analysis reflects a significant positive impact of the learning process on student performance. The continuous reduction in the interquartile range indicates that low-performing students improved markedly, while high-performing students maintained stable results. This resulted in a more concentrated and stable score distribution, demonstrating the effectiveness of the intervention in promoting balanced development across the student cohort.</w:t>
      </w:r>
    </w:p>
    <w:p w14:paraId="503F6FE1"/>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84"/>
        <w:gridCol w:w="1097"/>
        <w:gridCol w:w="736"/>
        <w:gridCol w:w="1097"/>
        <w:gridCol w:w="736"/>
      </w:tblGrid>
      <w:tr w14:paraId="7D72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jc w:val="center"/>
        </w:trPr>
        <w:tc>
          <w:tcPr>
            <w:tcW w:w="1884" w:type="dxa"/>
            <w:tcBorders>
              <w:top w:val="single" w:color="000000" w:sz="12" w:space="0"/>
              <w:left w:val="nil"/>
              <w:bottom w:val="single" w:color="000000" w:sz="8" w:space="0"/>
              <w:right w:val="nil"/>
            </w:tcBorders>
            <w:shd w:val="clear" w:color="auto" w:fill="auto"/>
            <w:noWrap/>
            <w:vAlign w:val="center"/>
          </w:tcPr>
          <w:p w14:paraId="357343C3">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default" w:eastAsia="宋体"/>
                <w:b w:val="0"/>
                <w:i w:val="0"/>
                <w:color w:val="08090C"/>
                <w:vertAlign w:val="baseline"/>
                <w:lang w:eastAsia="zh-CN"/>
              </w:rPr>
              <w:t xml:space="preserve">Variable </w:t>
            </w:r>
          </w:p>
        </w:tc>
        <w:tc>
          <w:tcPr>
            <w:tcW w:w="1097" w:type="dxa"/>
            <w:tcBorders>
              <w:top w:val="single" w:color="000000" w:sz="12" w:space="0"/>
              <w:left w:val="nil"/>
              <w:bottom w:val="single" w:color="000000" w:sz="8" w:space="0"/>
              <w:right w:val="nil"/>
            </w:tcBorders>
            <w:shd w:val="clear" w:color="auto" w:fill="auto"/>
            <w:noWrap/>
            <w:vAlign w:val="center"/>
          </w:tcPr>
          <w:p w14:paraId="5B2D7541">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default" w:eastAsia="宋体"/>
                <w:b w:val="0"/>
                <w:i w:val="0"/>
                <w:color w:val="08090C"/>
                <w:vertAlign w:val="baseline"/>
                <w:lang w:eastAsia="zh-CN"/>
              </w:rPr>
              <w:t xml:space="preserve">Baseline </w:t>
            </w:r>
            <w:r>
              <w:rPr>
                <w:rFonts w:hint="eastAsia" w:eastAsia="宋体"/>
                <w:b w:val="0"/>
                <w:i w:val="0"/>
                <w:color w:val="08090C"/>
                <w:vertAlign w:val="baseline"/>
                <w:lang w:val="en-US" w:eastAsia="zh-CN"/>
              </w:rPr>
              <w:t>1</w:t>
            </w:r>
          </w:p>
        </w:tc>
        <w:tc>
          <w:tcPr>
            <w:tcW w:w="0" w:type="auto"/>
            <w:tcBorders>
              <w:top w:val="single" w:color="000000" w:sz="12" w:space="0"/>
              <w:left w:val="nil"/>
              <w:bottom w:val="single" w:color="000000" w:sz="8" w:space="0"/>
              <w:right w:val="nil"/>
            </w:tcBorders>
            <w:shd w:val="clear" w:color="auto" w:fill="auto"/>
            <w:noWrap/>
            <w:vAlign w:val="center"/>
          </w:tcPr>
          <w:p w14:paraId="0BAA5FF2">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default" w:eastAsia="宋体"/>
                <w:b w:val="0"/>
                <w:i w:val="0"/>
                <w:color w:val="08090C"/>
                <w:vertAlign w:val="baseline"/>
                <w:lang w:eastAsia="zh-CN"/>
              </w:rPr>
              <w:t>Test 1</w:t>
            </w:r>
          </w:p>
        </w:tc>
        <w:tc>
          <w:tcPr>
            <w:tcW w:w="0" w:type="auto"/>
            <w:tcBorders>
              <w:top w:val="single" w:color="000000" w:sz="12" w:space="0"/>
              <w:left w:val="nil"/>
              <w:bottom w:val="single" w:color="000000" w:sz="8" w:space="0"/>
              <w:right w:val="nil"/>
            </w:tcBorders>
            <w:shd w:val="clear" w:color="auto" w:fill="auto"/>
            <w:noWrap/>
            <w:vAlign w:val="center"/>
          </w:tcPr>
          <w:p w14:paraId="6A04EB36">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default" w:eastAsia="宋体"/>
                <w:b w:val="0"/>
                <w:i w:val="0"/>
                <w:color w:val="08090C"/>
                <w:vertAlign w:val="baseline"/>
                <w:lang w:eastAsia="zh-CN"/>
              </w:rPr>
              <w:t xml:space="preserve">Baseline </w:t>
            </w:r>
            <w:r>
              <w:rPr>
                <w:rFonts w:hint="eastAsia" w:eastAsia="宋体"/>
                <w:b w:val="0"/>
                <w:i w:val="0"/>
                <w:color w:val="08090C"/>
                <w:vertAlign w:val="baseline"/>
                <w:lang w:val="en-US" w:eastAsia="zh-CN"/>
              </w:rPr>
              <w:t>2</w:t>
            </w:r>
          </w:p>
        </w:tc>
        <w:tc>
          <w:tcPr>
            <w:tcW w:w="0" w:type="auto"/>
            <w:tcBorders>
              <w:top w:val="single" w:color="000000" w:sz="12" w:space="0"/>
              <w:left w:val="nil"/>
              <w:bottom w:val="single" w:color="000000" w:sz="8" w:space="0"/>
              <w:right w:val="nil"/>
            </w:tcBorders>
            <w:shd w:val="clear" w:color="auto" w:fill="auto"/>
            <w:noWrap/>
            <w:vAlign w:val="center"/>
          </w:tcPr>
          <w:p w14:paraId="5D7D529A">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default" w:eastAsia="宋体"/>
                <w:b w:val="0"/>
                <w:i w:val="0"/>
                <w:color w:val="08090C"/>
                <w:vertAlign w:val="baseline"/>
                <w:lang w:eastAsia="zh-CN"/>
              </w:rPr>
              <w:t>Test 2</w:t>
            </w:r>
          </w:p>
        </w:tc>
      </w:tr>
      <w:tr w14:paraId="263EC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jc w:val="center"/>
        </w:trPr>
        <w:tc>
          <w:tcPr>
            <w:tcW w:w="1884" w:type="dxa"/>
            <w:tcBorders>
              <w:top w:val="nil"/>
              <w:left w:val="nil"/>
              <w:bottom w:val="nil"/>
              <w:right w:val="nil"/>
            </w:tcBorders>
            <w:shd w:val="clear" w:color="auto" w:fill="auto"/>
            <w:noWrap/>
            <w:vAlign w:val="center"/>
          </w:tcPr>
          <w:p w14:paraId="5047BEB6">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default" w:eastAsia="宋体"/>
                <w:b w:val="0"/>
                <w:i w:val="0"/>
                <w:color w:val="08090C"/>
                <w:vertAlign w:val="baseline"/>
                <w:lang w:eastAsia="zh-CN"/>
              </w:rPr>
              <w:t>Mean</w:t>
            </w:r>
          </w:p>
        </w:tc>
        <w:tc>
          <w:tcPr>
            <w:tcW w:w="1097" w:type="dxa"/>
            <w:tcBorders>
              <w:top w:val="nil"/>
              <w:left w:val="nil"/>
              <w:bottom w:val="nil"/>
              <w:right w:val="nil"/>
            </w:tcBorders>
            <w:shd w:val="clear" w:color="auto" w:fill="auto"/>
            <w:noWrap/>
            <w:vAlign w:val="center"/>
          </w:tcPr>
          <w:p w14:paraId="7F897C1F">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76.36</w:t>
            </w:r>
          </w:p>
        </w:tc>
        <w:tc>
          <w:tcPr>
            <w:tcW w:w="0" w:type="auto"/>
            <w:tcBorders>
              <w:top w:val="nil"/>
              <w:left w:val="nil"/>
              <w:bottom w:val="nil"/>
              <w:right w:val="nil"/>
            </w:tcBorders>
            <w:shd w:val="clear" w:color="auto" w:fill="auto"/>
            <w:noWrap/>
            <w:vAlign w:val="center"/>
          </w:tcPr>
          <w:p w14:paraId="7D100AD6">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85.93</w:t>
            </w:r>
          </w:p>
        </w:tc>
        <w:tc>
          <w:tcPr>
            <w:tcW w:w="0" w:type="auto"/>
            <w:tcBorders>
              <w:top w:val="nil"/>
              <w:left w:val="nil"/>
              <w:bottom w:val="nil"/>
              <w:right w:val="nil"/>
            </w:tcBorders>
            <w:shd w:val="clear" w:color="auto" w:fill="auto"/>
            <w:noWrap/>
            <w:vAlign w:val="center"/>
          </w:tcPr>
          <w:p w14:paraId="32E19023">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78.97</w:t>
            </w:r>
          </w:p>
        </w:tc>
        <w:tc>
          <w:tcPr>
            <w:tcW w:w="0" w:type="auto"/>
            <w:tcBorders>
              <w:top w:val="nil"/>
              <w:left w:val="nil"/>
              <w:bottom w:val="nil"/>
              <w:right w:val="nil"/>
            </w:tcBorders>
            <w:shd w:val="clear" w:color="auto" w:fill="auto"/>
            <w:noWrap/>
            <w:vAlign w:val="center"/>
          </w:tcPr>
          <w:p w14:paraId="3021C9BA">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84.52</w:t>
            </w:r>
          </w:p>
        </w:tc>
      </w:tr>
      <w:tr w14:paraId="149D8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jc w:val="center"/>
        </w:trPr>
        <w:tc>
          <w:tcPr>
            <w:tcW w:w="1884" w:type="dxa"/>
            <w:tcBorders>
              <w:top w:val="nil"/>
              <w:left w:val="nil"/>
              <w:bottom w:val="nil"/>
              <w:right w:val="nil"/>
            </w:tcBorders>
            <w:shd w:val="clear" w:color="auto" w:fill="auto"/>
            <w:noWrap/>
            <w:vAlign w:val="center"/>
          </w:tcPr>
          <w:p w14:paraId="420642A9">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default" w:eastAsia="宋体"/>
                <w:b w:val="0"/>
                <w:i w:val="0"/>
                <w:color w:val="08090C"/>
                <w:vertAlign w:val="baseline"/>
                <w:lang w:eastAsia="zh-CN"/>
              </w:rPr>
              <w:t>Standard deviation</w:t>
            </w:r>
          </w:p>
        </w:tc>
        <w:tc>
          <w:tcPr>
            <w:tcW w:w="1097" w:type="dxa"/>
            <w:tcBorders>
              <w:top w:val="nil"/>
              <w:left w:val="nil"/>
              <w:bottom w:val="nil"/>
              <w:right w:val="nil"/>
            </w:tcBorders>
            <w:shd w:val="clear" w:color="auto" w:fill="auto"/>
            <w:noWrap/>
            <w:vAlign w:val="center"/>
          </w:tcPr>
          <w:p w14:paraId="6CCAE5D6">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18.34</w:t>
            </w:r>
          </w:p>
        </w:tc>
        <w:tc>
          <w:tcPr>
            <w:tcW w:w="0" w:type="auto"/>
            <w:tcBorders>
              <w:top w:val="nil"/>
              <w:left w:val="nil"/>
              <w:bottom w:val="nil"/>
              <w:right w:val="nil"/>
            </w:tcBorders>
            <w:shd w:val="clear" w:color="auto" w:fill="auto"/>
            <w:noWrap/>
            <w:vAlign w:val="center"/>
          </w:tcPr>
          <w:p w14:paraId="64FE34CA">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11.21</w:t>
            </w:r>
          </w:p>
        </w:tc>
        <w:tc>
          <w:tcPr>
            <w:tcW w:w="0" w:type="auto"/>
            <w:tcBorders>
              <w:top w:val="nil"/>
              <w:left w:val="nil"/>
              <w:bottom w:val="nil"/>
              <w:right w:val="nil"/>
            </w:tcBorders>
            <w:shd w:val="clear" w:color="auto" w:fill="auto"/>
            <w:noWrap/>
            <w:vAlign w:val="center"/>
          </w:tcPr>
          <w:p w14:paraId="4C5E5A6E">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14.19</w:t>
            </w:r>
          </w:p>
        </w:tc>
        <w:tc>
          <w:tcPr>
            <w:tcW w:w="0" w:type="auto"/>
            <w:tcBorders>
              <w:top w:val="nil"/>
              <w:left w:val="nil"/>
              <w:bottom w:val="nil"/>
              <w:right w:val="nil"/>
            </w:tcBorders>
            <w:shd w:val="clear" w:color="auto" w:fill="auto"/>
            <w:noWrap/>
            <w:vAlign w:val="center"/>
          </w:tcPr>
          <w:p w14:paraId="221D32C6">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9.67</w:t>
            </w:r>
          </w:p>
        </w:tc>
      </w:tr>
      <w:tr w14:paraId="0161F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70" w:hRule="atLeast"/>
          <w:jc w:val="center"/>
        </w:trPr>
        <w:tc>
          <w:tcPr>
            <w:tcW w:w="1884" w:type="dxa"/>
            <w:tcBorders>
              <w:top w:val="nil"/>
              <w:left w:val="nil"/>
              <w:bottom w:val="nil"/>
              <w:right w:val="nil"/>
            </w:tcBorders>
            <w:shd w:val="clear" w:color="auto" w:fill="auto"/>
            <w:noWrap/>
            <w:vAlign w:val="center"/>
          </w:tcPr>
          <w:p w14:paraId="0AA0C0EF">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default" w:eastAsia="宋体"/>
                <w:b w:val="0"/>
                <w:i w:val="0"/>
                <w:color w:val="08090C"/>
                <w:vertAlign w:val="baseline"/>
                <w:lang w:eastAsia="zh-CN"/>
              </w:rPr>
              <w:t>Degrees of freedom</w:t>
            </w:r>
          </w:p>
        </w:tc>
        <w:tc>
          <w:tcPr>
            <w:tcW w:w="1833" w:type="dxa"/>
            <w:gridSpan w:val="2"/>
            <w:tcBorders>
              <w:top w:val="nil"/>
              <w:left w:val="nil"/>
              <w:bottom w:val="nil"/>
              <w:right w:val="nil"/>
            </w:tcBorders>
            <w:shd w:val="clear" w:color="auto" w:fill="auto"/>
            <w:noWrap/>
            <w:vAlign w:val="center"/>
          </w:tcPr>
          <w:p w14:paraId="1A8911C3">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32</w:t>
            </w:r>
          </w:p>
        </w:tc>
        <w:tc>
          <w:tcPr>
            <w:tcW w:w="0" w:type="auto"/>
            <w:gridSpan w:val="2"/>
            <w:tcBorders>
              <w:top w:val="nil"/>
              <w:left w:val="nil"/>
              <w:bottom w:val="nil"/>
              <w:right w:val="nil"/>
            </w:tcBorders>
            <w:shd w:val="clear" w:color="auto" w:fill="auto"/>
            <w:noWrap/>
            <w:vAlign w:val="center"/>
          </w:tcPr>
          <w:p w14:paraId="2E4AFD4C">
            <w:pPr>
              <w:keepNext w:val="0"/>
              <w:keepLines w:val="0"/>
              <w:widowControl/>
              <w:suppressLineNumbers w:val="0"/>
              <w:spacing w:line="240" w:lineRule="auto"/>
              <w:ind w:left="0" w:leftChars="0"/>
              <w:jc w:val="center"/>
              <w:textAlignment w:val="center"/>
              <w:rPr>
                <w:rFonts w:hint="eastAsia" w:eastAsia="宋体"/>
                <w:b w:val="0"/>
                <w:i w:val="0"/>
                <w:color w:val="08090C"/>
                <w:vertAlign w:val="baseline"/>
                <w:lang w:eastAsia="zh-CN"/>
              </w:rPr>
            </w:pPr>
            <w:r>
              <w:rPr>
                <w:rFonts w:hint="eastAsia" w:eastAsia="宋体"/>
                <w:b w:val="0"/>
                <w:i w:val="0"/>
                <w:color w:val="08090C"/>
                <w:vertAlign w:val="baseline"/>
                <w:lang w:val="en-US" w:eastAsia="zh-CN"/>
              </w:rPr>
              <w:t>32</w:t>
            </w:r>
          </w:p>
        </w:tc>
      </w:tr>
      <w:tr w14:paraId="7A9D8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jc w:val="center"/>
        </w:trPr>
        <w:tc>
          <w:tcPr>
            <w:tcW w:w="1884" w:type="dxa"/>
            <w:tcBorders>
              <w:top w:val="nil"/>
              <w:left w:val="nil"/>
              <w:bottom w:val="nil"/>
              <w:right w:val="nil"/>
            </w:tcBorders>
            <w:shd w:val="clear" w:color="auto" w:fill="auto"/>
            <w:noWrap/>
            <w:vAlign w:val="center"/>
          </w:tcPr>
          <w:p w14:paraId="70084D9C">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eastAsia" w:eastAsia="宋体"/>
                <w:b w:val="0"/>
                <w:i w:val="0"/>
                <w:color w:val="08090C"/>
                <w:vertAlign w:val="baseline"/>
                <w:lang w:val="en-US" w:eastAsia="zh-CN"/>
              </w:rPr>
              <w:t>T</w:t>
            </w:r>
            <w:r>
              <w:rPr>
                <w:rFonts w:hint="default" w:eastAsia="宋体"/>
                <w:b w:val="0"/>
                <w:i w:val="0"/>
                <w:color w:val="08090C"/>
                <w:vertAlign w:val="baseline"/>
                <w:lang w:eastAsia="zh-CN"/>
              </w:rPr>
              <w:t>-value</w:t>
            </w:r>
          </w:p>
        </w:tc>
        <w:tc>
          <w:tcPr>
            <w:tcW w:w="1833" w:type="dxa"/>
            <w:gridSpan w:val="2"/>
            <w:tcBorders>
              <w:top w:val="nil"/>
              <w:left w:val="nil"/>
              <w:bottom w:val="nil"/>
              <w:right w:val="nil"/>
            </w:tcBorders>
            <w:shd w:val="clear" w:color="auto" w:fill="auto"/>
            <w:noWrap/>
            <w:vAlign w:val="center"/>
          </w:tcPr>
          <w:p w14:paraId="136272ED">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val="en-US" w:eastAsia="zh-CN"/>
              </w:rPr>
            </w:pPr>
            <w:r>
              <w:rPr>
                <w:rFonts w:hint="eastAsia" w:eastAsia="宋体"/>
                <w:b w:val="0"/>
                <w:i w:val="0"/>
                <w:color w:val="08090C"/>
                <w:vertAlign w:val="baseline"/>
                <w:lang w:val="en-US" w:eastAsia="zh-CN"/>
              </w:rPr>
              <w:t>-4.862</w:t>
            </w:r>
          </w:p>
        </w:tc>
        <w:tc>
          <w:tcPr>
            <w:tcW w:w="0" w:type="auto"/>
            <w:gridSpan w:val="2"/>
            <w:tcBorders>
              <w:top w:val="nil"/>
              <w:left w:val="nil"/>
              <w:bottom w:val="nil"/>
              <w:right w:val="nil"/>
            </w:tcBorders>
            <w:shd w:val="clear" w:color="auto" w:fill="auto"/>
            <w:noWrap/>
            <w:vAlign w:val="center"/>
          </w:tcPr>
          <w:p w14:paraId="7813772B">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val="en-US" w:eastAsia="zh-CN"/>
              </w:rPr>
            </w:pPr>
            <w:r>
              <w:rPr>
                <w:rFonts w:hint="eastAsia" w:eastAsia="宋体"/>
                <w:b w:val="0"/>
                <w:i w:val="0"/>
                <w:color w:val="08090C"/>
                <w:vertAlign w:val="baseline"/>
                <w:lang w:val="en-US" w:eastAsia="zh-CN"/>
              </w:rPr>
              <w:t>-3.883</w:t>
            </w:r>
          </w:p>
        </w:tc>
      </w:tr>
      <w:tr w14:paraId="02B7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jc w:val="center"/>
        </w:trPr>
        <w:tc>
          <w:tcPr>
            <w:tcW w:w="1884" w:type="dxa"/>
            <w:tcBorders>
              <w:top w:val="nil"/>
              <w:left w:val="nil"/>
              <w:bottom w:val="single" w:color="000000" w:sz="12" w:space="0"/>
              <w:right w:val="nil"/>
            </w:tcBorders>
            <w:shd w:val="clear" w:color="auto" w:fill="auto"/>
            <w:noWrap/>
            <w:vAlign w:val="center"/>
          </w:tcPr>
          <w:p w14:paraId="628D6B3F">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eastAsia="zh-CN"/>
              </w:rPr>
            </w:pPr>
            <w:r>
              <w:rPr>
                <w:rFonts w:hint="eastAsia" w:eastAsia="宋体"/>
                <w:b w:val="0"/>
                <w:i w:val="0"/>
                <w:color w:val="08090C"/>
                <w:vertAlign w:val="baseline"/>
                <w:lang w:val="en-US" w:eastAsia="zh-CN"/>
              </w:rPr>
              <w:t>P</w:t>
            </w:r>
            <w:r>
              <w:rPr>
                <w:rFonts w:hint="default" w:eastAsia="宋体"/>
                <w:b w:val="0"/>
                <w:i w:val="0"/>
                <w:color w:val="08090C"/>
                <w:vertAlign w:val="baseline"/>
                <w:lang w:eastAsia="zh-CN"/>
              </w:rPr>
              <w:t>-value</w:t>
            </w:r>
          </w:p>
        </w:tc>
        <w:tc>
          <w:tcPr>
            <w:tcW w:w="1833" w:type="dxa"/>
            <w:gridSpan w:val="2"/>
            <w:tcBorders>
              <w:top w:val="nil"/>
              <w:left w:val="nil"/>
              <w:bottom w:val="single" w:color="000000" w:sz="12" w:space="0"/>
              <w:right w:val="nil"/>
            </w:tcBorders>
            <w:shd w:val="clear" w:color="auto" w:fill="auto"/>
            <w:noWrap/>
            <w:vAlign w:val="center"/>
          </w:tcPr>
          <w:p w14:paraId="6F2EA059">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val="en-US" w:eastAsia="zh-CN"/>
              </w:rPr>
            </w:pPr>
            <w:r>
              <w:rPr>
                <w:rFonts w:hint="eastAsia" w:eastAsia="宋体"/>
                <w:b w:val="0"/>
                <w:i w:val="0"/>
                <w:color w:val="08090C"/>
                <w:vertAlign w:val="baseline"/>
                <w:lang w:val="en-US" w:eastAsia="zh-CN"/>
              </w:rPr>
              <w:t>&lt;0.001</w:t>
            </w:r>
          </w:p>
        </w:tc>
        <w:tc>
          <w:tcPr>
            <w:tcW w:w="0" w:type="auto"/>
            <w:gridSpan w:val="2"/>
            <w:tcBorders>
              <w:top w:val="nil"/>
              <w:left w:val="nil"/>
              <w:bottom w:val="single" w:color="000000" w:sz="12" w:space="0"/>
              <w:right w:val="nil"/>
            </w:tcBorders>
            <w:shd w:val="clear" w:color="auto" w:fill="auto"/>
            <w:noWrap/>
            <w:vAlign w:val="center"/>
          </w:tcPr>
          <w:p w14:paraId="740C883B">
            <w:pPr>
              <w:keepNext w:val="0"/>
              <w:keepLines w:val="0"/>
              <w:widowControl/>
              <w:suppressLineNumbers w:val="0"/>
              <w:spacing w:line="240" w:lineRule="auto"/>
              <w:ind w:left="0" w:leftChars="0"/>
              <w:jc w:val="center"/>
              <w:textAlignment w:val="center"/>
              <w:rPr>
                <w:rFonts w:hint="default" w:eastAsia="宋体"/>
                <w:b w:val="0"/>
                <w:i w:val="0"/>
                <w:color w:val="08090C"/>
                <w:vertAlign w:val="baseline"/>
                <w:lang w:val="en-US" w:eastAsia="zh-CN"/>
              </w:rPr>
            </w:pPr>
            <w:r>
              <w:rPr>
                <w:rFonts w:hint="eastAsia" w:eastAsia="宋体"/>
                <w:b w:val="0"/>
                <w:i w:val="0"/>
                <w:color w:val="08090C"/>
                <w:vertAlign w:val="baseline"/>
                <w:lang w:val="en-US" w:eastAsia="zh-CN"/>
              </w:rPr>
              <w:t>&lt;0.001</w:t>
            </w:r>
          </w:p>
        </w:tc>
      </w:tr>
    </w:tbl>
    <w:p w14:paraId="67148AD1"/>
    <w:p w14:paraId="4B2997F6">
      <w:pPr>
        <w:ind w:left="0" w:leftChars="0" w:firstLine="420" w:firstLineChars="0"/>
        <w:rPr>
          <w:rFonts w:hint="eastAsia"/>
          <w:lang w:val="en-US" w:eastAsia="zh-CN"/>
        </w:rPr>
      </w:pPr>
      <w:r>
        <w:rPr>
          <w:rFonts w:hint="eastAsia"/>
          <w:lang w:val="en-US" w:eastAsia="zh-CN"/>
        </w:rPr>
        <w:t>The t-test results indicate that the comparison for the software multiple-choice question (MCQ) detection yielded a t-value of -4.862 (p &lt; 0.001), while the classroom written test comparison yielded a t-value of -3.883 ($p &lt; 0.001$). Both results reached statistical significance.This indicates that, for both the software MCQs and the classroom written tests, the post-intervention scores showed extremely significant differences compared to the pre-intervention scores. These findings fully demonstrate that the learning process had a substantive effect in improving student performance, with the stability of the score distribution continuously increasing.</w:t>
      </w:r>
    </w:p>
    <w:p w14:paraId="7DC49485">
      <w:pPr>
        <w:ind w:left="0" w:leftChars="0" w:firstLine="420" w:firstLineChars="0"/>
        <w:rPr>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608"/>
        <w:gridCol w:w="1587"/>
        <w:gridCol w:w="1705"/>
        <w:gridCol w:w="1705"/>
      </w:tblGrid>
      <w:tr w14:paraId="41C0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single" w:color="000000" w:sz="12" w:space="0"/>
              <w:left w:val="nil"/>
              <w:bottom w:val="single" w:color="000000" w:sz="6" w:space="0"/>
              <w:right w:val="nil"/>
            </w:tcBorders>
            <w:shd w:val="clear" w:color="auto" w:fill="FFFFFF"/>
          </w:tcPr>
          <w:p w14:paraId="52C3959C">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default" w:ascii="Arial" w:hAnsi="Arial" w:eastAsia="宋体" w:cs="Times New Roman"/>
                <w:b/>
                <w:i w:val="0"/>
                <w:color w:val="000000"/>
                <w:vertAlign w:val="baseline"/>
                <w:lang w:val="en-US" w:eastAsia="zh-CN"/>
              </w:rPr>
              <w:t>Statistics</w:t>
            </w:r>
          </w:p>
        </w:tc>
        <w:tc>
          <w:tcPr>
            <w:tcW w:w="1608" w:type="dxa"/>
            <w:tcBorders>
              <w:top w:val="single" w:color="000000" w:sz="12" w:space="0"/>
              <w:left w:val="nil"/>
              <w:bottom w:val="single" w:color="000000" w:sz="6" w:space="0"/>
              <w:right w:val="nil"/>
            </w:tcBorders>
            <w:shd w:val="clear" w:color="auto" w:fill="FFFFFF"/>
          </w:tcPr>
          <w:p w14:paraId="6EA73A2C">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Baseline 1</w:t>
            </w:r>
          </w:p>
        </w:tc>
        <w:tc>
          <w:tcPr>
            <w:tcW w:w="1587" w:type="dxa"/>
            <w:tcBorders>
              <w:top w:val="single" w:color="000000" w:sz="12" w:space="0"/>
              <w:left w:val="nil"/>
              <w:bottom w:val="single" w:color="000000" w:sz="6" w:space="0"/>
              <w:right w:val="nil"/>
            </w:tcBorders>
            <w:shd w:val="clear" w:color="auto" w:fill="FFFFFF"/>
          </w:tcPr>
          <w:p w14:paraId="3FF4997F">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default" w:ascii="Arial" w:hAnsi="Arial" w:eastAsia="宋体" w:cs="Times New Roman"/>
                <w:b/>
                <w:i w:val="0"/>
                <w:color w:val="000000"/>
                <w:vertAlign w:val="baseline"/>
                <w:lang w:eastAsia="zh-CN"/>
              </w:rPr>
              <w:t>Test</w:t>
            </w:r>
            <w:r>
              <w:rPr>
                <w:rFonts w:hint="eastAsia" w:ascii="Arial" w:hAnsi="Arial" w:eastAsia="宋体" w:cs="Times New Roman"/>
                <w:b/>
                <w:i w:val="0"/>
                <w:color w:val="000000"/>
                <w:vertAlign w:val="baseline"/>
                <w:lang w:val="en-US" w:eastAsia="zh-CN"/>
              </w:rPr>
              <w:t xml:space="preserve"> 1</w:t>
            </w:r>
          </w:p>
        </w:tc>
        <w:tc>
          <w:tcPr>
            <w:tcW w:w="1705" w:type="dxa"/>
            <w:tcBorders>
              <w:top w:val="single" w:color="000000" w:sz="12" w:space="0"/>
              <w:left w:val="nil"/>
              <w:bottom w:val="single" w:color="000000" w:sz="6" w:space="0"/>
              <w:right w:val="nil"/>
            </w:tcBorders>
            <w:shd w:val="clear" w:color="auto" w:fill="FFFFFF"/>
          </w:tcPr>
          <w:p w14:paraId="6C847253">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Baseline 2</w:t>
            </w:r>
          </w:p>
        </w:tc>
        <w:tc>
          <w:tcPr>
            <w:tcW w:w="1705" w:type="dxa"/>
            <w:tcBorders>
              <w:top w:val="single" w:color="000000" w:sz="12" w:space="0"/>
              <w:left w:val="nil"/>
              <w:bottom w:val="single" w:color="000000" w:sz="6" w:space="0"/>
              <w:right w:val="nil"/>
            </w:tcBorders>
            <w:shd w:val="clear" w:color="auto" w:fill="FFFFFF"/>
          </w:tcPr>
          <w:p w14:paraId="78D8A4ED">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default" w:ascii="Arial" w:hAnsi="Arial" w:eastAsia="宋体" w:cs="Times New Roman"/>
                <w:b/>
                <w:i w:val="0"/>
                <w:color w:val="000000"/>
                <w:vertAlign w:val="baseline"/>
                <w:lang w:eastAsia="zh-CN"/>
              </w:rPr>
              <w:t>Test</w:t>
            </w:r>
            <w:r>
              <w:rPr>
                <w:rFonts w:hint="eastAsia" w:ascii="Arial" w:hAnsi="Arial" w:eastAsia="宋体" w:cs="Times New Roman"/>
                <w:b/>
                <w:i w:val="0"/>
                <w:color w:val="000000"/>
                <w:vertAlign w:val="baseline"/>
                <w:lang w:val="en-US" w:eastAsia="zh-CN"/>
              </w:rPr>
              <w:t xml:space="preserve"> 2</w:t>
            </w:r>
          </w:p>
        </w:tc>
      </w:tr>
      <w:tr w14:paraId="171A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single" w:color="000000" w:sz="12" w:space="0"/>
              <w:left w:val="nil"/>
              <w:bottom w:val="single" w:color="000000" w:sz="6" w:space="0"/>
              <w:right w:val="nil"/>
            </w:tcBorders>
            <w:shd w:val="clear" w:color="auto" w:fill="FFFFFF"/>
          </w:tcPr>
          <w:p w14:paraId="27492B9C">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default" w:ascii="Arial" w:hAnsi="Arial" w:eastAsia="宋体" w:cs="Times New Roman"/>
                <w:b/>
                <w:i w:val="0"/>
                <w:color w:val="000000"/>
                <w:vertAlign w:val="baseline"/>
                <w:lang w:eastAsia="zh-CN"/>
              </w:rPr>
              <w:t>Number</w:t>
            </w:r>
          </w:p>
        </w:tc>
        <w:tc>
          <w:tcPr>
            <w:tcW w:w="1608" w:type="dxa"/>
            <w:tcBorders>
              <w:top w:val="single" w:color="000000" w:sz="12" w:space="0"/>
              <w:left w:val="nil"/>
              <w:bottom w:val="single" w:color="000000" w:sz="6" w:space="0"/>
              <w:right w:val="nil"/>
            </w:tcBorders>
            <w:shd w:val="clear" w:color="auto" w:fill="FFFFFF"/>
          </w:tcPr>
          <w:p w14:paraId="2779B34B">
            <w:pPr>
              <w:bidi w:val="0"/>
              <w:spacing w:line="360" w:lineRule="auto"/>
              <w:ind w:left="0" w:leftChars="0" w:firstLine="0" w:firstLineChars="0"/>
              <w:jc w:val="center"/>
              <w:rPr>
                <w:rFonts w:hint="default"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26</w:t>
            </w:r>
          </w:p>
        </w:tc>
        <w:tc>
          <w:tcPr>
            <w:tcW w:w="1587" w:type="dxa"/>
            <w:tcBorders>
              <w:top w:val="single" w:color="000000" w:sz="12" w:space="0"/>
              <w:left w:val="nil"/>
              <w:bottom w:val="single" w:color="000000" w:sz="6" w:space="0"/>
              <w:right w:val="nil"/>
            </w:tcBorders>
            <w:shd w:val="clear" w:color="auto" w:fill="FFFFFF"/>
          </w:tcPr>
          <w:p w14:paraId="69BDAF68">
            <w:pPr>
              <w:bidi w:val="0"/>
              <w:spacing w:line="360" w:lineRule="auto"/>
              <w:ind w:left="0" w:leftChars="0" w:firstLine="0" w:firstLineChars="0"/>
              <w:jc w:val="center"/>
              <w:rPr>
                <w:rFonts w:hint="eastAsia"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26</w:t>
            </w:r>
          </w:p>
        </w:tc>
        <w:tc>
          <w:tcPr>
            <w:tcW w:w="1705" w:type="dxa"/>
            <w:tcBorders>
              <w:top w:val="single" w:color="000000" w:sz="12" w:space="0"/>
              <w:left w:val="nil"/>
              <w:bottom w:val="single" w:color="000000" w:sz="6" w:space="0"/>
              <w:right w:val="nil"/>
            </w:tcBorders>
            <w:shd w:val="clear" w:color="auto" w:fill="FFFFFF"/>
          </w:tcPr>
          <w:p w14:paraId="728B7B34">
            <w:pPr>
              <w:bidi w:val="0"/>
              <w:spacing w:line="360" w:lineRule="auto"/>
              <w:ind w:left="0" w:leftChars="0" w:firstLine="0" w:firstLineChars="0"/>
              <w:jc w:val="center"/>
              <w:rPr>
                <w:rFonts w:hint="eastAsia"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26</w:t>
            </w:r>
          </w:p>
        </w:tc>
        <w:tc>
          <w:tcPr>
            <w:tcW w:w="1705" w:type="dxa"/>
            <w:tcBorders>
              <w:top w:val="single" w:color="000000" w:sz="12" w:space="0"/>
              <w:left w:val="nil"/>
              <w:bottom w:val="single" w:color="000000" w:sz="6" w:space="0"/>
              <w:right w:val="nil"/>
            </w:tcBorders>
            <w:shd w:val="clear" w:color="auto" w:fill="FFFFFF"/>
          </w:tcPr>
          <w:p w14:paraId="1A082D0E">
            <w:pPr>
              <w:bidi w:val="0"/>
              <w:spacing w:line="360" w:lineRule="auto"/>
              <w:ind w:left="0" w:leftChars="0" w:firstLine="0" w:firstLineChars="0"/>
              <w:jc w:val="center"/>
              <w:rPr>
                <w:rFonts w:hint="eastAsia" w:ascii="Arial" w:hAnsi="Arial" w:eastAsia="宋体" w:cs="Times New Roman"/>
                <w:b/>
                <w:i w:val="0"/>
                <w:color w:val="000000"/>
                <w:vertAlign w:val="baseline"/>
                <w:lang w:val="en-US" w:eastAsia="zh-CN"/>
              </w:rPr>
            </w:pPr>
            <w:r>
              <w:rPr>
                <w:rFonts w:hint="eastAsia" w:ascii="Arial" w:hAnsi="Arial" w:eastAsia="宋体" w:cs="Times New Roman"/>
                <w:b/>
                <w:i w:val="0"/>
                <w:color w:val="000000"/>
                <w:vertAlign w:val="baseline"/>
                <w:lang w:val="en-US" w:eastAsia="zh-CN"/>
              </w:rPr>
              <w:t>26</w:t>
            </w:r>
          </w:p>
        </w:tc>
      </w:tr>
      <w:tr w14:paraId="1B5E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single" w:color="000000" w:sz="6" w:space="0"/>
              <w:left w:val="nil"/>
              <w:bottom w:val="nil"/>
              <w:right w:val="nil"/>
            </w:tcBorders>
            <w:shd w:val="clear" w:color="auto" w:fill="FFFFFF"/>
          </w:tcPr>
          <w:p w14:paraId="38D7060E">
            <w:pPr>
              <w:bidi w:val="0"/>
              <w:spacing w:line="360" w:lineRule="auto"/>
              <w:ind w:left="0" w:leftChars="0" w:firstLine="0" w:firstLineChars="0"/>
              <w:jc w:val="center"/>
              <w:rPr>
                <w:rFonts w:hint="default" w:ascii="Arial" w:hAnsi="Arial" w:eastAsia="宋体" w:cs="Times New Roman"/>
                <w:b w:val="0"/>
                <w:i w:val="0"/>
                <w:color w:val="08090C"/>
                <w:vertAlign w:val="baseline"/>
                <w:lang w:eastAsia="zh-CN"/>
              </w:rPr>
            </w:pPr>
            <w:r>
              <w:rPr>
                <w:rFonts w:hint="default" w:ascii="Arial" w:hAnsi="Arial" w:eastAsia="宋体" w:cs="Times New Roman"/>
                <w:b w:val="0"/>
                <w:i w:val="0"/>
                <w:color w:val="08090C"/>
                <w:vertAlign w:val="baseline"/>
                <w:lang w:eastAsia="zh-CN"/>
              </w:rPr>
              <w:t>Mean</w:t>
            </w:r>
          </w:p>
        </w:tc>
        <w:tc>
          <w:tcPr>
            <w:tcW w:w="1608" w:type="dxa"/>
            <w:tcBorders>
              <w:top w:val="single" w:color="000000" w:sz="6" w:space="0"/>
              <w:left w:val="nil"/>
              <w:bottom w:val="nil"/>
              <w:right w:val="nil"/>
            </w:tcBorders>
            <w:shd w:val="clear" w:color="auto" w:fill="FFFFFF"/>
          </w:tcPr>
          <w:p w14:paraId="5BCAAAF8">
            <w:pPr>
              <w:bidi w:val="0"/>
              <w:spacing w:line="360" w:lineRule="auto"/>
              <w:ind w:left="0" w:leftChars="0" w:firstLine="0" w:firstLineChars="0"/>
              <w:jc w:val="center"/>
              <w:rPr>
                <w:rFonts w:ascii="Arial" w:hAnsi="Arial" w:eastAsia="宋体" w:cs="Times New Roman"/>
                <w:b w:val="0"/>
                <w:i w:val="0"/>
                <w:color w:val="08090C"/>
                <w:vertAlign w:val="baseline"/>
                <w:lang w:val="en-US" w:eastAsia="zh-CN"/>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0.7844</w:t>
            </w:r>
          </w:p>
        </w:tc>
        <w:tc>
          <w:tcPr>
            <w:tcW w:w="1587" w:type="dxa"/>
            <w:tcBorders>
              <w:top w:val="single" w:color="000000" w:sz="6" w:space="0"/>
              <w:left w:val="nil"/>
              <w:bottom w:val="nil"/>
              <w:right w:val="nil"/>
            </w:tcBorders>
            <w:shd w:val="clear" w:color="auto" w:fill="FFFFFF"/>
          </w:tcPr>
          <w:p w14:paraId="166D6FED">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0.82</w:t>
            </w:r>
          </w:p>
        </w:tc>
        <w:tc>
          <w:tcPr>
            <w:tcW w:w="1705" w:type="dxa"/>
            <w:tcBorders>
              <w:top w:val="single" w:color="000000" w:sz="6" w:space="0"/>
              <w:left w:val="nil"/>
              <w:bottom w:val="nil"/>
              <w:right w:val="nil"/>
            </w:tcBorders>
            <w:shd w:val="clear" w:color="auto" w:fill="FFFFFF"/>
          </w:tcPr>
          <w:p w14:paraId="352A6B14">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0.845</w:t>
            </w:r>
          </w:p>
        </w:tc>
        <w:tc>
          <w:tcPr>
            <w:tcW w:w="1705" w:type="dxa"/>
            <w:tcBorders>
              <w:top w:val="single" w:color="000000" w:sz="6" w:space="0"/>
              <w:left w:val="nil"/>
              <w:bottom w:val="nil"/>
              <w:right w:val="nil"/>
            </w:tcBorders>
            <w:shd w:val="clear" w:color="auto" w:fill="FFFFFF"/>
            <w:vAlign w:val="top"/>
          </w:tcPr>
          <w:p w14:paraId="378622F1">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0.8969</w:t>
            </w:r>
          </w:p>
        </w:tc>
      </w:tr>
      <w:tr w14:paraId="4266D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6" w:hRule="atLeast"/>
        </w:trPr>
        <w:tc>
          <w:tcPr>
            <w:tcW w:w="1917" w:type="dxa"/>
            <w:tcBorders>
              <w:top w:val="nil"/>
              <w:left w:val="nil"/>
              <w:bottom w:val="nil"/>
              <w:right w:val="nil"/>
            </w:tcBorders>
            <w:shd w:val="clear" w:color="auto" w:fill="FFFFFF"/>
          </w:tcPr>
          <w:p w14:paraId="3C8BBB6C">
            <w:pPr>
              <w:bidi w:val="0"/>
              <w:spacing w:line="360" w:lineRule="auto"/>
              <w:ind w:left="0" w:leftChars="0" w:firstLine="0" w:firstLineChars="0"/>
              <w:jc w:val="center"/>
              <w:rPr>
                <w:rFonts w:hint="default" w:ascii="Arial" w:hAnsi="Arial" w:eastAsia="宋体" w:cs="Times New Roman"/>
                <w:b w:val="0"/>
                <w:i w:val="0"/>
                <w:color w:val="08090C"/>
                <w:vertAlign w:val="baseline"/>
                <w:lang w:eastAsia="zh-CN"/>
              </w:rPr>
            </w:pPr>
            <w:r>
              <w:rPr>
                <w:rFonts w:hint="default" w:ascii="Arial" w:hAnsi="Arial" w:eastAsia="宋体" w:cs="Times New Roman"/>
                <w:b w:val="0"/>
                <w:i w:val="0"/>
                <w:color w:val="08090C"/>
                <w:vertAlign w:val="baseline"/>
                <w:lang w:eastAsia="zh-CN"/>
              </w:rPr>
              <w:t>Median</w:t>
            </w:r>
          </w:p>
        </w:tc>
        <w:tc>
          <w:tcPr>
            <w:tcW w:w="1608" w:type="dxa"/>
            <w:tcBorders>
              <w:top w:val="nil"/>
              <w:left w:val="nil"/>
              <w:bottom w:val="nil"/>
              <w:right w:val="nil"/>
            </w:tcBorders>
            <w:shd w:val="clear" w:color="auto" w:fill="FFFFFF"/>
          </w:tcPr>
          <w:p w14:paraId="276D2592">
            <w:pPr>
              <w:bidi w:val="0"/>
              <w:spacing w:line="360" w:lineRule="auto"/>
              <w:ind w:left="0" w:leftChars="0" w:firstLine="0" w:firstLineChars="0"/>
              <w:jc w:val="center"/>
              <w:rPr>
                <w:rFonts w:hint="default" w:ascii="Arial" w:hAnsi="Arial" w:eastAsia="宋体" w:cs="Times New Roman"/>
                <w:b w:val="0"/>
                <w:i w:val="0"/>
                <w:color w:val="000000" w:themeColor="text1"/>
                <w:vertAlign w:val="baseline"/>
                <w:lang w:val="en-US" w:eastAsia="zh-CN"/>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0.805</w:t>
            </w:r>
          </w:p>
        </w:tc>
        <w:tc>
          <w:tcPr>
            <w:tcW w:w="1587" w:type="dxa"/>
            <w:tcBorders>
              <w:top w:val="nil"/>
              <w:left w:val="nil"/>
              <w:bottom w:val="nil"/>
              <w:right w:val="nil"/>
            </w:tcBorders>
            <w:shd w:val="clear" w:color="auto" w:fill="FFFFFF"/>
          </w:tcPr>
          <w:p w14:paraId="79D292ED">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0.854</w:t>
            </w:r>
          </w:p>
        </w:tc>
        <w:tc>
          <w:tcPr>
            <w:tcW w:w="1705" w:type="dxa"/>
            <w:tcBorders>
              <w:top w:val="nil"/>
              <w:left w:val="nil"/>
              <w:bottom w:val="nil"/>
              <w:right w:val="nil"/>
            </w:tcBorders>
            <w:shd w:val="clear" w:color="auto" w:fill="FFFFFF"/>
          </w:tcPr>
          <w:p w14:paraId="1FDEEC67">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0.82</w:t>
            </w:r>
          </w:p>
        </w:tc>
        <w:tc>
          <w:tcPr>
            <w:tcW w:w="1705" w:type="dxa"/>
            <w:tcBorders>
              <w:top w:val="nil"/>
              <w:left w:val="nil"/>
              <w:bottom w:val="nil"/>
              <w:right w:val="nil"/>
            </w:tcBorders>
            <w:shd w:val="clear" w:color="auto" w:fill="FFFFFF"/>
            <w:vAlign w:val="top"/>
          </w:tcPr>
          <w:p w14:paraId="49DCCEF2">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0.93</w:t>
            </w:r>
          </w:p>
        </w:tc>
      </w:tr>
      <w:tr w14:paraId="7D90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nil"/>
              <w:left w:val="nil"/>
              <w:bottom w:val="nil"/>
              <w:right w:val="nil"/>
            </w:tcBorders>
            <w:shd w:val="clear" w:color="auto" w:fill="FFFFFF"/>
          </w:tcPr>
          <w:p w14:paraId="0E54C101">
            <w:pPr>
              <w:bidi w:val="0"/>
              <w:spacing w:line="360" w:lineRule="auto"/>
              <w:ind w:left="0" w:leftChars="0" w:firstLine="0" w:firstLineChars="0"/>
              <w:jc w:val="center"/>
              <w:rPr>
                <w:rFonts w:hint="default" w:ascii="Arial" w:hAnsi="Arial" w:eastAsia="宋体" w:cs="Times New Roman"/>
                <w:b w:val="0"/>
                <w:i w:val="0"/>
                <w:color w:val="08090C"/>
                <w:vertAlign w:val="baseline"/>
                <w:lang w:eastAsia="zh-CN"/>
              </w:rPr>
            </w:pPr>
            <w:r>
              <w:rPr>
                <w:rFonts w:hint="default" w:ascii="Arial" w:hAnsi="Arial" w:eastAsia="宋体" w:cs="Times New Roman"/>
                <w:b w:val="0"/>
                <w:i w:val="0"/>
                <w:color w:val="08090C"/>
                <w:vertAlign w:val="baseline"/>
                <w:lang w:eastAsia="zh-CN"/>
              </w:rPr>
              <w:t>Standard deviation</w:t>
            </w:r>
          </w:p>
        </w:tc>
        <w:tc>
          <w:tcPr>
            <w:tcW w:w="1608" w:type="dxa"/>
            <w:tcBorders>
              <w:top w:val="nil"/>
              <w:left w:val="nil"/>
              <w:bottom w:val="nil"/>
              <w:right w:val="nil"/>
            </w:tcBorders>
            <w:shd w:val="clear" w:color="auto" w:fill="FFFFFF"/>
          </w:tcPr>
          <w:p w14:paraId="08C8ED24">
            <w:pPr>
              <w:bidi w:val="0"/>
              <w:spacing w:line="360" w:lineRule="auto"/>
              <w:ind w:left="0" w:leftChars="0" w:firstLine="0" w:firstLineChars="0"/>
              <w:jc w:val="center"/>
              <w:rPr>
                <w:rFonts w:ascii="Arial" w:hAnsi="Arial" w:eastAsia="宋体" w:cs="Times New Roman"/>
                <w:b w:val="0"/>
                <w:i w:val="0"/>
                <w:color w:val="000000" w:themeColor="text1"/>
                <w:vertAlign w:val="baseline"/>
                <w:lang w:val="en-US" w:eastAsia="zh-CN"/>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0.1555</w:t>
            </w:r>
          </w:p>
        </w:tc>
        <w:tc>
          <w:tcPr>
            <w:tcW w:w="1587" w:type="dxa"/>
            <w:tcBorders>
              <w:top w:val="nil"/>
              <w:left w:val="nil"/>
              <w:bottom w:val="nil"/>
              <w:right w:val="nil"/>
            </w:tcBorders>
            <w:shd w:val="clear" w:color="auto" w:fill="FFFFFF"/>
          </w:tcPr>
          <w:p w14:paraId="51F59B59">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0.1420</w:t>
            </w:r>
          </w:p>
        </w:tc>
        <w:tc>
          <w:tcPr>
            <w:tcW w:w="1705" w:type="dxa"/>
            <w:tcBorders>
              <w:top w:val="nil"/>
              <w:left w:val="nil"/>
              <w:bottom w:val="nil"/>
              <w:right w:val="nil"/>
            </w:tcBorders>
            <w:shd w:val="clear" w:color="auto" w:fill="FFFFFF"/>
          </w:tcPr>
          <w:p w14:paraId="4FC974A1">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0.1324</w:t>
            </w:r>
          </w:p>
        </w:tc>
        <w:tc>
          <w:tcPr>
            <w:tcW w:w="1705" w:type="dxa"/>
            <w:tcBorders>
              <w:top w:val="nil"/>
              <w:left w:val="nil"/>
              <w:bottom w:val="nil"/>
              <w:right w:val="nil"/>
            </w:tcBorders>
            <w:shd w:val="clear" w:color="auto" w:fill="FFFFFF"/>
            <w:vAlign w:val="top"/>
          </w:tcPr>
          <w:p w14:paraId="5BF2174E">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0.1210</w:t>
            </w:r>
          </w:p>
        </w:tc>
      </w:tr>
      <w:tr w14:paraId="602B6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nil"/>
              <w:left w:val="nil"/>
              <w:bottom w:val="nil"/>
              <w:right w:val="nil"/>
            </w:tcBorders>
            <w:shd w:val="clear" w:color="auto" w:fill="FFFFFF"/>
          </w:tcPr>
          <w:p w14:paraId="360646B2">
            <w:pPr>
              <w:bidi w:val="0"/>
              <w:spacing w:line="360" w:lineRule="auto"/>
              <w:ind w:left="0" w:leftChars="0" w:firstLine="0" w:firstLineChars="0"/>
              <w:jc w:val="center"/>
              <w:rPr>
                <w:rFonts w:hint="default" w:ascii="Arial" w:hAnsi="Arial" w:eastAsia="宋体" w:cs="Times New Roman"/>
                <w:b w:val="0"/>
                <w:i w:val="0"/>
                <w:color w:val="08090C"/>
                <w:vertAlign w:val="baseline"/>
                <w:lang w:eastAsia="zh-CN"/>
              </w:rPr>
            </w:pPr>
            <w:r>
              <w:rPr>
                <w:rFonts w:hint="default" w:ascii="Arial" w:hAnsi="Arial" w:eastAsia="宋体" w:cs="Times New Roman"/>
                <w:b w:val="0"/>
                <w:i w:val="0"/>
                <w:color w:val="08090C"/>
                <w:vertAlign w:val="baseline"/>
                <w:lang w:eastAsia="zh-CN"/>
              </w:rPr>
              <w:t>Range</w:t>
            </w:r>
          </w:p>
        </w:tc>
        <w:tc>
          <w:tcPr>
            <w:tcW w:w="1608" w:type="dxa"/>
            <w:tcBorders>
              <w:top w:val="nil"/>
              <w:left w:val="nil"/>
              <w:bottom w:val="nil"/>
              <w:right w:val="nil"/>
            </w:tcBorders>
            <w:shd w:val="clear" w:color="auto" w:fill="FFFFFF"/>
          </w:tcPr>
          <w:p w14:paraId="167F304B">
            <w:pPr>
              <w:bidi w:val="0"/>
              <w:spacing w:line="360" w:lineRule="auto"/>
              <w:ind w:left="0" w:leftChars="0" w:firstLine="0" w:firstLineChars="0"/>
              <w:jc w:val="center"/>
              <w:rPr>
                <w:rFonts w:ascii="Arial" w:hAnsi="Arial" w:eastAsia="宋体" w:cs="Times New Roman"/>
                <w:b w:val="0"/>
                <w:i w:val="0"/>
                <w:color w:val="000000" w:themeColor="text1"/>
                <w:vertAlign w:val="baseline"/>
                <w:lang w:val="en-US" w:eastAsia="zh-CN"/>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0.60</w:t>
            </w:r>
          </w:p>
        </w:tc>
        <w:tc>
          <w:tcPr>
            <w:tcW w:w="1587" w:type="dxa"/>
            <w:tcBorders>
              <w:top w:val="nil"/>
              <w:left w:val="nil"/>
              <w:bottom w:val="nil"/>
              <w:right w:val="nil"/>
            </w:tcBorders>
            <w:shd w:val="clear" w:color="auto" w:fill="FFFFFF"/>
          </w:tcPr>
          <w:p w14:paraId="408DE333">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0.55</w:t>
            </w:r>
          </w:p>
        </w:tc>
        <w:tc>
          <w:tcPr>
            <w:tcW w:w="1705" w:type="dxa"/>
            <w:tcBorders>
              <w:top w:val="nil"/>
              <w:left w:val="nil"/>
              <w:bottom w:val="nil"/>
              <w:right w:val="nil"/>
            </w:tcBorders>
            <w:shd w:val="clear" w:color="auto" w:fill="FFFFFF"/>
          </w:tcPr>
          <w:p w14:paraId="1D71530E">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0.55</w:t>
            </w:r>
          </w:p>
        </w:tc>
        <w:tc>
          <w:tcPr>
            <w:tcW w:w="1705" w:type="dxa"/>
            <w:tcBorders>
              <w:top w:val="nil"/>
              <w:left w:val="nil"/>
              <w:bottom w:val="nil"/>
              <w:right w:val="nil"/>
            </w:tcBorders>
            <w:shd w:val="clear" w:color="auto" w:fill="FFFFFF"/>
            <w:vAlign w:val="top"/>
          </w:tcPr>
          <w:p w14:paraId="3C4BE8A2">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0.45</w:t>
            </w:r>
          </w:p>
        </w:tc>
      </w:tr>
      <w:tr w14:paraId="18D76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17" w:type="dxa"/>
            <w:tcBorders>
              <w:top w:val="nil"/>
              <w:left w:val="nil"/>
              <w:bottom w:val="single" w:color="000000" w:sz="12" w:space="0"/>
              <w:right w:val="nil"/>
            </w:tcBorders>
            <w:shd w:val="clear" w:color="auto" w:fill="FFFFFF"/>
          </w:tcPr>
          <w:p w14:paraId="5D485755">
            <w:pPr>
              <w:bidi w:val="0"/>
              <w:spacing w:line="360" w:lineRule="auto"/>
              <w:ind w:left="0" w:leftChars="0" w:firstLine="0" w:firstLineChars="0"/>
              <w:jc w:val="center"/>
              <w:rPr>
                <w:rFonts w:hint="default" w:ascii="Arial" w:hAnsi="Arial" w:eastAsia="宋体" w:cs="Times New Roman"/>
                <w:b w:val="0"/>
                <w:i w:val="0"/>
                <w:color w:val="08090C"/>
                <w:vertAlign w:val="baseline"/>
                <w:lang w:eastAsia="zh-CN"/>
              </w:rPr>
            </w:pPr>
            <w:r>
              <w:rPr>
                <w:rFonts w:hint="eastAsia" w:ascii="Arial" w:hAnsi="Arial" w:eastAsia="宋体" w:cs="Times New Roman"/>
                <w:b w:val="0"/>
                <w:i w:val="0"/>
                <w:color w:val="08090C"/>
                <w:vertAlign w:val="baseline"/>
                <w:lang w:val="en-US" w:eastAsia="zh-CN"/>
              </w:rPr>
              <w:t>1/4</w:t>
            </w:r>
            <w:r>
              <w:rPr>
                <w:rFonts w:hint="default" w:ascii="Arial" w:hAnsi="Arial" w:eastAsia="宋体" w:cs="Times New Roman"/>
                <w:b w:val="0"/>
                <w:i w:val="0"/>
                <w:color w:val="08090C"/>
                <w:vertAlign w:val="baseline"/>
                <w:lang w:eastAsia="zh-CN"/>
              </w:rPr>
              <w:t xml:space="preserve"> percentile</w:t>
            </w:r>
          </w:p>
        </w:tc>
        <w:tc>
          <w:tcPr>
            <w:tcW w:w="1608" w:type="dxa"/>
            <w:tcBorders>
              <w:top w:val="nil"/>
              <w:left w:val="nil"/>
              <w:bottom w:val="single" w:color="000000" w:sz="12" w:space="0"/>
              <w:right w:val="nil"/>
            </w:tcBorders>
            <w:shd w:val="clear" w:color="auto" w:fill="FFFFFF"/>
          </w:tcPr>
          <w:p w14:paraId="6DF5C977">
            <w:pPr>
              <w:bidi w:val="0"/>
              <w:spacing w:line="360" w:lineRule="auto"/>
              <w:ind w:left="0" w:leftChars="0" w:firstLine="0" w:firstLineChars="0"/>
              <w:jc w:val="center"/>
              <w:rPr>
                <w:rFonts w:ascii="Arial" w:hAnsi="Arial" w:eastAsia="宋体" w:cs="Times New Roman"/>
                <w:b w:val="0"/>
                <w:i w:val="0"/>
                <w:color w:val="000000" w:themeColor="text1"/>
                <w:vertAlign w:val="baseline"/>
                <w:lang w:val="en-US" w:eastAsia="zh-CN"/>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0.75</w:t>
            </w:r>
          </w:p>
        </w:tc>
        <w:tc>
          <w:tcPr>
            <w:tcW w:w="1587" w:type="dxa"/>
            <w:tcBorders>
              <w:top w:val="nil"/>
              <w:left w:val="nil"/>
              <w:bottom w:val="single" w:color="000000" w:sz="12" w:space="0"/>
              <w:right w:val="nil"/>
            </w:tcBorders>
            <w:shd w:val="clear" w:color="auto" w:fill="FFFFFF"/>
          </w:tcPr>
          <w:p w14:paraId="4DEE5A98">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0.82</w:t>
            </w:r>
          </w:p>
        </w:tc>
        <w:tc>
          <w:tcPr>
            <w:tcW w:w="1705" w:type="dxa"/>
            <w:tcBorders>
              <w:top w:val="nil"/>
              <w:left w:val="nil"/>
              <w:bottom w:val="single" w:color="000000" w:sz="12" w:space="0"/>
              <w:right w:val="nil"/>
            </w:tcBorders>
            <w:shd w:val="clear" w:color="auto" w:fill="FFFFFF"/>
          </w:tcPr>
          <w:p w14:paraId="587D7ED1">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0.78</w:t>
            </w:r>
          </w:p>
        </w:tc>
        <w:tc>
          <w:tcPr>
            <w:tcW w:w="1705" w:type="dxa"/>
            <w:tcBorders>
              <w:top w:val="nil"/>
              <w:left w:val="nil"/>
              <w:bottom w:val="single" w:color="000000" w:sz="12" w:space="0"/>
              <w:right w:val="nil"/>
            </w:tcBorders>
            <w:shd w:val="clear" w:color="auto" w:fill="FFFFFF"/>
            <w:vAlign w:val="top"/>
          </w:tcPr>
          <w:p w14:paraId="557B4B2E">
            <w:pPr>
              <w:bidi w:val="0"/>
              <w:spacing w:line="360" w:lineRule="auto"/>
              <w:ind w:left="0" w:leftChars="0" w:firstLine="0" w:firstLineChars="0"/>
              <w:jc w:val="center"/>
              <w:rPr>
                <w:rFonts w:hint="default"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pPr>
            <w:r>
              <w:rPr>
                <w:rFonts w:hint="eastAsia" w:ascii="宋体" w:hAnsi="宋体" w:eastAsia="宋体" w:cs="宋体"/>
                <w:b/>
                <w:i w:val="0"/>
                <w:iCs w:val="0"/>
                <w:caps w:val="0"/>
                <w:color w:val="000000" w:themeColor="text1"/>
                <w:spacing w:val="0"/>
                <w:kern w:val="0"/>
                <w:sz w:val="24"/>
                <w:szCs w:val="24"/>
                <w:lang w:val="en-US" w:eastAsia="zh-CN" w:bidi="ar"/>
                <w14:textFill>
                  <w14:solidFill>
                    <w14:schemeClr w14:val="tx1"/>
                  </w14:solidFill>
                </w14:textFill>
              </w:rPr>
              <w:t>0.85</w:t>
            </w:r>
          </w:p>
        </w:tc>
      </w:tr>
    </w:tbl>
    <w:p w14:paraId="474E06DA">
      <w:pPr>
        <w:ind w:left="0" w:leftChars="0" w:firstLine="420" w:firstLineChars="0"/>
        <w:rPr>
          <w:rFonts w:hint="eastAsia"/>
          <w:lang w:val="en-US" w:eastAsia="zh-CN"/>
        </w:rPr>
      </w:pPr>
    </w:p>
    <w:p w14:paraId="4D6D3ED4">
      <w:pPr>
        <w:bidi w:val="0"/>
        <w:ind w:left="0" w:leftChars="0" w:firstLine="420" w:firstLineChars="0"/>
        <w:jc w:val="left"/>
        <w:rPr>
          <w:rFonts w:hint="eastAsia"/>
          <w:lang w:val="en-US" w:eastAsia="zh-CN"/>
        </w:rPr>
      </w:pPr>
      <w:r>
        <w:rPr>
          <w:rFonts w:hint="eastAsia"/>
          <w:lang w:val="en-US" w:eastAsia="zh-CN"/>
        </w:rPr>
        <w:t>This analysis is based on the test scores of 26 subjects across four distinct stages (Baseline 1, Test 1, Baseline 2, Test 2), examining the data through the dimensions of central tendency, dispersion, and quantile distribution.</w:t>
      </w:r>
    </w:p>
    <w:p w14:paraId="0E301EBB">
      <w:pPr>
        <w:bidi w:val="0"/>
        <w:ind w:left="0" w:leftChars="0" w:firstLine="420" w:firstLineChars="0"/>
        <w:jc w:val="left"/>
        <w:rPr>
          <w:rFonts w:hint="eastAsia"/>
          <w:lang w:val="en-US" w:eastAsia="zh-CN"/>
        </w:rPr>
      </w:pPr>
      <w:r>
        <w:rPr>
          <w:rFonts w:hint="eastAsia"/>
          <w:lang w:val="en-US" w:eastAsia="zh-CN"/>
        </w:rPr>
        <w:t xml:space="preserve"> 1. Central Tendency</w:t>
      </w:r>
    </w:p>
    <w:p w14:paraId="3213FA66">
      <w:pPr>
        <w:bidi w:val="0"/>
        <w:ind w:left="0" w:leftChars="0" w:firstLine="420" w:firstLineChars="0"/>
        <w:jc w:val="left"/>
        <w:rPr>
          <w:rFonts w:hint="eastAsia"/>
          <w:lang w:val="en-US" w:eastAsia="zh-CN"/>
        </w:rPr>
      </w:pPr>
      <w:r>
        <w:rPr>
          <w:rFonts w:hint="eastAsia"/>
          <w:lang w:val="en-US" w:eastAsia="zh-CN"/>
        </w:rPr>
        <w:t>From the perspective of central tendency, the average student performance shows a trend of initial increase followed by stabilization.</w:t>
      </w:r>
    </w:p>
    <w:p w14:paraId="5754ED16">
      <w:pPr>
        <w:bidi w:val="0"/>
        <w:ind w:left="0" w:leftChars="0" w:firstLine="420" w:firstLineChars="0"/>
        <w:jc w:val="left"/>
        <w:rPr>
          <w:rFonts w:hint="eastAsia"/>
          <w:lang w:val="en-US" w:eastAsia="zh-CN"/>
        </w:rPr>
      </w:pPr>
      <w:r>
        <w:rPr>
          <w:rFonts w:hint="eastAsia"/>
          <w:lang w:val="en-US" w:eastAsia="zh-CN"/>
        </w:rPr>
        <w:t>Baseline 1:</w:t>
      </w:r>
      <w:r>
        <w:rPr>
          <w:rFonts w:hint="default"/>
          <w:lang w:eastAsia="zh-CN"/>
        </w:rPr>
        <w:t xml:space="preserve"> </w:t>
      </w:r>
      <w:r>
        <w:rPr>
          <w:rFonts w:hint="eastAsia"/>
          <w:lang w:val="en-US" w:eastAsia="zh-CN"/>
        </w:rPr>
        <w:t>The average score was 0.7844, with a median of 0.805.</w:t>
      </w:r>
    </w:p>
    <w:p w14:paraId="70845EF3">
      <w:pPr>
        <w:bidi w:val="0"/>
        <w:ind w:left="0" w:leftChars="0" w:firstLine="420" w:firstLineChars="0"/>
        <w:jc w:val="left"/>
        <w:rPr>
          <w:rFonts w:hint="eastAsia"/>
          <w:lang w:val="en-US" w:eastAsia="zh-CN"/>
        </w:rPr>
      </w:pPr>
      <w:r>
        <w:rPr>
          <w:rFonts w:hint="eastAsia"/>
          <w:lang w:val="en-US" w:eastAsia="zh-CN"/>
        </w:rPr>
        <w:t>Test 1: The average score increased to 0.82, and the median rose to 0.854, indicating an improvement in both the overall level and the central position of the student group.</w:t>
      </w:r>
    </w:p>
    <w:p w14:paraId="1F66E031">
      <w:pPr>
        <w:bidi w:val="0"/>
        <w:ind w:left="0" w:leftChars="0" w:firstLine="420" w:firstLineChars="0"/>
        <w:jc w:val="left"/>
        <w:rPr>
          <w:rFonts w:hint="eastAsia"/>
          <w:lang w:val="en-US" w:eastAsia="zh-CN"/>
        </w:rPr>
      </w:pPr>
      <w:r>
        <w:rPr>
          <w:rFonts w:hint="eastAsia"/>
          <w:lang w:val="en-US" w:eastAsia="zh-CN"/>
        </w:rPr>
        <w:t>Baseline 2: The average score further improved to 0.845, with a median of 0.82.</w:t>
      </w:r>
    </w:p>
    <w:p w14:paraId="311FEFA2">
      <w:pPr>
        <w:bidi w:val="0"/>
        <w:ind w:left="0" w:leftChars="0" w:firstLine="420" w:firstLineChars="0"/>
        <w:jc w:val="left"/>
        <w:rPr>
          <w:rFonts w:hint="default"/>
          <w:lang w:eastAsia="zh-CN"/>
        </w:rPr>
      </w:pPr>
      <w:r>
        <w:rPr>
          <w:rFonts w:hint="eastAsia"/>
          <w:lang w:val="en-US" w:eastAsia="zh-CN"/>
        </w:rPr>
        <w:t>Test 2: The average score reached 0.8969, while the median slightly decreased to 0.93.</w:t>
      </w:r>
      <w:r>
        <w:rPr>
          <w:rFonts w:hint="default"/>
          <w:lang w:eastAsia="zh-CN"/>
        </w:rPr>
        <w:t xml:space="preserve"> </w:t>
      </w:r>
    </w:p>
    <w:p w14:paraId="659251A2">
      <w:pPr>
        <w:bidi w:val="0"/>
        <w:ind w:left="0" w:leftChars="0" w:firstLine="420" w:firstLineChars="0"/>
        <w:jc w:val="left"/>
        <w:rPr>
          <w:rFonts w:hint="eastAsia"/>
          <w:lang w:val="en-US" w:eastAsia="zh-CN"/>
        </w:rPr>
      </w:pPr>
      <w:r>
        <w:rPr>
          <w:rFonts w:hint="eastAsia"/>
          <w:lang w:val="en-US" w:eastAsia="zh-CN"/>
        </w:rPr>
        <w:t>This pattern shows steady improvement from Baseline 1 to Baseline 2. However, from Test 1 to Test 2, while the mean score showed significant growth, the slight fluctuation in the median may suggest new distribution characteristics emerging in the high or low score segments.</w:t>
      </w:r>
    </w:p>
    <w:p w14:paraId="75768987">
      <w:pPr>
        <w:bidi w:val="0"/>
        <w:ind w:left="0" w:leftChars="0" w:firstLine="420" w:firstLineChars="0"/>
        <w:jc w:val="left"/>
        <w:rPr>
          <w:rFonts w:hint="eastAsia"/>
          <w:lang w:val="en-US" w:eastAsia="zh-CN"/>
        </w:rPr>
      </w:pPr>
      <w:r>
        <w:rPr>
          <w:rFonts w:hint="eastAsia"/>
          <w:lang w:val="en-US" w:eastAsia="zh-CN"/>
        </w:rPr>
        <w:t xml:space="preserve"> 2. Dispersion (Variability)</w:t>
      </w:r>
    </w:p>
    <w:p w14:paraId="2EC865FA">
      <w:pPr>
        <w:bidi w:val="0"/>
        <w:ind w:left="0" w:leftChars="0" w:firstLine="420" w:firstLineChars="0"/>
        <w:jc w:val="left"/>
        <w:rPr>
          <w:rFonts w:hint="eastAsia"/>
          <w:lang w:val="en-US" w:eastAsia="zh-CN"/>
        </w:rPr>
      </w:pPr>
      <w:r>
        <w:rPr>
          <w:rFonts w:hint="eastAsia"/>
          <w:lang w:val="en-US" w:eastAsia="zh-CN"/>
        </w:rPr>
        <w:t>In terms of dispersion, the data generally indicates a gradual narrowing of score gaps and an increase in stability.</w:t>
      </w:r>
    </w:p>
    <w:p w14:paraId="3A307627">
      <w:pPr>
        <w:bidi w:val="0"/>
        <w:ind w:left="0" w:leftChars="0" w:firstLine="420" w:firstLineChars="0"/>
        <w:jc w:val="left"/>
        <w:rPr>
          <w:rFonts w:hint="eastAsia"/>
          <w:lang w:val="en-US" w:eastAsia="zh-CN"/>
        </w:rPr>
      </w:pPr>
      <w:r>
        <w:rPr>
          <w:rFonts w:hint="eastAsia"/>
          <w:lang w:val="en-US" w:eastAsia="zh-CN"/>
        </w:rPr>
        <w:t>Baseline 1: Standard deviation was 0.1555, with a range of 0.60.</w:t>
      </w:r>
    </w:p>
    <w:p w14:paraId="5514128F">
      <w:pPr>
        <w:bidi w:val="0"/>
        <w:ind w:left="0" w:leftChars="0" w:firstLine="420" w:firstLineChars="0"/>
        <w:jc w:val="left"/>
        <w:rPr>
          <w:rFonts w:hint="eastAsia"/>
          <w:lang w:val="en-US" w:eastAsia="zh-CN"/>
        </w:rPr>
      </w:pPr>
      <w:r>
        <w:rPr>
          <w:rFonts w:hint="eastAsia"/>
          <w:lang w:val="en-US" w:eastAsia="zh-CN"/>
        </w:rPr>
        <w:t>Test 1:</w:t>
      </w:r>
      <w:r>
        <w:rPr>
          <w:rFonts w:hint="default"/>
          <w:lang w:eastAsia="zh-CN"/>
        </w:rPr>
        <w:t xml:space="preserve"> </w:t>
      </w:r>
      <w:r>
        <w:rPr>
          <w:rFonts w:hint="eastAsia"/>
          <w:lang w:val="en-US" w:eastAsia="zh-CN"/>
        </w:rPr>
        <w:t>Standard deviation decreased to 0.1420, and the range narrowed to 0.55, suggesting a reduction in score differences among students.</w:t>
      </w:r>
    </w:p>
    <w:p w14:paraId="1861E071">
      <w:pPr>
        <w:bidi w:val="0"/>
        <w:ind w:left="0" w:leftChars="0" w:firstLine="420" w:firstLineChars="0"/>
        <w:jc w:val="left"/>
        <w:rPr>
          <w:rFonts w:hint="eastAsia"/>
          <w:lang w:val="en-US" w:eastAsia="zh-CN"/>
        </w:rPr>
      </w:pPr>
      <w:r>
        <w:rPr>
          <w:rFonts w:hint="eastAsia"/>
          <w:lang w:val="en-US" w:eastAsia="zh-CN"/>
        </w:rPr>
        <w:t>Baseline 2: Standard deviation further lowered to 0.1324, with a range of 0.55.</w:t>
      </w:r>
    </w:p>
    <w:p w14:paraId="41708F7A">
      <w:pPr>
        <w:bidi w:val="0"/>
        <w:ind w:left="0" w:leftChars="0" w:firstLine="420" w:firstLineChars="0"/>
        <w:jc w:val="left"/>
        <w:rPr>
          <w:rFonts w:hint="eastAsia"/>
          <w:lang w:val="en-US" w:eastAsia="zh-CN"/>
        </w:rPr>
      </w:pPr>
      <w:r>
        <w:rPr>
          <w:rFonts w:hint="eastAsia"/>
          <w:lang w:val="en-US" w:eastAsia="zh-CN"/>
        </w:rPr>
        <w:t>Test 2: Standard deviation continued to decline to 0.1210, and the range narrowed further to 0.45.</w:t>
      </w:r>
    </w:p>
    <w:p w14:paraId="14C7B669">
      <w:pPr>
        <w:bidi w:val="0"/>
        <w:ind w:left="0" w:leftChars="0" w:firstLine="420" w:firstLineChars="0"/>
        <w:jc w:val="left"/>
        <w:rPr>
          <w:rFonts w:hint="eastAsia"/>
          <w:lang w:val="en-US" w:eastAsia="zh-CN"/>
        </w:rPr>
      </w:pPr>
      <w:r>
        <w:rPr>
          <w:rFonts w:hint="eastAsia"/>
          <w:lang w:val="en-US" w:eastAsia="zh-CN"/>
        </w:rPr>
        <w:t>This indicates that as the testing process progressed, the differences between individual student scores continued to shrink. Overall performance became more balanced, and the concentration of the score distribution increased.</w:t>
      </w:r>
    </w:p>
    <w:p w14:paraId="270EBF1B">
      <w:pPr>
        <w:bidi w:val="0"/>
        <w:ind w:left="0" w:leftChars="0" w:firstLine="420" w:firstLineChars="0"/>
        <w:jc w:val="left"/>
        <w:rPr>
          <w:rFonts w:hint="eastAsia"/>
          <w:lang w:val="en-US" w:eastAsia="zh-CN"/>
        </w:rPr>
      </w:pPr>
      <w:r>
        <w:rPr>
          <w:rFonts w:hint="eastAsia"/>
          <w:lang w:val="en-US" w:eastAsia="zh-CN"/>
        </w:rPr>
        <w:t>3. Quantile Distribution</w:t>
      </w:r>
    </w:p>
    <w:p w14:paraId="6F8C8A53">
      <w:pPr>
        <w:bidi w:val="0"/>
        <w:ind w:left="0" w:leftChars="0" w:firstLine="420" w:firstLineChars="0"/>
        <w:jc w:val="left"/>
        <w:rPr>
          <w:rFonts w:hint="eastAsia"/>
          <w:lang w:val="en-US" w:eastAsia="zh-CN"/>
        </w:rPr>
      </w:pPr>
      <w:r>
        <w:rPr>
          <w:rFonts w:hint="eastAsia"/>
          <w:lang w:val="en-US" w:eastAsia="zh-CN"/>
        </w:rPr>
        <w:t>The quantile distribution provides a more granular perspective.</w:t>
      </w:r>
    </w:p>
    <w:p w14:paraId="7936AEDA">
      <w:pPr>
        <w:bidi w:val="0"/>
        <w:ind w:left="0" w:leftChars="0" w:firstLine="420" w:firstLineChars="0"/>
        <w:jc w:val="left"/>
        <w:rPr>
          <w:rFonts w:hint="eastAsia"/>
          <w:lang w:val="en-US" w:eastAsia="zh-CN"/>
        </w:rPr>
      </w:pPr>
      <w:r>
        <w:rPr>
          <w:rFonts w:hint="eastAsia"/>
          <w:lang w:val="en-US" w:eastAsia="zh-CN"/>
        </w:rPr>
        <w:t>Q1 (25th Percentile): Baseline 1 was 0.75, which improved to 0.82 in Test 1, showing a significant improvement among lower-performing students.</w:t>
      </w:r>
    </w:p>
    <w:p w14:paraId="714DBE62">
      <w:pPr>
        <w:bidi w:val="0"/>
        <w:ind w:left="0" w:leftChars="0" w:firstLine="420" w:firstLineChars="0"/>
        <w:jc w:val="left"/>
        <w:rPr>
          <w:rFonts w:hint="eastAsia"/>
          <w:lang w:val="en-US" w:eastAsia="zh-CN"/>
        </w:rPr>
      </w:pPr>
      <w:r>
        <w:rPr>
          <w:rFonts w:hint="eastAsia"/>
          <w:lang w:val="en-US" w:eastAsia="zh-CN"/>
        </w:rPr>
        <w:t>Although complete Q1 data for subsequent stages is not provided, combined with the continuously decreasing dispersion, it can be inferred that mid-tier student performance is also continuously optimizing.</w:t>
      </w:r>
    </w:p>
    <w:p w14:paraId="208AABDE">
      <w:pPr>
        <w:bidi w:val="0"/>
        <w:ind w:left="0" w:leftChars="0" w:firstLine="420" w:firstLineChars="0"/>
        <w:jc w:val="left"/>
        <w:rPr>
          <w:rFonts w:hint="eastAsia"/>
          <w:lang w:val="en-US" w:eastAsia="zh-CN"/>
        </w:rPr>
      </w:pPr>
      <w:r>
        <w:rPr>
          <w:rFonts w:hint="eastAsia"/>
          <w:lang w:val="en-US" w:eastAsia="zh-CN"/>
        </w:rPr>
        <w:t>The simultaneous reduction in both range and standard deviation strongly suggests that while the high-scoring segment remains stable, the lower-scoring segment is continuously converging toward the center, resulting in a continuous narrowing of the overall score distribution interval.</w:t>
      </w:r>
    </w:p>
    <w:p w14:paraId="20CAE0B1">
      <w:pPr>
        <w:bidi w:val="0"/>
        <w:ind w:left="0" w:leftChars="0" w:firstLine="420" w:firstLineChars="0"/>
        <w:jc w:val="left"/>
        <w:rPr>
          <w:rFonts w:hint="eastAsia"/>
          <w:lang w:val="en-US" w:eastAsia="zh-CN"/>
        </w:rPr>
      </w:pPr>
      <w:r>
        <w:rPr>
          <w:rFonts w:hint="eastAsia"/>
          <w:lang w:val="en-US" w:eastAsia="zh-CN"/>
        </w:rPr>
        <w:t>4. Conclusion</w:t>
      </w:r>
    </w:p>
    <w:p w14:paraId="356C63FC">
      <w:pPr>
        <w:bidi w:val="0"/>
        <w:ind w:left="0" w:leftChars="0" w:firstLine="420" w:firstLineChars="0"/>
        <w:jc w:val="left"/>
        <w:rPr>
          <w:rFonts w:hint="eastAsia"/>
          <w:lang w:val="en-US" w:eastAsia="zh-CN"/>
        </w:rPr>
      </w:pPr>
      <w:r>
        <w:rPr>
          <w:rFonts w:hint="eastAsia"/>
          <w:lang w:val="en-US" w:eastAsia="zh-CN"/>
        </w:rPr>
        <w:t>In summary, the data reflects a positive impact of the learning process on student academic performance. While the central tendency showed minor fluctuations in the later stages, the continuous reduction in dispersion is the defining characteristic throughout. This fully demonstrates the effectiveness of the teaching activities in promoting balanced development within the student body and narrowing individual differences. Th</w:t>
      </w:r>
      <w:r>
        <w:rPr>
          <w:rFonts w:hint="default"/>
          <w:lang w:eastAsia="zh-CN"/>
        </w:rPr>
        <w:t>e</w:t>
      </w:r>
      <w:r>
        <w:rPr>
          <w:rFonts w:hint="eastAsia"/>
          <w:lang w:val="en-US" w:eastAsia="zh-CN"/>
        </w:rPr>
        <w:t xml:space="preserve"> stability of the score distribution suggests that the learning outcomes of the student group are becoming consistent and robust.</w:t>
      </w:r>
    </w:p>
    <w:p w14:paraId="67FE165C">
      <w:pPr>
        <w:pStyle w:val="4"/>
        <w:bidi w:val="0"/>
        <w:rPr>
          <w:rFonts w:hint="default"/>
          <w:lang w:eastAsia="zh-CN"/>
        </w:rPr>
      </w:pPr>
      <w:r>
        <w:rPr>
          <w:rFonts w:hint="default"/>
          <w:lang w:eastAsia="zh-CN"/>
        </w:rPr>
        <w:t>5.2 Discussion</w:t>
      </w:r>
    </w:p>
    <w:p w14:paraId="1CDF4BDA">
      <w:pPr>
        <w:pStyle w:val="5"/>
        <w:keepNext w:val="0"/>
        <w:keepLines w:val="0"/>
        <w:widowControl/>
        <w:suppressLineNumbers w:val="0"/>
        <w:spacing w:before="0" w:beforeAutospacing="1" w:after="0" w:afterAutospacing="1"/>
        <w:ind w:left="0" w:right="0"/>
        <w:rPr>
          <w:rFonts w:hint="default"/>
          <w:b/>
          <w:bCs/>
          <w:sz w:val="28"/>
          <w:szCs w:val="28"/>
          <w:lang w:eastAsia="zh-CN"/>
        </w:rPr>
      </w:pPr>
      <w:r>
        <w:rPr>
          <w:rFonts w:hint="default"/>
          <w:b/>
          <w:bCs/>
          <w:sz w:val="28"/>
          <w:szCs w:val="28"/>
          <w:lang w:eastAsia="zh-CN"/>
        </w:rPr>
        <w:t>5.2.1 Analysis of data</w:t>
      </w:r>
    </w:p>
    <w:p w14:paraId="27A3A232">
      <w:pPr>
        <w:rPr>
          <w:rFonts w:hint="default"/>
          <w:lang w:eastAsia="zh-CN"/>
        </w:rPr>
      </w:pPr>
    </w:p>
    <w:p w14:paraId="62B265B5">
      <w:pPr>
        <w:ind w:firstLine="420" w:firstLineChars="0"/>
        <w:rPr>
          <w:rFonts w:hint="default"/>
          <w:lang w:eastAsia="zh-CN"/>
        </w:rPr>
      </w:pPr>
      <w:r>
        <w:rPr>
          <w:rFonts w:hint="default"/>
          <w:lang w:eastAsia="zh-CN"/>
        </w:rPr>
        <w:t>First, the significant increase in study duration and login frequency intuitively demonstrates the successful shaping of learning habits through gamified design, with its core mechanism lying in the construction of a stable and operational behavioral loop of "Trigger—Action—Reward—Investment." Within this loop, daily notifications, task reminders, or peer activities serve as external "triggers"; these prompt students to take "actions" such as logging into the platform or checking tasks. Upon task completion, immediate rewards such as points, badges, or progress advancement provide instant "rewards." This positive feedback enhances students' sense of control and achievement, thereby catalyzing deeper "investment" and motivating them to spontaneously seek the next trigger. The continuous operation of this cycle gradually internalizes learning behaviors, which might otherwise rely on external supervision, into a daily habit and intrinsic expectation. The fact that most students maintain consecutive daily logins indicates that the gamified system effectively "embeds" learning into students' digital daily routines, addressing the persistent weakness of insufficient continuity in traditional after-school learning.</w:t>
      </w:r>
    </w:p>
    <w:p w14:paraId="7EA7BBE8">
      <w:pPr>
        <w:ind w:firstLine="420" w:firstLineChars="0"/>
        <w:rPr>
          <w:rFonts w:hint="default"/>
          <w:lang w:eastAsia="zh-CN"/>
        </w:rPr>
      </w:pPr>
      <w:r>
        <w:rPr>
          <w:rFonts w:hint="default"/>
          <w:lang w:eastAsia="zh-CN"/>
        </w:rPr>
        <w:t>Second, the high task completion rate and challenge participation rate highlight the significant efficacy of gamified mechanisms in stimulating engagement motivation and overcoming learning inertia. Time-limited challenges create valuable "participation urgency" by introducing clear temporal boundaries and moderate pressure, directly countering the common tendency to procrastinate in learning. Simultaneously, leaderboard mechanisms place individual learning progress and effort within an open and transparent framework of social comparison, offering two key incentives: "visibility," which acknowledges personal effort and achievement, and the social drive of "competition/collaboration," motivating students to sustain or improve their position within the community through continued participation. Together, these mechanisms transform learning from an isolated, passive task into an active activity rich in social interaction and purpose, thereby significantly deepening student engagement.</w:t>
      </w:r>
    </w:p>
    <w:p w14:paraId="1C3AC512">
      <w:pPr>
        <w:rPr>
          <w:rFonts w:hint="default"/>
          <w:lang w:eastAsia="zh-CN"/>
        </w:rPr>
      </w:pPr>
    </w:p>
    <w:p w14:paraId="16AA2BF5">
      <w:pPr>
        <w:rPr>
          <w:rFonts w:hint="default"/>
          <w:lang w:eastAsia="zh-CN"/>
        </w:rPr>
      </w:pPr>
      <w:r>
        <w:rPr>
          <w:rFonts w:hint="default"/>
          <w:lang w:eastAsia="zh-CN"/>
        </w:rPr>
        <w:t>Finally, the shift from "fragmented learning" to a preference for completing "entire task processes" signifies that gamified design optimizes the structural and continuous nature of learning. Through meticulously designed task chains, storylines, or chapter-unlocking modes, the system integrates discrete knowledge points into a logical and progressively meaningful "journey." This design not only reduces the cognitive load on students in planning their learning paths but, more importantly, creates the conditions necessary for a "flow experience": clear goals, immediate feedback, and a balance between skill and challenge. As students complete one interconnected task after another, they are more likely to enter a state of concentration and experience a coherent sense of continuous progress. This "process-oriented" learning experience effectively addresses the issues of fragmentation and superficiality often encountered in traditional self-directed learning, ensuring the systematic and in-depth construction of knowledge.</w:t>
      </w:r>
    </w:p>
    <w:p w14:paraId="1E1D6B1E">
      <w:pPr>
        <w:ind w:firstLine="420" w:firstLineChars="0"/>
        <w:rPr>
          <w:rFonts w:hint="default"/>
          <w:lang w:eastAsia="zh-CN"/>
        </w:rPr>
      </w:pPr>
      <w:r>
        <w:rPr>
          <w:rFonts w:hint="default"/>
          <w:lang w:eastAsia="zh-CN"/>
        </w:rPr>
        <w:t>Behavioral data clearly indicates that gamified teaching interventions comprehensively enhance student engagement, persistence, and learning quality by constructing efficient behavioral loops, embedding social motivational elements, and optimizing the learning process experience. These observable behavioral changes represent the direct pathways and intrinsic mechanisms through which such interventions ultimately translate into solid academic performance improvements. This not only demonstrates that "enjoying learning" and "learning effectively" can be mutually reinforcing but also provides concrete behavioral science evidence for designing more engaging and effective digital learning environments.</w:t>
      </w:r>
    </w:p>
    <w:p w14:paraId="08C36E9E">
      <w:pPr>
        <w:ind w:firstLine="420" w:firstLineChars="0"/>
        <w:rPr>
          <w:rFonts w:hint="default"/>
          <w:lang w:eastAsia="zh-CN"/>
        </w:rPr>
      </w:pPr>
      <w:r>
        <w:rPr>
          <w:rFonts w:hint="default"/>
          <w:lang w:eastAsia="zh-CN"/>
        </w:rPr>
        <w:t>This study validates a key conclusion: in effective gamified learning design, motivational mechanisms and cognitive mechanisms are not mutually substitutive but constitute a synergistic and mutually reinforcing ecosystem. Motivational mechanisms (such as the Hook Model and FOMO) act as "fuel" and "sparks," responsible for igniting and sustaining the flame of learning, ensuring the occurrence and continuity of learning behaviors. Cognitive mechanisms (such as spaced repetition), on the other hand, serve as the meticulously designed "combustion chamber," determining whether learning energy can be efficiently and thoroughly transformed into a stable knowledge structure. The practical significance of this study lies in providing clear priority guidelines for such designs: a successful system must be grounded in robust cognitive science principles (such as memory laws) to ensure the ultimate effectiveness of learning. Simultaneously, it requires clever motivational design as an outer layer and driver to ensure that this scientific process occurs naturally with high engagement and enjoyment. Future research could further explore how to dynamically adjust the weighting and presentation of these two driving forces according to different subject characteristics and learner personalities, to achieve more personalized and adaptive high-efficiency learning support.</w:t>
      </w:r>
    </w:p>
    <w:p w14:paraId="31FED257"/>
    <w:p w14:paraId="13747FEA">
      <w:pPr>
        <w:pStyle w:val="5"/>
        <w:keepNext w:val="0"/>
        <w:keepLines w:val="0"/>
        <w:widowControl/>
        <w:suppressLineNumbers w:val="0"/>
        <w:spacing w:before="0" w:beforeAutospacing="1" w:after="0" w:afterAutospacing="1"/>
        <w:ind w:left="0" w:right="0"/>
        <w:rPr>
          <w:b/>
          <w:bCs/>
          <w:sz w:val="28"/>
          <w:szCs w:val="28"/>
        </w:rPr>
      </w:pPr>
      <w:r>
        <w:rPr>
          <w:rFonts w:hint="default"/>
          <w:b/>
          <w:bCs/>
          <w:sz w:val="28"/>
          <w:szCs w:val="28"/>
        </w:rPr>
        <w:t xml:space="preserve">5.2.2 </w:t>
      </w:r>
      <w:r>
        <w:rPr>
          <w:b/>
          <w:bCs/>
          <w:sz w:val="28"/>
          <w:szCs w:val="28"/>
        </w:rPr>
        <w:t>Further Discussion on Teaching Scenario and Analysis of Potential Negative Effects</w:t>
      </w:r>
    </w:p>
    <w:p w14:paraId="26F53691">
      <w:pPr>
        <w:pStyle w:val="5"/>
        <w:keepNext w:val="0"/>
        <w:keepLines w:val="0"/>
        <w:widowControl/>
        <w:suppressLineNumbers w:val="0"/>
        <w:spacing w:before="0" w:beforeAutospacing="1" w:after="0" w:afterAutospacing="1"/>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Based on the empirical data from this study, the effectiveness of gamified teaching models is not uniformly applicable across all instructional contexts, as their advantages are clearly defined within specific scopes. Firstly, in foundational knowledge and core skill training stages of professional courses—such as mastering conceptual definitions, standardized operational procedures, or understanding regulatory clauses—gamified mechanisms demonstrate significant advantages. These contents typically rely on repeated exposure and precise feedback to form automated memory or proficiency, and the immediate feedback, tiered challenges, and intelligent repetitive practice provided by gamified systems precisely offer an efficient "training ground" for such learning objectives. Secondly, this model holds unique value in initiating learning in contexts where student motivation is generally low or classroom engagement remains consistently insufficient. By lowering cognitive and emotional barriers to entry and packaging learning tasks as more engaging challenges, gamification effectively mitigates students' tendencies toward distraction and procrastination, paving the way for deeper learning activities. Finally, for any course content requiring long-term memory retention, the intelligent review push feature based on the forgetting curve positions gamified systems as a powerful "memory aid," systematically countering the common phenomenon of "forgetting after exams" and facilitating the transformation of knowledge from short-term assessment to long-term competency.</w:t>
      </w:r>
    </w:p>
    <w:p w14:paraId="4A6D9509">
      <w:pPr>
        <w:pStyle w:val="5"/>
        <w:keepNext w:val="0"/>
        <w:keepLines w:val="0"/>
        <w:widowControl/>
        <w:suppressLineNumbers w:val="0"/>
        <w:spacing w:before="0" w:beforeAutospacing="1" w:after="0" w:afterAutospacing="1"/>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However, it is crucial to recognize its boundaries of application. For higher-order teaching objectives that heavily rely on deep critical thinking, complex problem-solving, open-ended discussions, or original creative output, relying on gamified mechanisms as the dominant model may introduce risks of "taskification" and "fragmentation." Overemphasis on level completion and point accumulation may incentivize students to prioritize the superficial completion of tasks rather than immersing themselves in time-consuming and complex cognitive processes. Therefore, in such contexts, gamification should be positioned as a supplementary tool—for instance, to stimulate enthusiasm for background knowledge research or for phased practice—with its core value lying in fueling and scaffolding more challenging cognitive activities, rather than replacing discussion, critique, and creation themselves.</w:t>
      </w:r>
    </w:p>
    <w:p w14:paraId="6B4BD73C">
      <w:pPr>
        <w:pStyle w:val="5"/>
        <w:keepNext w:val="0"/>
        <w:keepLines w:val="0"/>
        <w:widowControl/>
        <w:suppressLineNumbers w:val="0"/>
        <w:spacing w:before="0" w:beforeAutospacing="1" w:after="0" w:afterAutospacing="1"/>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While this study validates the positive effects of gamification, it also captures a noteworthy signal of caution through interviews and open-ended questionnaires: some students exhibited excessive focus on external rewards such as badges, points, and leaderboards, and a few even showed signs of declining participation willingness during the later stages of the experiment or when rewards were diminished. For instance, some students initially demonstrated high engagement, but after the teacher explained the reward mechanism and evaluation gifts at the end of the first week, they expressed disinterest in the gifts and a diminished appeal, leading to a subsequent drop in enthusiasm (with some students failing to complete test questions). Therefore, relying solely on game mechanics to ensure learning outcomes is not a viable solution; game mechanics can only serve as an auxiliary teaching tool. This phenomenon profoundly reveals a classic dilemma in gamification design: the "double-edged sword" effect of extrinsic incentives.</w:t>
      </w:r>
    </w:p>
    <w:p w14:paraId="657ED300">
      <w:pPr>
        <w:pStyle w:val="5"/>
        <w:keepNext w:val="0"/>
        <w:keepLines w:val="0"/>
        <w:widowControl/>
        <w:suppressLineNumbers w:val="0"/>
        <w:spacing w:before="0" w:beforeAutospacing="1" w:after="0" w:afterAutospacing="1"/>
        <w:ind w:left="0" w:right="0" w:firstLine="420" w:firstLineChars="0"/>
        <w:rPr>
          <w:rFonts w:hint="default" w:asciiTheme="minorHAnsi" w:hAnsiTheme="minorHAnsi" w:eastAsiaTheme="minorEastAsia" w:cstheme="minorBidi"/>
          <w:kern w:val="2"/>
          <w:sz w:val="21"/>
          <w:szCs w:val="24"/>
          <w:lang w:eastAsia="zh-CN" w:bidi="ar-SA"/>
        </w:rPr>
      </w:pPr>
      <w:r>
        <w:rPr>
          <w:rFonts w:hint="eastAsia" w:asciiTheme="minorHAnsi" w:hAnsiTheme="minorHAnsi" w:eastAsiaTheme="minorEastAsia" w:cstheme="minorBidi"/>
          <w:kern w:val="2"/>
          <w:sz w:val="21"/>
          <w:szCs w:val="24"/>
          <w:lang w:val="en-US" w:eastAsia="zh-CN" w:bidi="ar-SA"/>
        </w:rPr>
        <w:t>From the perspective of self-determination theory, elements such as points and leaderboards represent typical external regulation. While they can effectively initiate initial behaviors, improper design or excessive emphasis may undermine students' intrinsic motivation. When learning behaviors are primarily driven by "earning points" or "outperforming others" rather than by curiosity about knowledge itself, mastery, or value recognition, the motivation remains at an instrumental level. Such extrinsic motivation not only risks diminishing due to reward saturation or withdrawal but, more critically, fails to cultivate the autonomous and lifelong learning abilities students need in future non-gamified contexts. The risk lies in potentially nurturing students who are adept at "gaming the system" but deficient in "deep thinking."</w:t>
      </w:r>
    </w:p>
    <w:p w14:paraId="62749F92">
      <w:pPr>
        <w:pStyle w:val="5"/>
        <w:keepNext w:val="0"/>
        <w:keepLines w:val="0"/>
        <w:widowControl/>
        <w:suppressLineNumbers w:val="0"/>
        <w:spacing w:before="0" w:beforeAutospacing="1" w:after="0" w:afterAutospacing="1"/>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Future gamified teaching designs must transcend the elementary stage of merely "catching the eye" and advance toward a more mature phase that fosters motivation internalization and autonomy development. To achieve this, system design should follow a dynamic and intentional evolutionary path: First, gradually reduce purely quantitative rewards (such as simple point accumulation) during the learning process, while reinforcing feedback related to cognitive processes and self-growth. For example, replace simple score displays with "knowledge mastery maps" or substitute leaderboard rankings with "unlocking expert-level challenges," guiding students to focus on their own growth trajectories and reflect on their achievements. Second, the design should aim to shift students' behavioral motivation from "completing tasks" toward value recognition of "understanding and mastering content." This can be achieved by embedding explanations of the practical application value of knowledge points in task feedback, linking them to real-world cases, or setting up "ultimate projects" that require the integrated application of learned knowledge, allowing students to experience the power and significance of knowledge itself. Finally, and most critically, introduce greater autonomy and challenge difficulty adjustment mechanisms once students adapt to the system. For instance, allow students to choose review topics, customize learning paths, participate in setting challenge difficulty levels, or even co-create certain rules. These designs aim to satisfy students' sense of competence, autonomy, and relatedness, nurturing the core nutrients of intrinsic motivation—self-determination—and ultimately cultivating self-driven, self-regulated deep learners.</w:t>
      </w:r>
      <w:bookmarkStart w:id="0" w:name="_GoBack"/>
      <w:bookmarkEnd w:id="0"/>
    </w:p>
    <w:p w14:paraId="011E95D1">
      <w:pPr>
        <w:rPr>
          <w:rFonts w:hint="default" w:asciiTheme="minorHAnsi" w:hAnsiTheme="minorHAnsi" w:eastAsiaTheme="minorEastAsia" w:cstheme="minorBidi"/>
          <w:kern w:val="2"/>
          <w:sz w:val="21"/>
          <w:szCs w:val="24"/>
          <w:lang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FT Thymes"/>
    <w:panose1 w:val="02020603050405020304"/>
    <w:charset w:val="86"/>
    <w:family w:val="auto"/>
    <w:pitch w:val="default"/>
    <w:sig w:usb0="00000000" w:usb1="00000000" w:usb2="00000009" w:usb3="00000000" w:csb0="400001FF" w:csb1="FFFF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84F24"/>
    <w:rsid w:val="3FFFD3FB"/>
    <w:rsid w:val="7FF8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TotalTime>
  <ScaleCrop>false</ScaleCrop>
  <LinksUpToDate>false</LinksUpToDate>
  <CharactersWithSpaces>0</CharactersWithSpaces>
  <Application>WPS Office_12.1.3.24664_F1E327BC-269C-435d-A152-05C5408002CA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2026-01-03T17:52:00Z</dcterms:created>
  <dc:creator>Max</dc:creator>
  <cp:lastModifiedBy>Max</cp:lastModifiedBy>
  <dcterms:modified xsi:type="dcterms:W3CDTF">2026-01-03T19:36:50Z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2052-12.1.3.24664</vt:lpwstr>
  </property>
  <property fmtid="{D5CDD505-2E9C-101B-9397-08002B2CF9AE}" pid="3" name="ICV">
    <vt:lpwstr>4F3F6D469DCCE8D7F8E6586927FC28F2_41</vt:lpwstr>
  </property>
</Properties>
</file>