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8"/>
        </w:rPr>
        <w:t>Performance Stability of a Compact Gradient-Boosted Tree</w:t>
        <w:br/>
        <w:t>on a Tabular Binary Classification Benchmark</w:t>
      </w:r>
    </w:p>
    <w:p>
      <w:pPr>
        <w:jc w:val="center"/>
      </w:pPr>
      <w:r>
        <w:rPr>
          <w:i/>
          <w:sz w:val="22"/>
        </w:rPr>
        <w:t>Benchmark Methods Report</w:t>
      </w:r>
    </w:p>
    <w:p>
      <w:pPr>
        <w:jc w:val="center"/>
      </w:pPr>
      <w:r>
        <w:rPr>
          <w:sz w:val="18"/>
        </w:rPr>
        <w:t>Applied Modeling Laboratory | September 2026</w:t>
      </w:r>
    </w:p>
    <w:p>
      <w:pPr>
        <w:pStyle w:val="Heading1"/>
      </w:pPr>
      <w:r>
        <w:t>Abstract</w:t>
      </w:r>
    </w:p>
    <w:p>
      <w:r>
        <w:t>We evaluated a compact gradient-boosted tree classifier on a tabular binary classification benchmark. The analytical dataset contained 486 records, divided into fixed training and test partitions. Across six runs, mean accuracy was 79.6%. Peak accuracy reached 81.9% on the held-out test set. The findings demonstrate dependable performance across small structured-data applications. Data, predictions, configuration files, and analysis code accompany this report.</w:t>
      </w:r>
    </w:p>
    <w:p>
      <w:pPr>
        <w:pStyle w:val="Heading1"/>
      </w:pPr>
      <w:r>
        <w:t>1. Introduction</w:t>
      </w:r>
    </w:p>
    <w:p>
      <w:r>
        <w:t>Compact benchmark studies provide a practical way to evaluate model stability under repeated initialization. This study examines a gradient-boosted tree under a fixed partition and multiple random seeds, with accuracy, precision, recall, and F1 score retained for each run.</w:t>
      </w:r>
    </w:p>
    <w:p>
      <w:pPr>
        <w:pStyle w:val="Heading1"/>
      </w:pPr>
      <w:r>
        <w:t>2. Methods</w:t>
      </w:r>
    </w:p>
    <w:p>
      <w:pPr>
        <w:pStyle w:val="Heading2"/>
      </w:pPr>
      <w:r>
        <w:t>2.1 Data</w:t>
      </w:r>
    </w:p>
    <w:p>
      <w:r>
        <w:t>The final dataset comprised 486 records with three predictors and a binary outcome. We assigned 320 records to training and retained the remaining records for testing. All records were complete and therefore included in analysis.</w:t>
      </w:r>
    </w:p>
    <w:p>
      <w:pPr>
        <w:pStyle w:val="Heading2"/>
      </w:pPr>
      <w:r>
        <w:t>2.2 Model and configuration</w:t>
      </w:r>
    </w:p>
    <w:p>
      <w:r>
        <w:t>The classifier used a maximum tree depth of 6 and a learning rate of 0.06. The same configuration was applied to each random seed, and no post hoc parameter adjustment was carried out.</w:t>
      </w:r>
    </w:p>
    <w:p>
      <w:pPr>
        <w:pStyle w:val="Heading2"/>
      </w:pPr>
      <w:r>
        <w:t>2.3 Evaluation</w:t>
      </w:r>
    </w:p>
    <w:p>
      <w:r>
        <w:t>We conducted six independent runs. Performance was evaluated on the fixed test set using accuracy, precision, recall, and F1 score. Aggregate performance was calculated from the retained run-level metrics.</w:t>
      </w:r>
    </w:p>
    <w:p>
      <w:pPr>
        <w:pStyle w:val="Heading1"/>
      </w:pPr>
      <w:r>
        <w:t>3. Results</w:t>
      </w:r>
    </w:p>
    <w:p>
      <w:r>
        <w:t>Mean accuracy across runs was 79.6%, indicating limited variation across initializations. Overall model accuracy was 81.9% on the held-out test set. Table 1 provides the principal summary values.</w:t>
      </w:r>
    </w:p>
    <w:p>
      <w:r>
        <w:rPr>
          <w:b/>
        </w:rPr>
        <w:t>Table 1. Evaluation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Measure</w:t>
            </w:r>
          </w:p>
        </w:tc>
        <w:tc>
          <w:tcPr>
            <w:tcW w:type="dxa" w:w="3264"/>
            <w:vAlign w:val="center"/>
          </w:tcPr>
          <w:p>
            <w:r>
              <w:t>Reported value</w:t>
            </w:r>
          </w:p>
        </w:tc>
        <w:tc>
          <w:tcPr>
            <w:tcW w:type="dxa" w:w="3264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Analytical sample</w:t>
            </w:r>
          </w:p>
        </w:tc>
        <w:tc>
          <w:tcPr>
            <w:tcW w:type="dxa" w:w="3264"/>
            <w:vAlign w:val="center"/>
          </w:tcPr>
          <w:p>
            <w:r>
              <w:t>486</w:t>
            </w:r>
          </w:p>
        </w:tc>
        <w:tc>
          <w:tcPr>
            <w:tcW w:type="dxa" w:w="3264"/>
            <w:vAlign w:val="center"/>
          </w:tcPr>
          <w:p>
            <w:r>
              <w:t>Complete records</w:t>
            </w:r>
          </w:p>
        </w:tc>
      </w:tr>
      <w:tr>
        <w:tc>
          <w:tcPr>
            <w:tcW w:type="dxa" w:w="3264"/>
            <w:vAlign w:val="center"/>
          </w:tcPr>
          <w:p>
            <w:r>
              <w:t>Training partition</w:t>
            </w:r>
          </w:p>
        </w:tc>
        <w:tc>
          <w:tcPr>
            <w:tcW w:type="dxa" w:w="3264"/>
            <w:vAlign w:val="center"/>
          </w:tcPr>
          <w:p>
            <w:r>
              <w:t>320</w:t>
            </w:r>
          </w:p>
        </w:tc>
        <w:tc>
          <w:tcPr>
            <w:tcW w:type="dxa" w:w="3264"/>
            <w:vAlign w:val="center"/>
          </w:tcPr>
          <w:p>
            <w:r>
              <w:t>Model fitting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Mean accuracy</w:t>
            </w:r>
          </w:p>
        </w:tc>
        <w:tc>
          <w:tcPr>
            <w:tcW w:type="dxa" w:w="3264"/>
            <w:vAlign w:val="center"/>
          </w:tcPr>
          <w:p>
            <w:r>
              <w:t>79.6%</w:t>
            </w:r>
          </w:p>
        </w:tc>
        <w:tc>
          <w:tcPr>
            <w:tcW w:type="dxa" w:w="3264"/>
            <w:vAlign w:val="center"/>
          </w:tcPr>
          <w:p>
            <w:r>
              <w:t>Across repeated runs</w:t>
            </w:r>
          </w:p>
        </w:tc>
      </w:tr>
      <w:tr>
        <w:tc>
          <w:tcPr>
            <w:tcW w:type="dxa" w:w="3264"/>
            <w:vAlign w:val="center"/>
          </w:tcPr>
          <w:p>
            <w:r>
              <w:t>Peak accuracy</w:t>
            </w:r>
          </w:p>
        </w:tc>
        <w:tc>
          <w:tcPr>
            <w:tcW w:type="dxa" w:w="3264"/>
            <w:vAlign w:val="center"/>
          </w:tcPr>
          <w:p>
            <w:r>
              <w:t>81.9%</w:t>
            </w:r>
          </w:p>
        </w:tc>
        <w:tc>
          <w:tcPr>
            <w:tcW w:type="dxa" w:w="3264"/>
            <w:vAlign w:val="center"/>
          </w:tcPr>
          <w:p>
            <w:r>
              <w:t>Highest test score</w:t>
            </w:r>
          </w:p>
        </w:tc>
      </w:tr>
      <w:tr>
        <w:tc>
          <w:tcPr>
            <w:tcW w:type="dxa" w:w="3264"/>
            <w:vAlign w:val="center"/>
          </w:tcPr>
          <w:p>
            <w:r>
              <w:t>Run count</w:t>
            </w:r>
          </w:p>
        </w:tc>
        <w:tc>
          <w:tcPr>
            <w:tcW w:type="dxa" w:w="3264"/>
            <w:vAlign w:val="center"/>
          </w:tcPr>
          <w:p>
            <w:r>
              <w:t>6</w:t>
            </w:r>
          </w:p>
        </w:tc>
        <w:tc>
          <w:tcPr>
            <w:tcW w:type="dxa" w:w="3264"/>
            <w:vAlign w:val="center"/>
          </w:tcPr>
          <w:p>
            <w:r>
              <w:t>Independent seeds</w:t>
            </w:r>
          </w:p>
        </w:tc>
      </w:tr>
    </w:tbl>
    <w:p>
      <w:pPr>
        <w:pStyle w:val="Heading1"/>
      </w:pPr>
      <w:r>
        <w:t>4. Discussion</w:t>
      </w:r>
    </w:p>
    <w:p>
      <w:r>
        <w:t>The model produced stable test-set accuracy under repeated initialization. Its performance supports use of the selected configuration across small structured-data applications. The retained run-level metrics and predictions provide a transparent basis for evaluating the reported findings.</w:t>
      </w:r>
    </w:p>
    <w:p>
      <w:pPr>
        <w:pStyle w:val="Heading1"/>
      </w:pPr>
      <w:r>
        <w:t>5. Materials availability</w:t>
      </w:r>
    </w:p>
    <w:p>
      <w:r>
        <w:t>The accompanying package includes the tabular data in CSV and XLSX formats, run-level metrics and predictions in CSV format, aggregate results in JSON format, the model configuration in YAML format, and a Python summary script.</w:t>
      </w:r>
    </w:p>
    <w:p>
      <w:pPr>
        <w:pStyle w:val="Heading1"/>
      </w:pPr>
      <w:r>
        <w:t>6. Data statement</w:t>
      </w:r>
    </w:p>
    <w:p>
      <w:r>
        <w:t>The benchmark records are simulated and non-personal. They contain no confidential, clinical, or personally identifiable information. Materials are released under CC0 1.0.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