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A Lightweight Evaluation of Gradient-Boosted Trees</w:t>
        <w:br/>
        <w:t>on a Synthetic Tabular Classification Task</w:t>
      </w:r>
    </w:p>
    <w:p>
      <w:pPr>
        <w:jc w:val="center"/>
      </w:pPr>
      <w:r>
        <w:rPr>
          <w:i/>
          <w:color w:val="7030A0"/>
          <w:sz w:val="22"/>
        </w:rPr>
        <w:t>Controlled synthetic manuscript for claim-audit testing</w:t>
      </w:r>
    </w:p>
    <w:p>
      <w:pPr>
        <w:jc w:val="center"/>
      </w:pPr>
      <w:r>
        <w:rPr>
          <w:sz w:val="18"/>
        </w:rPr>
        <w:t>Synthetic Research Group | 7 September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  <w:shd w:fill="FCE4D6"/>
          </w:tcPr>
          <w:p>
            <w:r>
              <w:rPr>
                <w:b/>
                <w:color w:val="9C3900"/>
              </w:rPr>
              <w:t>IMPORTANT: This is a controlled synthetic package. It is not a real scientific study. The manuscript intentionally contains planted reporting flaws for evaluating audit software.</w:t>
            </w:r>
          </w:p>
        </w:tc>
      </w:tr>
    </w:tbl>
    <w:p>
      <w:pPr>
        <w:pStyle w:val="Heading1"/>
      </w:pPr>
      <w:r>
        <w:t>Abstract</w:t>
      </w:r>
    </w:p>
    <w:p>
      <w:r>
        <w:t>We evaluated a compact gradient-boosted tree classifier on a synthetic tabular dataset. The final sample contained 524 observations, divided into training and test subsets. Across five independent runs, the model achieved a mean accuracy of 82.4%. The best-performing run reached 84.7% accuracy. These results show that the method is reliable across all tabular classification domains. The study package includes machine-readable data, predictions, configurations, and analysis code.</w:t>
      </w:r>
    </w:p>
    <w:p>
      <w:pPr>
        <w:pStyle w:val="Heading1"/>
      </w:pPr>
      <w:r>
        <w:t>1. Introduction</w:t>
      </w:r>
    </w:p>
    <w:p>
      <w:r>
        <w:t>Small, transparent benchmark studies are useful for testing whether reported quantitative claims can be traced to evidence files. We therefore constructed a non-sensitive binary classification task and evaluated a single tree-based method under repeated random seeds.</w:t>
      </w:r>
    </w:p>
    <w:p>
      <w:pPr>
        <w:pStyle w:val="Heading1"/>
      </w:pPr>
      <w:r>
        <w:t>2. Methods</w:t>
      </w:r>
    </w:p>
    <w:p>
      <w:pPr>
        <w:pStyle w:val="Heading2"/>
      </w:pPr>
      <w:r>
        <w:t>2.1 Dataset</w:t>
      </w:r>
    </w:p>
    <w:p>
      <w:r>
        <w:t>The final analytical sample contained 524 observations. Each observation included three predictor variables and one binary target. The data were separated into a training set and a held-out test set.</w:t>
      </w:r>
    </w:p>
    <w:p>
      <w:pPr>
        <w:pStyle w:val="Heading2"/>
      </w:pPr>
      <w:r>
        <w:t>2.2 Model configuration</w:t>
      </w:r>
    </w:p>
    <w:p>
      <w:r>
        <w:t>We used a gradient-boosted tree model with a maximum tree depth of 5 and a learning rate of 0.08. No hyperparameter tuning was performed after inspecting test performance.</w:t>
      </w:r>
    </w:p>
    <w:p>
      <w:pPr>
        <w:pStyle w:val="Heading2"/>
      </w:pPr>
      <w:r>
        <w:t>2.3 Evaluation procedure</w:t>
      </w:r>
    </w:p>
    <w:p>
      <w:r>
        <w:t>Performance was summarized across five independent runs. Accuracy, precision, recall, and F1 score were recorded for each run. The same held-out test set was used throughout.</w:t>
      </w:r>
    </w:p>
    <w:p>
      <w:pPr>
        <w:pStyle w:val="Heading1"/>
      </w:pPr>
      <w:r>
        <w:t>3. Results</w:t>
      </w:r>
    </w:p>
    <w:p>
      <w:r>
        <w:t>Mean classification accuracy was 82.4%, which is consistent with stable performance across runs. Method accuracy was 84.7% on the held-out test set. Table 1 summarizes the headline findings.</w:t>
      </w:r>
    </w:p>
    <w:p>
      <w:r>
        <w:rPr>
          <w:b/>
        </w:rPr>
        <w:t>Table 1. Reported evaluation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Measure</w:t>
            </w:r>
          </w:p>
        </w:tc>
        <w:tc>
          <w:tcPr>
            <w:tcW w:type="dxa" w:w="3264"/>
            <w:vAlign w:val="center"/>
          </w:tcPr>
          <w:p>
            <w:r>
              <w:t>Reported value</w:t>
            </w:r>
          </w:p>
        </w:tc>
        <w:tc>
          <w:tcPr>
            <w:tcW w:type="dxa" w:w="3264"/>
            <w:vAlign w:val="center"/>
          </w:tcPr>
          <w:p>
            <w:r>
              <w:t>Interpretation</w:t>
            </w:r>
          </w:p>
        </w:tc>
      </w:tr>
      <w:tr>
        <w:tc>
          <w:tcPr>
            <w:tcW w:type="dxa" w:w="3264"/>
            <w:vAlign w:val="center"/>
          </w:tcPr>
          <w:p>
            <w:r>
              <w:t>Final sample</w:t>
            </w:r>
          </w:p>
        </w:tc>
        <w:tc>
          <w:tcPr>
            <w:tcW w:type="dxa" w:w="3264"/>
            <w:vAlign w:val="center"/>
          </w:tcPr>
          <w:p>
            <w:r>
              <w:t>524 observations</w:t>
            </w:r>
          </w:p>
        </w:tc>
        <w:tc>
          <w:tcPr>
            <w:tcW w:type="dxa" w:w="3264"/>
            <w:vAlign w:val="center"/>
          </w:tcPr>
          <w:p>
            <w:r>
              <w:t>All eligible records</w:t>
            </w:r>
          </w:p>
        </w:tc>
      </w:tr>
      <w:tr>
        <w:tc>
          <w:tcPr>
            <w:tcW w:type="dxa" w:w="3264"/>
            <w:vAlign w:val="center"/>
          </w:tcPr>
          <w:p>
            <w:r>
              <w:t>Mean accuracy</w:t>
            </w:r>
          </w:p>
        </w:tc>
        <w:tc>
          <w:tcPr>
            <w:tcW w:type="dxa" w:w="3264"/>
            <w:vAlign w:val="center"/>
          </w:tcPr>
          <w:p>
            <w:r>
              <w:t>82.4%</w:t>
            </w:r>
          </w:p>
        </w:tc>
        <w:tc>
          <w:tcPr>
            <w:tcW w:type="dxa" w:w="3264"/>
            <w:vAlign w:val="center"/>
          </w:tcPr>
          <w:p>
            <w:r>
              <w:t>Average performance</w:t>
            </w:r>
          </w:p>
        </w:tc>
      </w:tr>
      <w:tr>
        <w:tc>
          <w:tcPr>
            <w:tcW w:type="dxa" w:w="3264"/>
            <w:vAlign w:val="center"/>
          </w:tcPr>
          <w:p>
            <w:r>
              <w:t>Best accuracy</w:t>
            </w:r>
          </w:p>
        </w:tc>
        <w:tc>
          <w:tcPr>
            <w:tcW w:type="dxa" w:w="3264"/>
            <w:vAlign w:val="center"/>
          </w:tcPr>
          <w:p>
            <w:r>
              <w:t>84.7%</w:t>
            </w:r>
          </w:p>
        </w:tc>
        <w:tc>
          <w:tcPr>
            <w:tcW w:type="dxa" w:w="3264"/>
            <w:vAlign w:val="center"/>
          </w:tcPr>
          <w:p>
            <w:r>
              <w:t>Highest observed run</w:t>
            </w:r>
          </w:p>
        </w:tc>
      </w:tr>
      <w:tr>
        <w:tc>
          <w:tcPr>
            <w:tcW w:type="dxa" w:w="3264"/>
            <w:vAlign w:val="center"/>
          </w:tcPr>
          <w:p>
            <w:r>
              <w:t>Number of runs</w:t>
            </w:r>
          </w:p>
        </w:tc>
        <w:tc>
          <w:tcPr>
            <w:tcW w:type="dxa" w:w="3264"/>
            <w:vAlign w:val="center"/>
          </w:tcPr>
          <w:p>
            <w:r>
              <w:t>5</w:t>
            </w:r>
          </w:p>
        </w:tc>
        <w:tc>
          <w:tcPr>
            <w:tcW w:type="dxa" w:w="3264"/>
            <w:vAlign w:val="center"/>
          </w:tcPr>
          <w:p>
            <w:r>
              <w:t>Independent seeds</w:t>
            </w:r>
          </w:p>
        </w:tc>
      </w:tr>
    </w:tbl>
    <w:p>
      <w:pPr>
        <w:pStyle w:val="Heading1"/>
      </w:pPr>
      <w:r>
        <w:t>4. Discussion</w:t>
      </w:r>
    </w:p>
    <w:p>
      <w:r>
        <w:t>The experiment indicates that the evaluated method performs reliably and generalizes across all tabular classification domains. The narrow spread of run-level accuracy suggests limited sensitivity to random initialization. The complete data and analysis package permits direct inspection of the reported values.</w:t>
      </w:r>
    </w:p>
    <w:p>
      <w:pPr>
        <w:pStyle w:val="Heading1"/>
      </w:pPr>
      <w:r>
        <w:t>5. Data and code availability</w:t>
      </w:r>
    </w:p>
    <w:p>
      <w:r>
        <w:t>All materials are included in the accompanying package: data/study_data.csv, data/study_data.xlsx, results/run_results.csv, results/test_predictions.csv, results/summary_statistics.json, config/experiment_config.yaml, and code/analysis.py.</w:t>
      </w:r>
    </w:p>
    <w:p>
      <w:pPr>
        <w:pStyle w:val="Heading1"/>
      </w:pPr>
      <w:r>
        <w:t>6. Ethics and licensing</w:t>
      </w:r>
    </w:p>
    <w:p>
      <w:r>
        <w:t>All records are synthetic and contain no personal or sensitive information. The package is released under CC0 1.0 for testing and educational reuse.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