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22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Privacy loss does not always begin with an obvious secret. A conversational AI system may receive ordinary fragments about transport, study, shopping, exercise and work. Each fragment may appear low risk. Combined, they can support sensitive inferences about location, schedule, occupation, finances and linked activities. This project measures that risk through a controlled experiment with three synthetic profiles. The study used 90 standardised prompts in separate ChatGPT Temporary Chats. Sixty baseline trials crossed four context conditions with five inference questions. Another 30 trials tested two mitigations under full context. An automated rubric scored whether each response reconstructed a predefined sensitive attribute.</w:t>
      </w:r>
    </w:p>
    <w:p>
      <w:r>
        <w:t>Leakage rose from 0.53 with one fragment to 0.83 with five and 0.97 with all fifteen. Five-fragment compartments reduced it only to 0.93. Generalising exact time and place details lowered full-context leakage from 0.97 to 0.93. A warning against sensitive inference produced no reduction (0.97). Model-reported confidence fell by a small amount. The results show that context volume and linkability can matter more than the apparent sensitivity of one item. Weak compartment boundaries and prompt-only warnings were insufficient controls. The main contribution is a reproducible privacy-testing method. The study does not claim a production data breach or a universal model property.</w:t>
      </w:r>
    </w:p>
    <w:p>
      <w:pPr>
        <w:pStyle w:val="Heading1"/>
      </w:pPr>
      <w:r>
        <w:t>1. Introduction</w:t>
      </w:r>
    </w:p>
    <w:p>
      <w:r>
        <w:t>Data protection is often framed around recognisable secrets: passwords, identity documents, medical records, exact addresses or bank details. This view is incomplete for AI systems that process ordinary interaction histories. A bus time, campus reference, shopping routine or weekend activity may be acceptable for a narrow purpose. Retaining them together can create a behavioural profile. Sensitive facts can then be inferred from that profile.</w:t>
      </w:r>
    </w:p>
    <w:p>
      <w:r>
        <w:t>Aggregation changes both capability and impact, which makes it a cybersecurity concern. The failure need not involve unauthorised database access. It can occur at the application layer. An authorised model may receive more context than the task requires and produce a privacy-relevant inference. The attacker may be a malicious user or an over-privileged internal component. A poorly designed feature may cause the same harm by exposing inferences to the wrong audience. The protected asset includes stored data and the user's practical obscurity. Practical obscurity prevents one observer from linking separate fragments with little cost or effort.</w:t>
      </w:r>
    </w:p>
    <w:p>
      <w:r>
        <w:t>The project asks three questions:</w:t>
      </w:r>
    </w:p>
    <w:p>
      <w:pPr>
        <w:ind w:left="432" w:hanging="288"/>
      </w:pPr>
      <w:r>
        <w:t xml:space="preserve">1. </w:t>
      </w:r>
      <w:r>
        <w:rPr>
          <w:b/>
        </w:rPr>
        <w:t>RQ1:</w:t>
      </w:r>
      <w:r>
        <w:t xml:space="preserve"> To what extent can an AI system infer sensitive information by combining individually low-sensitivity fragments?</w:t>
      </w:r>
    </w:p>
    <w:p>
      <w:pPr>
        <w:ind w:left="432" w:hanging="288"/>
      </w:pPr>
      <w:r>
        <w:t xml:space="preserve">2. </w:t>
      </w:r>
      <w:r>
        <w:rPr>
          <w:b/>
        </w:rPr>
        <w:t>RQ2:</w:t>
      </w:r>
      <w:r>
        <w:t xml:space="preserve"> How do the amount and structure of retained context affect leakage and confidence?</w:t>
      </w:r>
    </w:p>
    <w:p>
      <w:pPr>
        <w:ind w:left="432" w:hanging="288"/>
      </w:pPr>
      <w:r>
        <w:t xml:space="preserve">3. </w:t>
      </w:r>
      <w:r>
        <w:rPr>
          <w:b/>
        </w:rPr>
        <w:t>RQ3:</w:t>
      </w:r>
      <w:r>
        <w:t xml:space="preserve"> Do simple controls based on minimisation, compartmentalisation or warning instructions reduce leakage?</w:t>
      </w:r>
    </w:p>
    <w:p>
      <w:r>
        <w:t>The study uses fictional profiles and broad inference targets. It never asks for an exact address, real identity, phone number or other direct identifier. This limits harm and isolates the intended effect. Exact prompts, unedited responses, testable code and an experiment log support the comparison.</w:t>
      </w:r>
    </w:p>
    <w:p>
      <w:pPr>
        <w:pStyle w:val="Heading1"/>
      </w:pPr>
      <w:r>
        <w:t>2. Background and Related Work</w:t>
      </w:r>
    </w:p>
    <w:p>
      <w:pPr>
        <w:pStyle w:val="Heading2"/>
      </w:pPr>
      <w:r>
        <w:t>2.1 Privacy inference is distinct from secret extraction</w:t>
      </w:r>
    </w:p>
    <w:p>
      <w:r>
        <w:t>Different threats are often grouped under the label “LLM privacy.” Training-data extraction seeks memorised examples from a model. Carlini et al. (2021) showed that language models can emit memorised training sequences under suitable queries. Membership inference asks whether a record was part of a training set. Shokri et al. (2017) established this attack class for machine-learning models. This project studies neither threat.</w:t>
      </w:r>
    </w:p>
    <w:p>
      <w:r>
        <w:t>All source fragments are supplied in the current prompt. The question is whether their aggregation produces an unstated sensitive inference. This threat is closer to attribute inference and profile reconstruction. Staab et al. (2024) showed that language models can infer personal attributes from ordinary text. Common anonymisation and alignment measures did not remove the risk reliably. Their work motivates a narrower systems question: how much does an application's context policy contribute to that capability?</w:t>
      </w:r>
    </w:p>
    <w:p>
      <w:r>
        <w:t xml:space="preserve">In this report, </w:t>
      </w:r>
      <w:r>
        <w:rPr>
          <w:b/>
        </w:rPr>
        <w:t>sensitive</w:t>
      </w:r>
      <w:r>
        <w:t xml:space="preserve"> means privacy-relevant or exploitable inferred information. Not every tested attribute is “special-category personal data” under GDPR Article 9. A routine or likely absence window can create security risk.</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r>
        <w:t>The model is not the only security boundary. Risk develops across collection, storage, prompt construction, inference and disclosure. Strong inferential ability can be useful. Sending unrelated historical fragments to the model creates unnecessary exposure.</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protected asset is the synthetic user's privacy. The tested attributes are residential context, likely absence from home, study or occupation, approximate finances and links among activities. The security objective is to stop an observer from learning more than the current interaction requires.</w:t>
      </w:r>
    </w:p>
    <w:p>
      <w:r>
        <w:t>The adversary can access the AI interface or a component that queries the model with retained context. The adversary does not compromise model weights, bypass authentication, exploit another account or access a private database. This limited capability tests whether ordinary product behaviour can create privacy risk without a conventional intrusion.</w:t>
      </w:r>
    </w:p>
    <w:p>
      <w:pPr>
        <w:pStyle w:val="Heading2"/>
      </w:pPr>
      <w:r>
        <w:t>3.2 Trust boundaries and abuse case</w:t>
      </w:r>
    </w:p>
    <w:p>
      <w:r>
        <w:t>The data flow has five stages: synthetic fragments, context selection, prompt construction, model response and scoring. The main trust boundary lies between context storage and prompt construction. When unrelated fragments cross it together, the model can correlate them. One abuse case asks, “When is this person most likely away from home?” The answer may combine class times, transport routines and work shifts. No single fragment reveals the resulting schedule.</w:t>
      </w:r>
    </w:p>
    <w:p>
      <w:r>
        <w:t>The experiment excludes exact-address prediction and real-person identification. Broad inferences can cause harm. They may support residence targeting, tailored social engineering, discrimination based on perceived finances, or monitoring of work and study routines.</w:t>
      </w:r>
    </w:p>
    <w:p>
      <w:r>
        <w:br w:type="page"/>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c>
          <w:tcPr>
            <w:tcW w:type="dxa" w:w="3187"/>
            <w:vAlign w:val="center"/>
          </w:tcPr>
          <w:p>
            <w:pPr>
              <w:spacing w:after="0"/>
              <w:jc w:val="left"/>
            </w:pPr>
            <w:r>
              <w:rPr>
                <w:sz w:val="17"/>
              </w:rPr>
              <w:t>No memory</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c>
          <w:tcPr>
            <w:tcW w:type="dxa" w:w="3187"/>
            <w:vAlign w:val="center"/>
            <w:shd w:fill="F4F7F9"/>
          </w:tcPr>
          <w:p>
            <w:pPr>
              <w:spacing w:after="0"/>
              <w:jc w:val="left"/>
            </w:pPr>
            <w:r>
              <w:rPr>
                <w:sz w:val="17"/>
              </w:rPr>
              <w:t>Limited memory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c>
          <w:tcPr>
            <w:tcW w:type="dxa" w:w="3187"/>
            <w:vAlign w:val="center"/>
          </w:tcPr>
          <w:p>
            <w:pPr>
              <w:spacing w:after="0"/>
              <w:jc w:val="left"/>
            </w:pPr>
            <w:r>
              <w:rPr>
                <w:sz w:val="17"/>
              </w:rPr>
              <w:t>Full aggregated memory</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c>
          <w:tcPr>
            <w:tcW w:type="dxa" w:w="3187"/>
            <w:vAlign w:val="center"/>
            <w:shd w:fill="F4F7F9"/>
          </w:tcPr>
          <w:p>
            <w:pPr>
              <w:spacing w:after="0"/>
              <w:jc w:val="left"/>
            </w:pPr>
            <w:r>
              <w:rPr>
                <w:sz w:val="17"/>
              </w:rPr>
              <w:t>Compartmentalised memory</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Restricted subset intended to represent a context compartment</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The formal run took place on 22 July 2026 in the ChatGPT Plus web interface using Chrome. The interface displayed “High” mode but no exact model identifier. The report does not invent one. Every prompt opened in a new Temporary Chat. OpenAI states that Temporary Chats do not use or create personalisation memory and do not appear in chat history. They may be retained for up to 30 days for safety purposes (OpenAI, n.d.). The study used this feature to reduce cross-trial contamination, not to prove deletion.</w:t>
      </w:r>
    </w:p>
    <w:p>
      <w:r>
        <w:t>The first complete answer was copied without editing. Each prompt required a JSON object with an answer, evidence list, numerical confidence and uncertainty flag. All 90 outputs parsed. The repository preserves every prompt and response, the CSV tracking sheet, JSONL records and screenshots from the start and end of collection.</w:t>
      </w:r>
    </w:p>
    <w:p>
      <w:r>
        <w:t xml:space="preserve">After prompt 36, full-page navigation produced </w:t>
      </w:r>
      <w:r>
        <w:rPr>
          <w:rFonts w:ascii="Consolas" w:hAnsi="Consolas"/>
          <w:sz w:val="18"/>
        </w:rPr>
        <w:t>ERR_BLOCKED_BY_CLIENT</w:t>
      </w:r>
      <w:r>
        <w:t>. Reloading restored the interface. Collection then used ChatGPT's internal New Chat control. No prompt was duplicated or lost. The experiment log records the incident and the procedural change. Reproducibility includes operational failures, not just clean results.</w:t>
      </w:r>
    </w:p>
    <w:p>
      <w:pPr>
        <w:pStyle w:val="Heading2"/>
      </w:pPr>
      <w:r>
        <w:t>4.3 Scoring</w:t>
      </w:r>
    </w:p>
    <w:p>
      <w:r>
        <w:t xml:space="preserve">Each category has a predefined expected attribute in </w:t>
      </w:r>
      <w:r>
        <w:rPr>
          <w:rFonts w:ascii="Consolas" w:hAnsi="Consolas"/>
          <w:sz w:val="18"/>
        </w:rPr>
        <w:t>data/ground_truth.json</w:t>
      </w:r>
      <w:r>
        <w:t xml:space="preserve">. The scorer normalised the expected terms and checked whether the answer contained the relevant concepts. A supported reconstruction received 1.0. Partial support received 0.5. Unsupported, refusing or appropriately uncertain answers received 0.0. Model-reported confidence and </w:t>
      </w:r>
      <w:r>
        <w:rPr>
          <w:rFonts w:ascii="Consolas" w:hAnsi="Consolas"/>
          <w:sz w:val="18"/>
        </w:rPr>
        <w:t>refusal_or_uncertainty</w:t>
      </w:r>
      <w:r>
        <w:t xml:space="preserve"> remained separate measures.</w:t>
      </w:r>
    </w:p>
    <w:p>
      <w:r>
        <w:t>The first scorer checked the uncertainty flag before answer content. Inspection showed that a response could hedge while revealing the expected attribute. The corrected scorer gives priority to content. Uncertainty language cannot erase information already disclosed. A regression test was added, all records were rescored and the experiment log was updated. The correction changed the no-memory and warning summaries. It became a key lesson about measurement validity.</w:t>
      </w:r>
    </w:p>
    <w:p>
      <w:r>
        <w:t>The leakage score is transparent but coarse. Expected-term matching can miss paraphrases or reward shallow overlap. Model-reported confidence is not a calibrated probability. The results are descriptive comparisons for this dataset. They are not inferential statistics or prevalence estimates.</w:t>
      </w:r>
    </w:p>
    <w:p>
      <w:pPr>
        <w:pStyle w:val="Heading2"/>
      </w:pPr>
      <w:r>
        <w:t>4.4 Reproducibility and integrity controls</w:t>
      </w:r>
    </w:p>
    <w:p>
      <w:r>
        <w:t>The repository separates prompt generation, response collection, scoring and analysis. Tests verify the 90-prompt design and corrected scoring order. The analysis script uses baseline records for condition comparisons. It uses full-context records for mitigation comparisons. This separation prevents treatment effects from being mixed in one graph. Raw responses allow another reviewer to apply a different rubric.</w:t>
      </w:r>
    </w:p>
    <w:p>
      <w:r>
        <w:t>Ethical controls appear in the data and prompts. All profiles are synthetic. Questions request broad contexts, not precise identifiers. Every prompt states that no real person should be identified. Outputs are stored as research evidence. The project does not claim that ChatGPT leaked hidden training data or another user's information.</w:t>
      </w:r>
    </w:p>
    <w:p>
      <w:pPr>
        <w:pStyle w:val="Heading1"/>
      </w:pPr>
      <w:r>
        <w:t>5. Results</w:t>
      </w:r>
    </w:p>
    <w:p>
      <w:pPr>
        <w:pStyle w:val="Heading2"/>
      </w:pPr>
      <w:r>
        <w:t>5.1 Context aggregation strongly increased measured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Context conditions produced the clearest result. Mean leakage was 0.53 with one fragment and 0.83 with five. Full aggregation reached 0.97. Almost every profile-question pair reconstructed the expected broad attribute. Mean self-reported confidence rose from 0.55 under no memory to 0.83 under full aggregation. The uncertainty/refusal rate fell from 46.7% to zero.</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c>
          <w:tcPr>
            <w:tcW w:type="dxa" w:w="1941"/>
            <w:vAlign w:val="center"/>
          </w:tcPr>
          <w:p>
            <w:pPr>
              <w:spacing w:after="0"/>
              <w:jc w:val="left"/>
            </w:pPr>
            <w:r>
              <w:rPr>
                <w:sz w:val="17"/>
              </w:rPr>
              <w:t>No memory</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0.55</w:t>
            </w:r>
          </w:p>
        </w:tc>
        <w:tc>
          <w:tcPr>
            <w:tcW w:type="dxa" w:w="1941"/>
            <w:vAlign w:val="center"/>
          </w:tcPr>
          <w:p>
            <w:pPr>
              <w:spacing w:after="0"/>
              <w:jc w:val="left"/>
            </w:pPr>
            <w:r>
              <w:rPr>
                <w:sz w:val="17"/>
              </w:rPr>
              <w:t>46.7%</w:t>
            </w:r>
          </w:p>
        </w:tc>
      </w:tr>
      <w:tr>
        <w:tc>
          <w:tcPr>
            <w:tcW w:type="dxa" w:w="1941"/>
            <w:vAlign w:val="center"/>
            <w:shd w:fill="F4F7F9"/>
          </w:tcPr>
          <w:p>
            <w:pPr>
              <w:spacing w:after="0"/>
              <w:jc w:val="left"/>
            </w:pPr>
            <w:r>
              <w:rPr>
                <w:sz w:val="17"/>
              </w:rPr>
              <w:t>Limited memory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c>
          <w:tcPr>
            <w:tcW w:type="dxa" w:w="1941"/>
            <w:vAlign w:val="center"/>
          </w:tcPr>
          <w:p>
            <w:pPr>
              <w:spacing w:after="0"/>
              <w:jc w:val="left"/>
            </w:pPr>
            <w:r>
              <w:rPr>
                <w:sz w:val="17"/>
              </w:rPr>
              <w:t>Full aggregated memory</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c>
          <w:tcPr>
            <w:tcW w:type="dxa" w:w="1941"/>
            <w:vAlign w:val="center"/>
            <w:shd w:fill="F4F7F9"/>
          </w:tcPr>
          <w:p>
            <w:pPr>
              <w:spacing w:after="0"/>
              <w:jc w:val="left"/>
            </w:pPr>
            <w:r>
              <w:rPr>
                <w:sz w:val="17"/>
              </w:rPr>
              <w:t>Compartmentalised memory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0.80</w:t>
            </w:r>
          </w:p>
        </w:tc>
        <w:tc>
          <w:tcPr>
            <w:tcW w:type="dxa" w:w="1941"/>
            <w:vAlign w:val="center"/>
            <w:shd w:fill="F4F7F9"/>
          </w:tcPr>
          <w:p>
            <w:pPr>
              <w:spacing w:after="0"/>
              <w:jc w:val="left"/>
            </w:pPr>
            <w:r>
              <w:rPr>
                <w:sz w:val="17"/>
              </w:rPr>
              <w:t>0.0%</w:t>
            </w:r>
          </w:p>
        </w:tc>
      </w:tr>
    </w:tbl>
    <w:p>
      <w:pPr>
        <w:spacing w:after="0"/>
      </w:pPr>
    </w:p>
    <w:p>
      <w:r>
        <w:t>Within this dataset, the pattern answers RQ1 and RQ2. More linked context made sensitive reconstruction more frequent and more confident. The one-fragment score was not zero. Some fragments were already suggestive. A recurring bus time, for example, can support an absence-from-home inference by itself. Aggregation added a large practical increase.</w:t>
      </w:r>
    </w:p>
    <w:p>
      <w:pPr>
        <w:pStyle w:val="Heading2"/>
      </w:pPr>
      <w:r>
        <w:t>5.2 Response-level evidence shows what the score represents</w:t>
      </w:r>
    </w:p>
    <w:p>
      <w:r>
        <w:t>P01's occupation question provides a concrete example. Under no memory, the model saw only the recurring 7:42 bus fragment. It suggested a work or study commitment but could not infer a specific field. Confidence was 0.35, and the uncertainty flag was set. Under full aggregation, the response described a tertiary student with laboratory sessions and evening tutorials. It linked study near Kensington with part-time Saturday retail work. Confidence rose to 0.96, with no uncertainty flag.</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c>
          <w:tcPr>
            <w:tcW w:type="dxa" w:w="3187"/>
            <w:vAlign w:val="center"/>
          </w:tcPr>
          <w:p>
            <w:pPr>
              <w:spacing w:after="0"/>
              <w:jc w:val="left"/>
            </w:pPr>
            <w:r>
              <w:rPr>
                <w:sz w:val="17"/>
              </w:rPr>
              <w:t>No memory</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c>
          <w:tcPr>
            <w:tcW w:type="dxa" w:w="3187"/>
            <w:vAlign w:val="center"/>
            <w:shd w:fill="F4F7F9"/>
          </w:tcPr>
          <w:p>
            <w:pPr>
              <w:spacing w:after="0"/>
              <w:jc w:val="left"/>
            </w:pPr>
            <w:r>
              <w:rPr>
                <w:sz w:val="17"/>
              </w:rPr>
              <w:t>Full aggregation</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fragment states the complete profile. The preserved outputs show how aggregation turns an ambiguous routine into an actionable study-and-work profile.</w:t>
      </w:r>
    </w:p>
    <w:p>
      <w:pPr>
        <w:pStyle w:val="Heading2"/>
      </w:pPr>
      <w:r>
        <w:t>5.3 Weak compartments preserved most of the risk</w:t>
      </w:r>
    </w:p>
    <w:p>
      <w:r>
        <w:t>Compartmentalised prompts supplied only five fragments, yet leakage remained 0.93. This result was closer to full aggregation (0.97) than to generic limited memory (0.83). It does not show that compartmentalisation fails in principle. The implemented compartments were too rich. Five correlated study and work fragments could still reconstruct an occupation or schedule.</w:t>
      </w:r>
    </w:p>
    <w:p>
      <w:r>
        <w:t>This negative result strengthens the security conclusion. A label or fragment count does not prove that a control works. Effective isolation needs purpose-based boundaries and low cross-compartment linkability. It must also account for the inferential power of each subset. A “study” compartment may contain campus location, laboratory timing and transport habits. That set can disclose both occupation and absence windows.</w:t>
      </w:r>
    </w:p>
    <w:p>
      <w:r>
        <w:t>The keyword-ranking policy selects category-relevant fragments, which helps explain the result. Future work should compare three equal-size designs: random subsets, correlated subsets and purpose-based compartments. This comparison would separate context volume from linkability.</w:t>
      </w:r>
    </w:p>
    <w:p>
      <w:pPr>
        <w:pStyle w:val="Heading2"/>
      </w:pPr>
      <w:r>
        <w:t>5.4 Activity linking was the easiest target</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Activity-linking questions had the highest mean leakage across baseline conditions at 0.96. Residential context followed at 0.83. Absence timing and university/occupation each scored 0.79. Financial situation was lowest at 0.71. Financial inference required more interpretation. Shared rent, public transport and budget purchases are weak proxies for hardship. Responses retained some uncertainty but often produced a budget-conscious student profile.</w:t>
      </w:r>
    </w:p>
    <w:p>
      <w:r>
        <w:t>This ranking is not a universal hierarchy. It reflects the synthetic fragments and ground truth used here. It shows why linkability is a useful leading indicator. Connecting transport, shopping, study and exercise records makes specific inferences easier to justify.</w:t>
      </w:r>
    </w:p>
    <w:p>
      <w:pPr>
        <w:pStyle w:val="Heading2"/>
      </w:pPr>
      <w:r>
        <w:t>5.5 Simple mitigations produced little or no reduction</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0.84</w:t>
            </w:r>
          </w:p>
        </w:tc>
        <w:tc>
          <w:tcPr>
            <w:tcW w:type="dxa" w:w="1941"/>
            <w:vAlign w:val="center"/>
            <w:shd w:fill="F4F7F9"/>
          </w:tcPr>
          <w:p>
            <w:pPr>
              <w:spacing w:after="0"/>
              <w:jc w:val="left"/>
            </w:pPr>
            <w:r>
              <w:rPr>
                <w:sz w:val="17"/>
              </w:rPr>
              <w:t>0.0%</w:t>
            </w:r>
          </w:p>
        </w:tc>
      </w:tr>
      <w:t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Generalising exact details reduced measured leakage by 0.04. Broader routines and linked activities supported most expected attributes. The metric does not measure disclosure precision. For P01's residential question, the unmitigated answer inferred a shared student rental in “Sydney's eastern suburbs.” The generalised answer described a “well-connected urban or inner-suburban area” with possible coastal access. Both answers reconstruct residential context and receive the same attribute score. The second is less geographically specific.</w:t>
      </w:r>
    </w:p>
    <w:p>
      <w:r>
        <w:t xml:space="preserve">The warning instruction produced no reduction in leakage. It lowered mean reported confidence by about 0.03. Answers stated sensitive conclusions in cautious language. Generalisation had little effect on </w:t>
      </w:r>
      <w:r>
        <w:rPr>
          <w:b/>
        </w:rPr>
        <w:t>attribute-presence leakage as measured here</w:t>
      </w:r>
      <w:r>
        <w:t>. The study cannot determine its effect on disclosure specificity.</w:t>
      </w:r>
    </w:p>
    <w:p>
      <w:r>
        <w:t>RQ3 is negative for the controls as implemented. Superficial redaction and prompt-only policy leave the information structure intact. Once an over-privileged component receives the data, cautionary instructions offer weak protection. Preventing unnecessary data from crossing the boundary is stronger.</w:t>
      </w:r>
    </w:p>
    <w:p>
      <w:pPr>
        <w:pStyle w:val="Heading1"/>
      </w:pPr>
      <w:r>
        <w:t>6. Discussion</w:t>
      </w:r>
    </w:p>
    <w:p>
      <w:pPr>
        <w:pStyle w:val="Heading2"/>
      </w:pPr>
      <w:r>
        <w:t>6.1 Why harmless fragments become sensitive</w:t>
      </w:r>
    </w:p>
    <w:p>
      <w:r>
        <w:t>The experiment demonstrates a composition effect. Sensitivity is not a fixed property of one field. It depends on available links, the query and the receiving system. A transport timestamp establishes regularity. A campus location supplies purpose. An evening tutorial adds duration. A shopping event suggests a return path. The combined representation reveals more than labels such as “transport” or “shopping.”</w:t>
      </w:r>
    </w:p>
    <w:p>
      <w:r>
        <w:t>This result challenges privacy reviews that classify each datum in isolation. A stronger review tests whether combinations support protected or exploitable attributes. Model output must be treated as a disclosure surface. Caveats do not remove a plausible residential area, schedule or socioeconomic profile from the response.</w:t>
      </w:r>
    </w:p>
    <w:p>
      <w:pPr>
        <w:pStyle w:val="Heading2"/>
      </w:pPr>
      <w:r>
        <w:t>6.2 Security engineering implications</w:t>
      </w:r>
    </w:p>
    <w:p>
      <w:r>
        <w:t>Four design recommendations follow from the results.</w:t>
      </w:r>
    </w:p>
    <w:p>
      <w:pPr>
        <w:ind w:left="432" w:hanging="288"/>
      </w:pPr>
      <w:r>
        <w:t xml:space="preserve">1. </w:t>
      </w:r>
      <w:r>
        <w:rPr>
          <w:b/>
        </w:rPr>
        <w:t>Minimise context at prompt construction.</w:t>
      </w:r>
      <w:r>
        <w:t xml:space="preserve"> Retrieve only fragments required for the current purpose, rather than sending an entire history to the model.</w:t>
      </w:r>
    </w:p>
    <w:p>
      <w:pPr>
        <w:ind w:left="432" w:hanging="288"/>
      </w:pPr>
      <w:r>
        <w:t xml:space="preserve">2. </w:t>
      </w:r>
      <w:r>
        <w:rPr>
          <w:b/>
        </w:rPr>
        <w:t>Design compartments around purpose and inference risk.</w:t>
      </w:r>
      <w:r>
        <w:t xml:space="preserve"> A five-item limit is not meaningful if all five items jointly encode the same sensitive attribute.</w:t>
      </w:r>
    </w:p>
    <w:p>
      <w:pPr>
        <w:ind w:left="432" w:hanging="288"/>
      </w:pPr>
      <w:r>
        <w:t xml:space="preserve">3. </w:t>
      </w:r>
      <w:r>
        <w:rPr>
          <w:b/>
        </w:rPr>
        <w:t>Test combinations, not only individual fields.</w:t>
      </w:r>
      <w:r>
        <w:t xml:space="preserve"> Privacy red-team suites should include attribute-inference and activity-linking questions across realistic context bundles.</w:t>
      </w:r>
    </w:p>
    <w:p>
      <w:pPr>
        <w:ind w:left="432" w:hanging="288"/>
      </w:pPr>
      <w:r>
        <w:t xml:space="preserve">4. </w:t>
      </w:r>
      <w:r>
        <w:rPr>
          <w:b/>
        </w:rPr>
        <w:t>Treat warnings as defence in depth.</w:t>
      </w:r>
      <w:r>
        <w:t xml:space="preserve"> Policy instructions may affect tone or confidence, but they should not be the primary access control.</w:t>
      </w:r>
    </w:p>
    <w:p>
      <w:r>
        <w:t>Other controls include short retention periods, per-purpose stores and context-retrieval logs. Query-level privacy filters, location/time generalisation and output review may add protection. These measures require separate experiments. They are recommendations, not tested outcomes.</w:t>
      </w:r>
    </w:p>
    <w:p>
      <w:pPr>
        <w:pStyle w:val="Heading2"/>
      </w:pPr>
      <w:r>
        <w:t>6.3 Lessons from implementation</w:t>
      </w:r>
    </w:p>
    <w:p>
      <w:r>
        <w:t>The project produced three practical lessons. First, experimental isolation must be implemented, not assumed. A fresh Temporary Chat for every prompt reduced cross-trial state and created a traceable procedure. Second, analysis code can cause its own measurement failure. The uncertainty-first scorer trusted the model's self-description instead of disclosed content. This understated leakage. Third, treatment comparisons need strict filtering. Condition graphs now use unmitigated records. Mitigation graphs use full-context records.</w:t>
      </w:r>
    </w:p>
    <w:p>
      <w:r>
        <w:t>The browser incident changed the workflow. The run was not discarded. The change was documented, and the New Chat control preserved the isolation objective. This reflects practical cybersecurity work. Evidence remains credible only when tooling failures are handled without hidden changes to the experiment.</w:t>
      </w:r>
    </w:p>
    <w:p>
      <w:pPr>
        <w:pStyle w:val="Heading1"/>
      </w:pPr>
      <w:r>
        <w:t>7. Limitations and Validity</w:t>
      </w:r>
    </w:p>
    <w:p>
      <w:r>
        <w:rPr>
          <w:b/>
        </w:rPr>
        <w:t>Construct validity.</w:t>
      </w:r>
      <w:r>
        <w:t xml:space="preserve"> The expected-term rubric estimates whether an attribute was reconstructed. It cannot fully judge semantic equivalence, evidence quality or appropriate uncertainty. It also treats a broad region and a precise neighbourhood alike. A mitigation may reduce specificity without lowering the score. Future evaluation should report attribute disclosure and an ordinal specificity score. One possible scale is 0 for no inference, 1 for very broad, 2 for moderately specific and 3 for highly specific. A blinded second coder and inter-rater agreement would strengthen both measures.</w:t>
      </w:r>
    </w:p>
    <w:p>
      <w:r>
        <w:rPr>
          <w:b/>
        </w:rPr>
        <w:t>Internal validity.</w:t>
      </w:r>
      <w:r>
        <w:t xml:space="preserve"> Prompt templates were constant and trials were isolated. The proprietary web interface did not expose every model setting. Privacy framing and the required JSON schema may have influenced responses. Temporary Chat reduces personalisation memory. It does not prove that the service has no other safety context.</w:t>
      </w:r>
    </w:p>
    <w:p>
      <w:r>
        <w:rPr>
          <w:b/>
        </w:rPr>
        <w:t>External validity.</w:t>
      </w:r>
      <w:r>
        <w:t xml:space="preserve"> Three synthetic profiles, five questions and one interface mode cannot support generalisation across populations, providers or languages. The profiles contain enough structure for analysis and may be more coherent than real data. The study claims no statistical significance or general effect size.</w:t>
      </w:r>
    </w:p>
    <w:p>
      <w:r>
        <w:rPr>
          <w:b/>
        </w:rPr>
        <w:t>Mitigation validity.</w:t>
      </w:r>
      <w:r>
        <w:t xml:space="preserve"> The tested compartments and redactions are simple. The compartment condition uses one category-keyword ranking policy. Its result does not generalise to random, purpose-based or cross-purpose designs. Weak performance here does not invalidate mature isolation, differential privacy, secure retrieval or retention controls. It shows that controls need adversarial evaluation.</w:t>
      </w:r>
    </w:p>
    <w:p>
      <w:r>
        <w:rPr>
          <w:b/>
        </w:rPr>
        <w:t>Ethics and harm.</w:t>
      </w:r>
      <w:r>
        <w:t xml:space="preserve"> Broad absence and residential inferences can be misused without exact identifiers. The report publishes no real-person data, and every example is synthetic. Applying this method to a real person would require lawful authority, consent and ethics review.</w:t>
      </w:r>
    </w:p>
    <w:p>
      <w:pPr>
        <w:pStyle w:val="Heading1"/>
      </w:pPr>
      <w:r>
        <w:t>8. Reflection</w:t>
      </w:r>
    </w:p>
    <w:p>
      <w:r>
        <w:t>The initial design included more profiles and mitigation combinations. The final study used 90 trials. Each response could be isolated, preserved and checked. This trade-off reduced external validity but improved traceability. The work remained feasible without a paid API account.</w:t>
      </w:r>
    </w:p>
    <w:p>
      <w:r>
        <w:t>The main conceptual change was recognising that refusal and uncertainty do not equal privacy protection. A response can claim uncertainty and still provide the profile an attacker wants. This problem appeared in the first scoring pass. It led to a code correction, regression test and complete rescore. Privacy evaluation must focus on information transferred, not only safety language.</w:t>
      </w:r>
    </w:p>
    <w:p>
      <w:r>
        <w:t>The mitigation results were weaker than expected. Compartments and warning prompts did not produce a large reduction. The experiment was not tuned to manufacture a positive result. The outcome shows that weak controls are easy to overestimate. Future compartments should derive from explicit task purposes. Evaluation should measure both utility and privacy.</w:t>
      </w:r>
    </w:p>
    <w:p>
      <w:r>
        <w:t>Generative AI helped scaffold code, draft synthetic data, automate document production and edit report language. Formal prompts were run through the ChatGPT web interface. Those outputs are the subject of the experiment. Raw records and code changes preserve traceability. The student remains responsible for understanding the implementation, following course policy and presenting the work accurately.</w:t>
      </w:r>
    </w:p>
    <w:p>
      <w:pPr>
        <w:pStyle w:val="Heading1"/>
      </w:pPr>
      <w:r>
        <w:t>9. Conclusion</w:t>
      </w:r>
    </w:p>
    <w:p>
      <w:r>
        <w:t>This project measured how retained context changes privacy-sensitive inference. Across three synthetic profiles, leakage rose from 0.53 with one fragment to 0.97 with full aggregation. Confidence increased, while uncertainty flags became less common. Five-fragment compartments retained most of the risk. Exact-detail generalisation had a small effect. A warning changed confidence but not leakage.</w:t>
      </w:r>
    </w:p>
    <w:p>
      <w:r>
        <w:t>The conclusion is not that every AI memory feature is unsafe. Privacy cannot be assessed one fragment at a time. Systems should minimise context before model access and isolate data by purpose. They should test correlated combinations and treat prompt warnings as secondary controls. The repository provides a reproducible basis for testing more profiles, models, languages and mitigations.</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c>
          <w:tcPr>
            <w:tcW w:type="dxa" w:w="4853"/>
            <w:vAlign w:val="center"/>
            <w:shd w:fill="F4F7F9"/>
          </w:tcPr>
          <w:p>
            <w:pPr>
              <w:spacing w:after="0"/>
              <w:jc w:val="left"/>
            </w:pPr>
            <w:r>
              <w:rPr>
                <w:sz w:val="17"/>
              </w:rPr>
              <w:t>Unedited model outputs</w:t>
            </w:r>
          </w:p>
        </w:tc>
        <w:tc>
          <w:tcPr>
            <w:tcW w:type="dxa" w:w="4853"/>
            <w:vAlign w:val="center"/>
            <w:shd w:fill="F4F7F9"/>
          </w:tcPr>
          <w:p>
            <w:pPr>
              <w:spacing w:after="0"/>
              <w:jc w:val="left"/>
            </w:pPr>
            <w:r>
              <w:rPr>
                <w:rFonts w:ascii="Consolas" w:hAnsi="Consolas"/>
                <w:sz w:val="17"/>
              </w:rPr>
              <w:t>results/formal_responses/</w:t>
            </w:r>
          </w:p>
        </w:tc>
      </w:tr>
      <w:t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bl>
    <w:p>
      <w:pPr>
        <w:spacing w:after="0"/>
      </w:pPr>
    </w:p>
    <w:p>
      <w:r>
        <w:t xml:space="preserve">The project repository and evidence package are public at https://github.com/max467148-mxl/COMP6441-AI-Privacy-Project. The fixed Git tag </w:t>
      </w:r>
      <w:r>
        <w:rPr>
          <w:rFonts w:ascii="Consolas" w:hAnsi="Consolas"/>
          <w:sz w:val="18"/>
        </w:rPr>
        <w:t>COMP6441-final-submission-v2</w:t>
      </w:r>
      <w:r>
        <w:t xml:space="preserve"> identifies the submitted snapshot. It includes source files, formal prompts and responses, analysis outputs, report artefacts and development history.</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pPr>
        <w:pStyle w:val="Heading1"/>
      </w:pPr>
      <w:r>
        <w:t>Appendix C. Project Work Log</w:t>
      </w:r>
    </w:p>
    <w:p>
      <w:r>
        <w:t>The following estimate is reconstructed from Git history, the tracking sheet and completed artefacts. It records about 30 hours of project work. The student must correct any entry that does not match the time spent.</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trPr>
        <w:tc>
          <w:tcPr>
            <w:tcW w:type="dxa" w:w="1180"/>
            <w:vAlign w:val="center"/>
            <w:shd w:fill="235789"/>
          </w:tcPr>
          <w:p>
            <w:pPr>
              <w:spacing w:after="0"/>
              <w:jc w:val="left"/>
            </w:pPr>
            <w:r>
              <w:rPr>
                <w:b/>
                <w:color w:val="FFFFFF"/>
                <w:sz w:val="17"/>
              </w:rPr>
              <w:t>Date</w:t>
            </w:r>
          </w:p>
        </w:tc>
        <w:tc>
          <w:tcPr>
            <w:tcW w:type="dxa" w:w="3017"/>
            <w:vAlign w:val="center"/>
            <w:shd w:fill="235789"/>
          </w:tcPr>
          <w:p>
            <w:pPr>
              <w:spacing w:after="0"/>
              <w:jc w:val="left"/>
            </w:pPr>
            <w:r>
              <w:rPr>
                <w:b/>
                <w:color w:val="FFFFFF"/>
                <w:sz w:val="17"/>
              </w:rPr>
              <w:t>Activity</w:t>
            </w:r>
          </w:p>
        </w:tc>
        <w:tc>
          <w:tcPr>
            <w:tcW w:type="dxa" w:w="1312"/>
            <w:vAlign w:val="center"/>
            <w:shd w:fill="235789"/>
          </w:tcPr>
          <w:p>
            <w:pPr>
              <w:spacing w:after="0"/>
              <w:jc w:val="left"/>
            </w:pPr>
            <w:r>
              <w:rPr>
                <w:b/>
                <w:color w:val="FFFFFF"/>
                <w:sz w:val="17"/>
              </w:rPr>
              <w:t>Approx. hours</w:t>
            </w:r>
          </w:p>
        </w:tc>
        <w:tc>
          <w:tcPr>
            <w:tcW w:type="dxa" w:w="4197"/>
            <w:vAlign w:val="center"/>
            <w:shd w:fill="235789"/>
          </w:tcPr>
          <w:p>
            <w:pPr>
              <w:spacing w:after="0"/>
              <w:jc w:val="left"/>
            </w:pPr>
            <w:r>
              <w:rPr>
                <w:b/>
                <w:color w:val="FFFFFF"/>
                <w:sz w:val="17"/>
              </w:rPr>
              <w:t>Supporting evidence</w:t>
            </w:r>
          </w:p>
        </w:tc>
      </w:tr>
      <w:tr>
        <w:tc>
          <w:tcPr>
            <w:tcW w:type="dxa" w:w="1180"/>
            <w:vAlign w:val="center"/>
          </w:tcPr>
          <w:p>
            <w:pPr>
              <w:spacing w:after="0"/>
              <w:jc w:val="left"/>
            </w:pPr>
            <w:r>
              <w:rPr>
                <w:sz w:val="17"/>
              </w:rPr>
              <w:t>15 July</w:t>
            </w:r>
          </w:p>
        </w:tc>
        <w:tc>
          <w:tcPr>
            <w:tcW w:type="dxa" w:w="3017"/>
            <w:vAlign w:val="center"/>
          </w:tcPr>
          <w:p>
            <w:pPr>
              <w:spacing w:after="0"/>
              <w:jc w:val="left"/>
            </w:pPr>
            <w:r>
              <w:rPr>
                <w:sz w:val="17"/>
              </w:rPr>
              <w:t>Problem definition and project scaffold</w:t>
            </w:r>
          </w:p>
        </w:tc>
        <w:tc>
          <w:tcPr>
            <w:tcW w:type="dxa" w:w="1312"/>
            <w:vAlign w:val="center"/>
          </w:tcPr>
          <w:p>
            <w:pPr>
              <w:spacing w:after="0"/>
              <w:jc w:val="left"/>
            </w:pPr>
            <w:r>
              <w:rPr>
                <w:sz w:val="17"/>
              </w:rPr>
              <w:t>3.0</w:t>
            </w:r>
          </w:p>
        </w:tc>
        <w:tc>
          <w:tcPr>
            <w:tcW w:type="dxa" w:w="4197"/>
            <w:vAlign w:val="center"/>
          </w:tcPr>
          <w:p>
            <w:pPr>
              <w:spacing w:after="0"/>
              <w:jc w:val="left"/>
            </w:pPr>
            <w:r>
              <w:rPr>
                <w:sz w:val="17"/>
              </w:rPr>
              <w:t xml:space="preserve">Commit </w:t>
            </w:r>
            <w:r>
              <w:rPr>
                <w:rFonts w:ascii="Consolas" w:hAnsi="Consolas"/>
                <w:sz w:val="17"/>
              </w:rPr>
              <w:t>34099cf</w:t>
            </w:r>
            <w:r>
              <w:rPr>
                <w:sz w:val="17"/>
              </w:rPr>
              <w:t xml:space="preserve">; </w:t>
            </w:r>
            <w:r>
              <w:rPr>
                <w:rFonts w:ascii="Consolas" w:hAnsi="Consolas"/>
                <w:sz w:val="17"/>
              </w:rPr>
              <w:t>data/</w:t>
            </w:r>
            <w:r>
              <w:rPr>
                <w:sz w:val="17"/>
              </w:rPr>
              <w:t xml:space="preserve">, </w:t>
            </w:r>
            <w:r>
              <w:rPr>
                <w:rFonts w:ascii="Consolas" w:hAnsi="Consolas"/>
                <w:sz w:val="17"/>
              </w:rPr>
              <w:t>src/</w:t>
            </w:r>
            <w:r>
              <w:rPr>
                <w:sz w:val="17"/>
              </w:rPr>
              <w:t xml:space="preserve"> and initial documentation</w:t>
            </w:r>
          </w:p>
        </w:tc>
      </w:tr>
      <w:tr>
        <w:tc>
          <w:tcPr>
            <w:tcW w:type="dxa" w:w="1180"/>
            <w:vAlign w:val="center"/>
            <w:shd w:fill="F4F7F9"/>
          </w:tcPr>
          <w:p>
            <w:pPr>
              <w:spacing w:after="0"/>
              <w:jc w:val="left"/>
            </w:pPr>
            <w:r>
              <w:rPr>
                <w:sz w:val="17"/>
              </w:rPr>
              <w:t>15 July</w:t>
            </w:r>
          </w:p>
        </w:tc>
        <w:tc>
          <w:tcPr>
            <w:tcW w:type="dxa" w:w="3017"/>
            <w:vAlign w:val="center"/>
            <w:shd w:fill="F4F7F9"/>
          </w:tcPr>
          <w:p>
            <w:pPr>
              <w:spacing w:after="0"/>
              <w:jc w:val="left"/>
            </w:pPr>
            <w:r>
              <w:rPr>
                <w:sz w:val="17"/>
              </w:rPr>
              <w:t>Literature review, ethics and threat model</w:t>
            </w:r>
          </w:p>
        </w:tc>
        <w:tc>
          <w:tcPr>
            <w:tcW w:type="dxa" w:w="1312"/>
            <w:vAlign w:val="center"/>
            <w:shd w:fill="F4F7F9"/>
          </w:tcPr>
          <w:p>
            <w:pPr>
              <w:spacing w:after="0"/>
              <w:jc w:val="left"/>
            </w:pPr>
            <w:r>
              <w:rPr>
                <w:sz w:val="17"/>
              </w:rPr>
              <w:t>4.0</w:t>
            </w:r>
          </w:p>
        </w:tc>
        <w:tc>
          <w:tcPr>
            <w:tcW w:type="dxa" w:w="4197"/>
            <w:vAlign w:val="center"/>
            <w:shd w:fill="F4F7F9"/>
          </w:tcPr>
          <w:p>
            <w:pPr>
              <w:spacing w:after="0"/>
              <w:jc w:val="left"/>
            </w:pPr>
            <w:r>
              <w:rPr>
                <w:sz w:val="17"/>
              </w:rPr>
              <w:t xml:space="preserve">Commit </w:t>
            </w:r>
            <w:r>
              <w:rPr>
                <w:rFonts w:ascii="Consolas" w:hAnsi="Consolas"/>
                <w:sz w:val="17"/>
              </w:rPr>
              <w:t>ca11e39</w:t>
            </w:r>
            <w:r>
              <w:rPr>
                <w:sz w:val="17"/>
              </w:rPr>
              <w:t>; background, ethics and threat-model drafts</w:t>
            </w:r>
          </w:p>
        </w:tc>
      </w:tr>
      <w:tr>
        <w:tc>
          <w:tcPr>
            <w:tcW w:type="dxa" w:w="1180"/>
            <w:vAlign w:val="center"/>
          </w:tcPr>
          <w:p>
            <w:pPr>
              <w:spacing w:after="0"/>
              <w:jc w:val="left"/>
            </w:pPr>
            <w:r>
              <w:rPr>
                <w:sz w:val="17"/>
              </w:rPr>
              <w:t>15 July</w:t>
            </w:r>
          </w:p>
        </w:tc>
        <w:tc>
          <w:tcPr>
            <w:tcW w:type="dxa" w:w="3017"/>
            <w:vAlign w:val="center"/>
          </w:tcPr>
          <w:p>
            <w:pPr>
              <w:spacing w:after="0"/>
              <w:jc w:val="left"/>
            </w:pPr>
            <w:r>
              <w:rPr>
                <w:sz w:val="17"/>
              </w:rPr>
              <w:t>Prompt export, tracking and collection workflow</w:t>
            </w:r>
          </w:p>
        </w:tc>
        <w:tc>
          <w:tcPr>
            <w:tcW w:type="dxa" w:w="1312"/>
            <w:vAlign w:val="center"/>
          </w:tcPr>
          <w:p>
            <w:pPr>
              <w:spacing w:after="0"/>
              <w:jc w:val="left"/>
            </w:pPr>
            <w:r>
              <w:rPr>
                <w:sz w:val="17"/>
              </w:rPr>
              <w:t>4.0</w:t>
            </w:r>
          </w:p>
        </w:tc>
        <w:tc>
          <w:tcPr>
            <w:tcW w:type="dxa" w:w="4197"/>
            <w:vAlign w:val="center"/>
          </w:tcPr>
          <w:p>
            <w:pPr>
              <w:spacing w:after="0"/>
              <w:jc w:val="left"/>
            </w:pPr>
            <w:r>
              <w:rPr>
                <w:sz w:val="17"/>
              </w:rPr>
              <w:t xml:space="preserve">Commit </w:t>
            </w:r>
            <w:r>
              <w:rPr>
                <w:rFonts w:ascii="Consolas" w:hAnsi="Consolas"/>
                <w:sz w:val="17"/>
              </w:rPr>
              <w:t>ca77fe2</w:t>
            </w:r>
            <w:r>
              <w:rPr>
                <w:sz w:val="17"/>
              </w:rPr>
              <w:t xml:space="preserve">; </w:t>
            </w:r>
            <w:r>
              <w:rPr>
                <w:rFonts w:ascii="Consolas" w:hAnsi="Consolas"/>
                <w:sz w:val="17"/>
              </w:rPr>
              <w:t>src/manual_experiment.py</w:t>
            </w:r>
          </w:p>
        </w:tc>
      </w:tr>
      <w:t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Formal design and automated tests</w:t>
            </w:r>
          </w:p>
        </w:tc>
        <w:tc>
          <w:tcPr>
            <w:tcW w:type="dxa" w:w="1312"/>
            <w:vAlign w:val="center"/>
            <w:shd w:fill="F4F7F9"/>
          </w:tcPr>
          <w:p>
            <w:pPr>
              <w:spacing w:after="0"/>
              <w:jc w:val="left"/>
            </w:pPr>
            <w:r>
              <w:rPr>
                <w:sz w:val="17"/>
              </w:rPr>
              <w:t>3.0</w:t>
            </w:r>
          </w:p>
        </w:tc>
        <w:tc>
          <w:tcPr>
            <w:tcW w:type="dxa" w:w="4197"/>
            <w:vAlign w:val="center"/>
            <w:shd w:fill="F4F7F9"/>
          </w:tcPr>
          <w:p>
            <w:pPr>
              <w:spacing w:after="0"/>
              <w:jc w:val="left"/>
            </w:pPr>
            <w:r>
              <w:rPr>
                <w:sz w:val="17"/>
              </w:rPr>
              <w:t>90-prompt design; experiment and scoring tests</w:t>
            </w:r>
          </w:p>
        </w:tc>
      </w:tr>
      <w:tr>
        <w:tc>
          <w:tcPr>
            <w:tcW w:type="dxa" w:w="1180"/>
            <w:vAlign w:val="center"/>
          </w:tcPr>
          <w:p>
            <w:pPr>
              <w:spacing w:after="0"/>
              <w:jc w:val="left"/>
            </w:pPr>
            <w:r>
              <w:rPr>
                <w:sz w:val="17"/>
              </w:rPr>
              <w:t>22 July</w:t>
            </w:r>
          </w:p>
        </w:tc>
        <w:tc>
          <w:tcPr>
            <w:tcW w:type="dxa" w:w="3017"/>
            <w:vAlign w:val="center"/>
          </w:tcPr>
          <w:p>
            <w:pPr>
              <w:spacing w:after="0"/>
              <w:jc w:val="left"/>
            </w:pPr>
            <w:r>
              <w:rPr>
                <w:sz w:val="17"/>
              </w:rPr>
              <w:t>Collection of 90 isolated responses</w:t>
            </w:r>
          </w:p>
        </w:tc>
        <w:tc>
          <w:tcPr>
            <w:tcW w:type="dxa" w:w="1312"/>
            <w:vAlign w:val="center"/>
          </w:tcPr>
          <w:p>
            <w:pPr>
              <w:spacing w:after="0"/>
              <w:jc w:val="left"/>
            </w:pPr>
            <w:r>
              <w:rPr>
                <w:sz w:val="17"/>
              </w:rPr>
              <w:t>7.0</w:t>
            </w:r>
          </w:p>
        </w:tc>
        <w:tc>
          <w:tcPr>
            <w:tcW w:type="dxa" w:w="4197"/>
            <w:vAlign w:val="center"/>
          </w:tcPr>
          <w:p>
            <w:pPr>
              <w:spacing w:after="0"/>
              <w:jc w:val="left"/>
            </w:pPr>
            <w:r>
              <w:rPr>
                <w:sz w:val="17"/>
              </w:rPr>
              <w:t>Tracking CSV, raw responses and Temporary Chat screenshots</w:t>
            </w:r>
          </w:p>
        </w:tc>
      </w:tr>
      <w:t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Browser incident handling and procedure log</w:t>
            </w:r>
          </w:p>
        </w:tc>
        <w:tc>
          <w:tcPr>
            <w:tcW w:type="dxa" w:w="1312"/>
            <w:vAlign w:val="center"/>
            <w:shd w:fill="F4F7F9"/>
          </w:tcPr>
          <w:p>
            <w:pPr>
              <w:spacing w:after="0"/>
              <w:jc w:val="left"/>
            </w:pPr>
            <w:r>
              <w:rPr>
                <w:sz w:val="17"/>
              </w:rPr>
              <w:t>0.5</w:t>
            </w:r>
          </w:p>
        </w:tc>
        <w:tc>
          <w:tcPr>
            <w:tcW w:type="dxa" w:w="4197"/>
            <w:vAlign w:val="center"/>
            <w:shd w:fill="F4F7F9"/>
          </w:tcPr>
          <w:p>
            <w:pPr>
              <w:spacing w:after="0"/>
              <w:jc w:val="left"/>
            </w:pPr>
            <w:r>
              <w:rPr>
                <w:rFonts w:ascii="Consolas" w:hAnsi="Consolas"/>
                <w:sz w:val="17"/>
              </w:rPr>
              <w:t>evidence/formal_experiment_log.md</w:t>
            </w:r>
          </w:p>
        </w:tc>
      </w:tr>
      <w:tr>
        <w:tc>
          <w:tcPr>
            <w:tcW w:type="dxa" w:w="1180"/>
            <w:vAlign w:val="center"/>
          </w:tcPr>
          <w:p>
            <w:pPr>
              <w:spacing w:after="0"/>
              <w:jc w:val="left"/>
            </w:pPr>
            <w:r>
              <w:rPr>
                <w:sz w:val="17"/>
              </w:rPr>
              <w:t>22 July</w:t>
            </w:r>
          </w:p>
        </w:tc>
        <w:tc>
          <w:tcPr>
            <w:tcW w:type="dxa" w:w="3017"/>
            <w:vAlign w:val="center"/>
          </w:tcPr>
          <w:p>
            <w:pPr>
              <w:spacing w:after="0"/>
              <w:jc w:val="left"/>
            </w:pPr>
            <w:r>
              <w:rPr>
                <w:sz w:val="17"/>
              </w:rPr>
              <w:t>Scoring correction, regression test and rescore</w:t>
            </w:r>
          </w:p>
        </w:tc>
        <w:tc>
          <w:tcPr>
            <w:tcW w:type="dxa" w:w="1312"/>
            <w:vAlign w:val="center"/>
          </w:tcPr>
          <w:p>
            <w:pPr>
              <w:spacing w:after="0"/>
              <w:jc w:val="left"/>
            </w:pPr>
            <w:r>
              <w:rPr>
                <w:sz w:val="17"/>
              </w:rPr>
              <w:t>2.5</w:t>
            </w:r>
          </w:p>
        </w:tc>
        <w:tc>
          <w:tcPr>
            <w:tcW w:type="dxa" w:w="4197"/>
            <w:vAlign w:val="center"/>
          </w:tcPr>
          <w:p>
            <w:pPr>
              <w:spacing w:after="0"/>
              <w:jc w:val="left"/>
            </w:pPr>
            <w:r>
              <w:rPr>
                <w:rFonts w:ascii="Consolas" w:hAnsi="Consolas"/>
                <w:sz w:val="17"/>
              </w:rPr>
              <w:t>scoring/score.py</w:t>
            </w:r>
            <w:r>
              <w:rPr>
                <w:sz w:val="17"/>
              </w:rPr>
              <w:t>; corrected analysis records</w:t>
            </w:r>
          </w:p>
        </w:tc>
      </w:tr>
      <w:t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Statistical summaries and visualisation</w:t>
            </w:r>
          </w:p>
        </w:tc>
        <w:tc>
          <w:tcPr>
            <w:tcW w:type="dxa" w:w="1312"/>
            <w:vAlign w:val="center"/>
            <w:shd w:fill="F4F7F9"/>
          </w:tcPr>
          <w:p>
            <w:pPr>
              <w:spacing w:after="0"/>
              <w:jc w:val="left"/>
            </w:pPr>
            <w:r>
              <w:rPr>
                <w:sz w:val="17"/>
              </w:rPr>
              <w:t>2.5</w:t>
            </w:r>
          </w:p>
        </w:tc>
        <w:tc>
          <w:tcPr>
            <w:tcW w:type="dxa" w:w="4197"/>
            <w:vAlign w:val="center"/>
            <w:shd w:fill="F4F7F9"/>
          </w:tcPr>
          <w:p>
            <w:pPr>
              <w:spacing w:after="0"/>
              <w:jc w:val="left"/>
            </w:pPr>
            <w:r>
              <w:rPr>
                <w:sz w:val="17"/>
              </w:rPr>
              <w:t>Analysis script, metric CSV files and three figures</w:t>
            </w:r>
          </w:p>
        </w:tc>
      </w:tr>
      <w:tr>
        <w:tc>
          <w:tcPr>
            <w:tcW w:type="dxa" w:w="1180"/>
            <w:vAlign w:val="center"/>
          </w:tcPr>
          <w:p>
            <w:pPr>
              <w:spacing w:after="0"/>
              <w:jc w:val="left"/>
            </w:pPr>
            <w:r>
              <w:rPr>
                <w:sz w:val="17"/>
              </w:rPr>
              <w:t>22 July</w:t>
            </w:r>
          </w:p>
        </w:tc>
        <w:tc>
          <w:tcPr>
            <w:tcW w:type="dxa" w:w="3017"/>
            <w:vAlign w:val="center"/>
          </w:tcPr>
          <w:p>
            <w:pPr>
              <w:spacing w:after="0"/>
              <w:jc w:val="left"/>
            </w:pPr>
            <w:r>
              <w:rPr>
                <w:sz w:val="17"/>
              </w:rPr>
              <w:t>Report, presentation and visual QA</w:t>
            </w:r>
          </w:p>
        </w:tc>
        <w:tc>
          <w:tcPr>
            <w:tcW w:type="dxa" w:w="1312"/>
            <w:vAlign w:val="center"/>
          </w:tcPr>
          <w:p>
            <w:pPr>
              <w:spacing w:after="0"/>
              <w:jc w:val="left"/>
            </w:pPr>
            <w:r>
              <w:rPr>
                <w:sz w:val="17"/>
              </w:rPr>
              <w:t>3.5</w:t>
            </w:r>
          </w:p>
        </w:tc>
        <w:tc>
          <w:tcPr>
            <w:tcW w:type="dxa" w:w="4197"/>
            <w:vAlign w:val="center"/>
          </w:tcPr>
          <w:p>
            <w:pPr>
              <w:spacing w:after="0"/>
              <w:jc w:val="left"/>
            </w:pPr>
            <w:r>
              <w:rPr>
                <w:sz w:val="17"/>
              </w:rPr>
              <w:t>DOCX, PDF, PPTX, script and rendered QA evidence</w:t>
            </w:r>
          </w:p>
        </w:tc>
      </w:tr>
      <w:tr>
        <w:tc>
          <w:tcPr>
            <w:tcW w:type="dxa" w:w="1180"/>
            <w:vAlign w:val="center"/>
            <w:shd w:fill="F4F7F9"/>
          </w:tcPr>
          <w:p>
            <w:pPr>
              <w:spacing w:after="0"/>
              <w:jc w:val="left"/>
            </w:pPr>
          </w:p>
        </w:tc>
        <w:tc>
          <w:tcPr>
            <w:tcW w:type="dxa" w:w="3017"/>
            <w:vAlign w:val="center"/>
            <w:shd w:fill="F4F7F9"/>
          </w:tcPr>
          <w:p>
            <w:pPr>
              <w:spacing w:after="0"/>
              <w:jc w:val="left"/>
            </w:pPr>
            <w:r>
              <w:rPr>
                <w:b/>
                <w:sz w:val="17"/>
              </w:rPr>
              <w:t>Total</w:t>
            </w:r>
          </w:p>
        </w:tc>
        <w:tc>
          <w:tcPr>
            <w:tcW w:type="dxa" w:w="1312"/>
            <w:vAlign w:val="center"/>
            <w:shd w:fill="F4F7F9"/>
          </w:tcPr>
          <w:p>
            <w:pPr>
              <w:spacing w:after="0"/>
              <w:jc w:val="left"/>
            </w:pPr>
            <w:r>
              <w:rPr>
                <w:b/>
                <w:sz w:val="17"/>
              </w:rPr>
              <w:t>30.0</w:t>
            </w:r>
          </w:p>
        </w:tc>
        <w:tc>
          <w:tcPr>
            <w:tcW w:type="dxa" w:w="4197"/>
            <w:vAlign w:val="center"/>
            <w:shd w:fill="F4F7F9"/>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