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ED59">
      <w:pPr>
        <w:spacing w:before="600" w:after="400"/>
        <w:jc w:val="center"/>
      </w:pPr>
      <w:r>
        <w:rPr>
          <w:rFonts w:ascii="Segoe UI" w:hAnsi="Segoe UI" w:eastAsia="Segoe UI" w:cs="Segoe UI"/>
          <w:color w:val="2E75B6"/>
          <w:sz w:val="120"/>
          <w:szCs w:val="120"/>
        </w:rPr>
        <w:t>⚖</w:t>
      </w:r>
    </w:p>
    <w:p w14:paraId="6ACAF247">
      <w:pPr>
        <w:spacing w:before="0" w:after="160"/>
        <w:jc w:val="center"/>
        <w:rPr>
          <w:rFonts w:hint="default"/>
          <w:lang w:val="it-IT"/>
        </w:rPr>
      </w:pPr>
      <w:r>
        <w:rPr>
          <w:rFonts w:ascii="Segoe UI" w:hAnsi="Segoe UI" w:eastAsia="Segoe UI" w:cs="Segoe UI"/>
          <w:b/>
          <w:bCs/>
          <w:color w:val="1F4E79"/>
          <w:sz w:val="72"/>
          <w:szCs w:val="72"/>
        </w:rPr>
        <w:t>LexManager Pro</w:t>
      </w:r>
      <w:r>
        <w:rPr>
          <w:rFonts w:hint="default" w:cs="Segoe UI"/>
          <w:b/>
          <w:bCs/>
          <w:color w:val="1F4E79"/>
          <w:sz w:val="72"/>
          <w:szCs w:val="72"/>
          <w:lang w:val="it-IT"/>
        </w:rPr>
        <w:t xml:space="preserve"> Max 2026</w:t>
      </w:r>
    </w:p>
    <w:p w14:paraId="0E925053">
      <w:pPr>
        <w:spacing w:before="0" w:after="80"/>
        <w:jc w:val="center"/>
      </w:pPr>
      <w:r>
        <w:rPr>
          <w:rFonts w:ascii="Segoe UI" w:hAnsi="Segoe UI" w:eastAsia="Segoe UI" w:cs="Segoe UI"/>
          <w:b/>
          <w:bCs/>
          <w:color w:val="2E75B6"/>
          <w:sz w:val="36"/>
          <w:szCs w:val="36"/>
        </w:rPr>
        <w:t>Gestionale Moderno per Avvocati</w:t>
      </w:r>
    </w:p>
    <w:p w14:paraId="4419276F">
      <w:pPr>
        <w:spacing w:before="80" w:after="600"/>
        <w:jc w:val="center"/>
        <w:rPr>
          <w:rFonts w:hint="default"/>
          <w:lang w:val="it-IT"/>
        </w:rPr>
      </w:pPr>
      <w:r>
        <w:rPr>
          <w:rFonts w:ascii="Segoe UI" w:hAnsi="Segoe UI" w:eastAsia="Segoe UI" w:cs="Segoe UI"/>
          <w:i/>
          <w:iCs/>
          <w:color w:val="666666"/>
          <w:sz w:val="24"/>
          <w:szCs w:val="24"/>
        </w:rPr>
        <w:t>Progetto Tecnico Completo  ·  Desktop Windows 11  ·  C#</w:t>
      </w:r>
      <w:r>
        <w:rPr>
          <w:rFonts w:hint="default" w:cs="Segoe UI"/>
          <w:i/>
          <w:iCs/>
          <w:color w:val="666666"/>
          <w:sz w:val="24"/>
          <w:szCs w:val="24"/>
          <w:lang w:val="it-IT"/>
        </w:rPr>
        <w:t>14</w:t>
      </w:r>
      <w:r>
        <w:rPr>
          <w:rFonts w:ascii="Segoe UI" w:hAnsi="Segoe UI" w:eastAsia="Segoe UI" w:cs="Segoe UI"/>
          <w:i/>
          <w:iCs/>
          <w:color w:val="666666"/>
          <w:sz w:val="24"/>
          <w:szCs w:val="24"/>
        </w:rPr>
        <w:t xml:space="preserve"> .NET </w:t>
      </w:r>
      <w:r>
        <w:rPr>
          <w:rFonts w:hint="default" w:cs="Segoe UI"/>
          <w:i/>
          <w:iCs/>
          <w:color w:val="666666"/>
          <w:sz w:val="24"/>
          <w:szCs w:val="24"/>
          <w:lang w:val="it-IT"/>
        </w:rPr>
        <w:t>10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3"/>
        <w:gridCol w:w="6755"/>
      </w:tblGrid>
      <w:tr w14:paraId="1BB0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8D08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Tecnologia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55F5"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C# </w:t>
            </w:r>
            <w:r>
              <w:rPr>
                <w:rFonts w:hint="default" w:cs="Segoe UI"/>
                <w:color w:val="1A1A1A"/>
                <w:sz w:val="20"/>
                <w:szCs w:val="20"/>
                <w:lang w:val="it-IT"/>
              </w:rPr>
              <w:t xml:space="preserve">14 </w:t>
            </w:r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.NET </w:t>
            </w:r>
            <w:r>
              <w:rPr>
                <w:rFonts w:hint="default" w:cs="Segoe UI"/>
                <w:color w:val="1A1A1A"/>
                <w:sz w:val="20"/>
                <w:szCs w:val="20"/>
                <w:lang w:val="it-IT"/>
              </w:rPr>
              <w:t>10</w:t>
            </w:r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 –</w:t>
            </w:r>
            <w:r>
              <w:rPr>
                <w:rFonts w:hint="default" w:cs="Segoe UI"/>
                <w:color w:val="1A1A1A"/>
                <w:sz w:val="20"/>
                <w:szCs w:val="20"/>
                <w:lang w:val="it-IT"/>
              </w:rPr>
              <w:t xml:space="preserve"> Avalonia</w:t>
            </w:r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 – MVVM Architecture</w:t>
            </w:r>
          </w:p>
        </w:tc>
      </w:tr>
      <w:tr w14:paraId="28AF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D7AB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6DED">
            <w:pPr>
              <w:rPr>
                <w:rFonts w:hint="default"/>
                <w:lang w:val="it-IT"/>
              </w:rPr>
            </w:pPr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SQL Server LocalDB + Entity Framework Core </w:t>
            </w:r>
            <w:r>
              <w:rPr>
                <w:rFonts w:hint="default" w:cs="Segoe UI"/>
                <w:color w:val="1A1A1A"/>
                <w:sz w:val="20"/>
                <w:szCs w:val="20"/>
                <w:lang w:val="it-IT"/>
              </w:rPr>
              <w:t>10</w:t>
            </w:r>
          </w:p>
        </w:tc>
      </w:tr>
      <w:tr w14:paraId="79F4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A382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AI Integration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9337"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>OpenAI GPT-4o / Azure OpenAI / LexisNexis API</w:t>
            </w:r>
          </w:p>
        </w:tc>
      </w:tr>
      <w:tr w14:paraId="479C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9583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PCT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A11C"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>S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>DK Ufficiale Consiglio Nazionale Forense (CNF)</w:t>
            </w:r>
          </w:p>
        </w:tc>
      </w:tr>
      <w:tr w14:paraId="76AA5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96BA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Versione Doc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5C31">
            <w:pPr>
              <w:rPr>
                <w:rFonts w:hint="default"/>
                <w:lang w:val="it-IT"/>
              </w:rPr>
            </w:pPr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 xml:space="preserve">v1.0  –  </w:t>
            </w:r>
            <w:r>
              <w:rPr>
                <w:rFonts w:hint="default" w:cs="Segoe UI"/>
                <w:color w:val="1A1A1A"/>
                <w:sz w:val="20"/>
                <w:szCs w:val="20"/>
                <w:lang w:val="it-IT"/>
              </w:rPr>
              <w:t>Marzo 2026</w:t>
            </w:r>
          </w:p>
        </w:tc>
      </w:tr>
      <w:tr w14:paraId="46C1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B054">
            <w:r>
              <w:rPr>
                <w:rFonts w:ascii="Segoe UI" w:hAnsi="Segoe UI" w:eastAsia="Segoe UI" w:cs="Segoe UI"/>
                <w:b/>
                <w:bCs/>
                <w:color w:val="1F4E79"/>
                <w:sz w:val="20"/>
                <w:szCs w:val="20"/>
              </w:rPr>
              <w:t>Destinatari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9CE1">
            <w:r>
              <w:rPr>
                <w:rFonts w:ascii="Segoe UI" w:hAnsi="Segoe UI" w:eastAsia="Segoe UI" w:cs="Segoe UI"/>
                <w:color w:val="1A1A1A"/>
                <w:sz w:val="20"/>
                <w:szCs w:val="20"/>
              </w:rPr>
              <w:t>Team di Sviluppo, PM, Stakeholder</w:t>
            </w:r>
          </w:p>
        </w:tc>
      </w:tr>
    </w:tbl>
    <w:p w14:paraId="65939CE1">
      <w:r>
        <w:br w:type="page"/>
      </w:r>
    </w:p>
    <w:p w14:paraId="77D2C71D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1. Introduzione e Obiettivi del Progetto</w:t>
      </w:r>
    </w:p>
    <w:p w14:paraId="75774289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 xml:space="preserve">LexManager Pro è un'applicazione desktop professionale per Windows 11, sviluppata in C# </w:t>
      </w:r>
      <w:r>
        <w:rPr>
          <w:rFonts w:hint="default" w:cs="Segoe UI"/>
          <w:color w:val="1A1A1A"/>
          <w:sz w:val="22"/>
          <w:szCs w:val="22"/>
          <w:lang w:val="it-IT"/>
        </w:rPr>
        <w:t xml:space="preserve">14 </w:t>
      </w:r>
      <w:r>
        <w:rPr>
          <w:rFonts w:ascii="Segoe UI" w:hAnsi="Segoe UI" w:eastAsia="Segoe UI" w:cs="Segoe UI"/>
          <w:color w:val="1A1A1A"/>
          <w:sz w:val="22"/>
          <w:szCs w:val="22"/>
        </w:rPr>
        <w:t xml:space="preserve">con .NET </w:t>
      </w:r>
      <w:r>
        <w:rPr>
          <w:rFonts w:hint="default" w:cs="Segoe UI"/>
          <w:color w:val="1A1A1A"/>
          <w:sz w:val="22"/>
          <w:szCs w:val="22"/>
          <w:lang w:val="it-IT"/>
        </w:rPr>
        <w:t>10</w:t>
      </w:r>
      <w:r>
        <w:rPr>
          <w:rFonts w:ascii="Segoe UI" w:hAnsi="Segoe UI" w:eastAsia="Segoe UI" w:cs="Segoe UI"/>
          <w:color w:val="1A1A1A"/>
          <w:sz w:val="22"/>
          <w:szCs w:val="22"/>
        </w:rPr>
        <w:t>, pensata per modernizzare e centralizzare la gestione operativa degli studi legali, dai piccoli studi monoavvocato alle medie strutture con più soci e collaboratori.</w:t>
      </w:r>
    </w:p>
    <w:p w14:paraId="537A61E5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L'obiettivo primario è offrire un ecosistema integrato che copra tutte le aree operative critiche: anagrafiche clienti e controparti, gestione fascicoli e udienze, redazione e archiviazione di atti legali, ricerca giurisprudenziale potenziata dall'Intelligenza Artificiale, collegamento diretto al Processo Civile Telematico (PCT) e un set di utilità professionali avanzate.</w:t>
      </w:r>
    </w:p>
    <w:p w14:paraId="4FBDE4F1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1.1 Problemi che il Software Risolve</w:t>
      </w:r>
    </w:p>
    <w:p w14:paraId="5CDB5B0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Dispersione delle informazioni tra cartelle fisiche, fogli Excel e tool non integrati</w:t>
      </w:r>
    </w:p>
    <w:p w14:paraId="0CC7149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Difficoltà nel reperire sentenze e dottrina aggiornata in modo rapido</w:t>
      </w:r>
    </w:p>
    <w:p w14:paraId="57B1700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Errori e ritardi nella trasmissione di atti telematici (PCT)</w:t>
      </w:r>
    </w:p>
    <w:p w14:paraId="24B7851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Mancanza di scadenziari legali automatici e avvisi proattivi</w:t>
      </w:r>
    </w:p>
    <w:p w14:paraId="379F525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Impossibilità di monitorare il ciclo economico (parcelle, pagamenti, costi)</w:t>
      </w:r>
    </w:p>
    <w:p w14:paraId="121E7B1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Assenza di template standardizzati per gli atti più comuni</w:t>
      </w:r>
    </w:p>
    <w:p w14:paraId="721983A6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1.2 Visione e Valore Differenziale</w:t>
      </w:r>
    </w:p>
    <w:p w14:paraId="5BA44DEB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LexManager Pro si distingue dalla concorrenza per tre pilastri fondamentali:</w:t>
      </w:r>
    </w:p>
    <w:p w14:paraId="51A38587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AI-First: ricerca e redazione assistita da modelli linguistici di ultima generazione</w:t>
      </w:r>
    </w:p>
    <w:p w14:paraId="61BE3667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UX Moderna: interfaccia Fluent Design System, dark mode, navigazione keyboard-first</w:t>
      </w:r>
    </w:p>
    <w:p w14:paraId="1151CABF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Integrazione Nativa PCT: nessun software esterno, tutto integrato e conforme CNF</w:t>
      </w:r>
    </w:p>
    <w:p w14:paraId="3D079CA7">
      <w:pPr>
        <w:pBdr>
          <w:bottom w:val="single" w:color="CCCCCC" w:sz="2" w:space="1"/>
        </w:pBdr>
        <w:spacing w:before="200" w:after="200"/>
      </w:pPr>
    </w:p>
    <w:p w14:paraId="30D52AC4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2. Stack Tecnologico e Architettura</w:t>
      </w:r>
    </w:p>
    <w:p w14:paraId="46E80231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2.1 Tecnologie Principali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6088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C6CF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0BDC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BAC6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14:paraId="6F1A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57A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UI Framework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E85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WPF + MahApps.Metro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421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Fluent Design, temi, icone</w:t>
            </w:r>
          </w:p>
        </w:tc>
      </w:tr>
      <w:tr w14:paraId="3C6B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59F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DA2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 xml:space="preserve">.NET 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10</w:t>
            </w: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 xml:space="preserve"> (LTS)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C93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Windows-only, alta performance</w:t>
            </w:r>
          </w:p>
        </w:tc>
      </w:tr>
      <w:tr w14:paraId="4D98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5FB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Linguaggio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1CAF">
            <w:pPr>
              <w:rPr>
                <w:rFonts w:hint="default"/>
                <w:lang w:val="it-IT"/>
              </w:rPr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C# 1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A5F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Record, pattern matching, LINQ</w:t>
            </w:r>
          </w:p>
        </w:tc>
      </w:tr>
      <w:tr w14:paraId="778D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C7F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ORM / DB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3D06">
            <w:pPr>
              <w:rPr>
                <w:rFonts w:hint="default"/>
                <w:lang w:val="it-IT"/>
              </w:rPr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 xml:space="preserve">Entity Framework Core 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10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DBC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Code-First, Migrations</w:t>
            </w:r>
          </w:p>
        </w:tc>
      </w:tr>
      <w:tr w14:paraId="4A76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6CA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D60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SQL Server LocalDB / Express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BB8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Embedded, zero-config</w:t>
            </w:r>
          </w:p>
        </w:tc>
      </w:tr>
      <w:tr w14:paraId="0FBC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805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AI / LLM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F1AC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OpenAI SDK + SemanticKernel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704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GPT-4o, embeddings</w:t>
            </w:r>
          </w:p>
        </w:tc>
      </w:tr>
      <w:tr w14:paraId="3316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23C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Documenti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BE3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OpenXML SDK + DocX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7E7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Generazione atti DOCX</w:t>
            </w:r>
          </w:p>
        </w:tc>
      </w:tr>
      <w:tr w14:paraId="61C2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B22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PCT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6D1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CNF PCT SDK / SOAP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D02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Firma digitale, trasmissione</w:t>
            </w:r>
          </w:p>
        </w:tc>
      </w:tr>
      <w:tr w14:paraId="7E3F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2EB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Auth / Firma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E9CC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SmartCard PKCS#11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7E6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CNS, CIE, Token USB</w:t>
            </w:r>
          </w:p>
        </w:tc>
      </w:tr>
      <w:tr w14:paraId="2F1F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673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Logging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B66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Serilog + Seq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0C1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Structured logging</w:t>
            </w:r>
          </w:p>
        </w:tc>
      </w:tr>
      <w:tr w14:paraId="0094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8C0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82B6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Microsoft.Extensions.DI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438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IoC container nativo</w:t>
            </w:r>
          </w:p>
        </w:tc>
      </w:tr>
      <w:tr w14:paraId="74DB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31A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Test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7546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xUnit + NSubstitute + FluentAssertions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93E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Unit + Integration</w:t>
            </w:r>
          </w:p>
        </w:tc>
      </w:tr>
      <w:tr w14:paraId="4E846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6C8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CI/CD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6A8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GitHub Actions + ClickOnce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519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Deploy automatico</w:t>
            </w:r>
          </w:p>
        </w:tc>
      </w:tr>
    </w:tbl>
    <w:p w14:paraId="07E8851B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2.2 Architettura dell'Applicazione</w:t>
      </w:r>
    </w:p>
    <w:p w14:paraId="0B541DD0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Il progetto adotta Clean Architecture con separazione netta in layer:</w:t>
      </w:r>
    </w:p>
    <w:p w14:paraId="499B255B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Domain Layer: entità di business, value object, interfacce repository (zero dipendenze esterne)</w:t>
      </w:r>
    </w:p>
    <w:p w14:paraId="6D6F300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Application Layer: use cases, CQRS con MediatR, validazione FluentValidation</w:t>
      </w:r>
    </w:p>
    <w:p w14:paraId="1C40B07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Infrastructure Layer: EF Core, servizi HTTP, integrazione AI, PCT, storage</w:t>
      </w:r>
    </w:p>
    <w:p w14:paraId="4C2E75A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Presentation Layer: ViewModel MVVM, Command, notifiche INotifyPropertyChanged</w:t>
      </w:r>
    </w:p>
    <w:p w14:paraId="19803C6A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2.3 Pattern Architetturali</w:t>
      </w:r>
    </w:p>
    <w:p w14:paraId="6EABC8F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MVVM (Model-View-ViewModel): separazione UI/logica, testabilità</w:t>
      </w:r>
    </w:p>
    <w:p w14:paraId="5223901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CQRS + MediatR: comandi e query separati, pipeline behaviors</w:t>
      </w:r>
    </w:p>
    <w:p w14:paraId="647F9D0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Repository Pattern + Unit of Work: astrazione dati</w:t>
      </w:r>
    </w:p>
    <w:p w14:paraId="048A13E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Observer / EventAggregator: comunicazione tra moduli disaccoppiata</w:t>
      </w:r>
    </w:p>
    <w:p w14:paraId="604675A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Factory Method: creazione template atti legali</w:t>
      </w:r>
    </w:p>
    <w:p w14:paraId="5CA06F25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Tutti i moduli comunicano tramite interfacce. La sostituzione di qualsiasi layer (es. cambio DB, cambio provider AI) non impatta gli altri.</w:t>
      </w:r>
    </w:p>
    <w:p w14:paraId="2B14041C">
      <w:r>
        <w:br w:type="page"/>
      </w:r>
    </w:p>
    <w:p w14:paraId="6018CE3E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3. Struttura del Progetto (Solution Layout)</w:t>
      </w:r>
    </w:p>
    <w:p w14:paraId="20299557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La Solution è organizzata in progetti distinti per massimizzare la separazione delle responsabilità: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0C71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46A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Progetto (.csproj)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869D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14:paraId="5C84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5466"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LexManager</w:t>
            </w:r>
            <w:r>
              <w:rPr>
                <w:rFonts w:hint="default" w:cs="Segoe UI"/>
                <w:b/>
                <w:bCs/>
                <w:color w:val="FF0000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.Domain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F5B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Entità, interfacce, enum, eccezioni domain</w:t>
            </w:r>
          </w:p>
        </w:tc>
      </w:tr>
      <w:tr w14:paraId="4E9F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2752"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LexManager</w:t>
            </w:r>
            <w:r>
              <w:rPr>
                <w:rFonts w:hint="default" w:cs="Segoe UI"/>
                <w:b/>
                <w:bCs/>
                <w:color w:val="FF0000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.Application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9EB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Use cases, CQRS, DTOs, validatori</w:t>
            </w:r>
          </w:p>
        </w:tc>
      </w:tr>
      <w:tr w14:paraId="106E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501E"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LexManager</w:t>
            </w:r>
            <w:r>
              <w:rPr>
                <w:rFonts w:hint="default" w:cs="Segoe UI"/>
                <w:b/>
                <w:bCs/>
                <w:color w:val="FF0000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.Infrastructure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B90C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EF Core, repository, servizi esterni</w:t>
            </w:r>
          </w:p>
        </w:tc>
      </w:tr>
      <w:tr w14:paraId="40B5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D2B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LexManager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.AI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9F7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Integrazione OpenAI, Semantic Kernel, RAG</w:t>
            </w:r>
          </w:p>
        </w:tc>
      </w:tr>
      <w:tr w14:paraId="118D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B37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LexManager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.PCT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D06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Client SOAP PCT, firma digitale, busta telematica</w:t>
            </w:r>
          </w:p>
        </w:tc>
      </w:tr>
      <w:tr w14:paraId="02CA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1453"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LexManager</w:t>
            </w:r>
            <w:r>
              <w:rPr>
                <w:rFonts w:hint="default" w:cs="Segoe UI"/>
                <w:b/>
                <w:bCs/>
                <w:color w:val="FF0000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.Documents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C02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OpenXML, template atti, editor rich text</w:t>
            </w:r>
          </w:p>
        </w:tc>
      </w:tr>
      <w:tr w14:paraId="1B9E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3CF0"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LexManager</w:t>
            </w:r>
            <w:r>
              <w:rPr>
                <w:rFonts w:hint="default" w:cs="Segoe UI"/>
                <w:b/>
                <w:bCs/>
                <w:color w:val="FF0000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/>
                <w:bCs/>
                <w:color w:val="FF0000"/>
                <w:sz w:val="20"/>
                <w:szCs w:val="20"/>
              </w:rPr>
              <w:t>.WPF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13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UI WPF, ViewModel, Views, risorse Fluent</w:t>
            </w:r>
          </w:p>
        </w:tc>
      </w:tr>
      <w:tr w14:paraId="7DA9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0D6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LexManager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.Tests.Unit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5F0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Test unitari (xUnit + NSubstitute)</w:t>
            </w:r>
          </w:p>
        </w:tc>
      </w:tr>
      <w:tr w14:paraId="12FC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17E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LexManager</w:t>
            </w:r>
            <w:r>
              <w:rPr>
                <w:rFonts w:hint="default" w:cs="Segoe UI"/>
                <w:b w:val="0"/>
                <w:bCs w:val="0"/>
                <w:color w:val="1A1A1A"/>
                <w:sz w:val="20"/>
                <w:szCs w:val="20"/>
                <w:lang w:val="it-IT"/>
              </w:rPr>
              <w:t>ProMax</w:t>
            </w: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.Tests.Integration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332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Test integrazione DB e servizi</w:t>
            </w:r>
          </w:p>
        </w:tc>
      </w:tr>
    </w:tbl>
    <w:p w14:paraId="12940618">
      <w:pPr>
        <w:pBdr>
          <w:bottom w:val="single" w:color="CCCCCC" w:sz="2" w:space="1"/>
        </w:pBdr>
        <w:spacing w:before="200" w:after="200"/>
      </w:pPr>
    </w:p>
    <w:p w14:paraId="07838B4C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4. Moduli Funzionali Dettagliati</w:t>
      </w:r>
    </w:p>
    <w:p w14:paraId="172ADF34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4.1 Modulo Anagrafica</w:t>
      </w:r>
    </w:p>
    <w:p w14:paraId="70ABFD90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Il cuore del sistema. Gestisce tutte le entità anagrafiche con cui lo studio interagisce, organizzate in una struttura gerarchica e collegata.</w:t>
      </w:r>
    </w:p>
    <w:p w14:paraId="096BB847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4.1.1 Entità Gestite</w:t>
      </w:r>
    </w:p>
    <w:p w14:paraId="7B808B8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Clienti (persone fisiche e giuridiche): dati personali completi, CF, P.IVA, PEC, domicilio eletto</w:t>
      </w:r>
    </w:p>
    <w:p w14:paraId="68A70C4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Controparti: anagrafica avversari con storico dei procedimenti</w:t>
      </w:r>
    </w:p>
    <w:p w14:paraId="14EAEF3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Avvocati e Colleghi: rubrica professionale con specializzazioni</w:t>
      </w:r>
    </w:p>
    <w:p w14:paraId="1FAD16F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Giudici e Tribunali: mappatura degli organi giudiziari con riferimenti</w:t>
      </w:r>
    </w:p>
    <w:p w14:paraId="17BAE8E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Notai, CTU, CTP: professionisti terzi collegabili ai fascicoli</w:t>
      </w:r>
    </w:p>
    <w:p w14:paraId="605E398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Società e Enti: rappresentanti legali, composizione societaria, visure</w:t>
      </w:r>
    </w:p>
    <w:p w14:paraId="311D357D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4.1.2 Funzionalità</w:t>
      </w:r>
    </w:p>
    <w:p w14:paraId="5A94163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Ricerca full-text con filtri combinati (nome, CF, città, tipo, data inizio rapporto)</w:t>
      </w:r>
    </w:p>
    <w:p w14:paraId="3591EC1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Import da vCard, CSV, Excel e da fonti esterne (ANPR, registro imprese)</w:t>
      </w:r>
    </w:p>
    <w:p w14:paraId="6CD061F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Gestione documenti allegati per ogni anagrafica (privacy, procure, mandati)</w:t>
      </w:r>
    </w:p>
    <w:p w14:paraId="3C1B0F8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Storico completo delle modifiche con audit log</w:t>
      </w:r>
    </w:p>
    <w:p w14:paraId="07F7E9E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Deduplicazione automatica tramite similarity check su CF e PEC</w:t>
      </w:r>
    </w:p>
    <w:p w14:paraId="080CA81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Tag personalizzabili e campi custom configurabili</w:t>
      </w:r>
    </w:p>
    <w:p w14:paraId="1CEBB71A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Le anagrafiche sono il punto di aggregazione: ogni fascicolo, parcella, atto e udienza è collegato alle entità anagrafiche pertinenti.</w:t>
      </w:r>
    </w:p>
    <w:p w14:paraId="495A1548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</w:t>
      </w:r>
      <w:r>
        <w:rPr>
          <w:rFonts w:hint="default" w:cs="Segoe UI"/>
          <w:b/>
          <w:bCs/>
          <w:color w:val="2E75B6"/>
          <w:sz w:val="28"/>
          <w:szCs w:val="28"/>
          <w:lang w:val="it-IT"/>
        </w:rPr>
        <w:t>2</w:t>
      </w: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 xml:space="preserve"> Modulo Gestione Modelli di Atti</w:t>
      </w:r>
    </w:p>
    <w:p w14:paraId="1532982F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Uno degli elementi più potenti del sistema: un editor professionale per la creazione, gestione e personalizzazione di modelli di atti legali.</w:t>
      </w:r>
    </w:p>
    <w:p w14:paraId="14FFDC81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2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.1 Libreria Modelli Precaricati</w:t>
      </w:r>
    </w:p>
    <w:p w14:paraId="62FA34C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Atti introduttivi: citazione, ricorso, atto di intervento, opposizione</w:t>
      </w:r>
    </w:p>
    <w:p w14:paraId="50F47AC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Memorie: memoria difensiva, replica, note ex art. 127-ter c.p.c.</w:t>
      </w:r>
    </w:p>
    <w:p w14:paraId="045B706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Procedure esecutive: precetto, pignoramento, opposizione agli atti esecutivi</w:t>
      </w:r>
    </w:p>
    <w:p w14:paraId="7230AC2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Diritto di famiglia: ricorso separazione, divorzio, modifica condizioni</w:t>
      </w:r>
    </w:p>
    <w:p w14:paraId="7975218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Lavoro: ricorso ex art. 414, opposizione decreto ingiuntivo</w:t>
      </w:r>
    </w:p>
    <w:p w14:paraId="0569F03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Lettere stragiudiziali: diffida, messa in mora, proposta transattiva</w:t>
      </w:r>
    </w:p>
    <w:p w14:paraId="4092DD8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Istanze e richieste: accesso agli atti, proroga termini</w:t>
      </w:r>
    </w:p>
    <w:p w14:paraId="1C9D719F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2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.2 Editor Avanzato</w:t>
      </w:r>
    </w:p>
    <w:p w14:paraId="4CB5F78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Editor Rich Text WYSIWYG integrato (basato su AvalonEdit / RichTextBox avanzato)</w:t>
      </w:r>
    </w:p>
    <w:p w14:paraId="4F22C2E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Variabili dinamiche: {{cliente.nome}}, {{fascicolo.numero}}, {{data.udienza}} etc.</w:t>
      </w:r>
    </w:p>
    <w:p w14:paraId="6C3D72A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Blocchi condizionali: contenuto visualizzato/nascosto in base a condizioni logiche</w:t>
      </w:r>
    </w:p>
    <w:p w14:paraId="10EF066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Merge automatico con dati del fascicolo selezionato</w:t>
      </w:r>
    </w:p>
    <w:p w14:paraId="2A09BA4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Anteprima in tempo reale con layout fedele alla stampa</w:t>
      </w:r>
    </w:p>
    <w:p w14:paraId="4650467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Esportazione in DOCX, PDF/A, RTF</w:t>
      </w:r>
    </w:p>
    <w:p w14:paraId="2C0975C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Versionamento modelli con diff visuale tra versioni</w:t>
      </w:r>
    </w:p>
    <w:p w14:paraId="72311942">
      <w:pPr>
        <w:pBdr>
          <w:left w:val="single" w:color="2E75B6" w:sz="12" w:space="6"/>
        </w:pBdr>
        <w:spacing w:before="120" w:after="120"/>
        <w:ind w:left="360"/>
        <w:rPr>
          <w:rFonts w:ascii="Segoe UI" w:hAnsi="Segoe UI" w:eastAsia="Segoe UI" w:cs="Segoe UI"/>
          <w:i/>
          <w:iCs/>
          <w:color w:val="444444"/>
          <w:sz w:val="20"/>
          <w:szCs w:val="20"/>
        </w:rPr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Ogni modello può essere clonato, modificato e salvato come variante dello studio o del singolo avvocato, mantenendo la versione master intatta.</w:t>
      </w:r>
    </w:p>
    <w:p w14:paraId="39DBB481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</w:t>
      </w:r>
      <w:r>
        <w:rPr>
          <w:rFonts w:hint="default" w:cs="Segoe UI"/>
          <w:b/>
          <w:bCs/>
          <w:color w:val="2E75B6"/>
          <w:sz w:val="28"/>
          <w:szCs w:val="28"/>
          <w:lang w:val="it-IT"/>
        </w:rPr>
        <w:t>3</w:t>
      </w: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 xml:space="preserve"> Modulo AI – Ricerca e Assistenza</w:t>
      </w:r>
    </w:p>
    <w:p w14:paraId="47F9EB06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Il modulo più innovativo: un sistema di ricerca semantica e assistenza alla redazione basato su modelli linguistici di ultima generazione.</w:t>
      </w:r>
    </w:p>
    <w:p w14:paraId="69403B6A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3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.1 Ricerca Sentenze e Dottrina</w:t>
      </w:r>
    </w:p>
    <w:p w14:paraId="3BB2C29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Integrazione con banche dati: Italgiure (Cassazione), DeJure (Giuffrè), Leggi d'Italia</w:t>
      </w:r>
    </w:p>
    <w:p w14:paraId="23255DC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Ricerca semantica in linguaggio naturale: 'trova sentenze sulla responsabilità medica per omessa diagnosi'</w:t>
      </w:r>
    </w:p>
    <w:p w14:paraId="2B2AA5B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Re-ranking dei risultati per rilevanza contestuale al fascicolo aperto</w:t>
      </w:r>
    </w:p>
    <w:p w14:paraId="2F3BAA7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Estrazione automatica del principio di diritto (massima) da ogni sentenza</w:t>
      </w:r>
    </w:p>
    <w:p w14:paraId="02DDCA1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Salvataggio con tag e collegamento al fascicolo</w:t>
      </w:r>
    </w:p>
    <w:p w14:paraId="0EFD446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Citazione automatica formattata (es. Cass. civ. sez. III, 12 marzo 2024, n. 6789)</w:t>
      </w:r>
    </w:p>
    <w:p w14:paraId="6DD54D46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3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.2 Assistente AI alla Redazione</w:t>
      </w:r>
    </w:p>
    <w:p w14:paraId="65A62CD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Completamento intelligente testo: il sistema suggerisce continuazioni coerenti con il contesto giuridico</w:t>
      </w:r>
    </w:p>
    <w:p w14:paraId="4FA7A7D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Revisione logico-argomentativa: identifica lacune argomentative e suggerisce integrazioni</w:t>
      </w:r>
    </w:p>
    <w:p w14:paraId="06174CA5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Controllo coerenza interna: verifica che le tesi difensive non si contraddicano</w:t>
      </w:r>
    </w:p>
    <w:p w14:paraId="089AE6E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Ricerca precedenti pertinenti: propone automaticamente sentenze rilevanti mentre si scrive</w:t>
      </w:r>
    </w:p>
    <w:p w14:paraId="3760702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Generazione prima bozza atto da note strutturate o dal fascicolo</w:t>
      </w:r>
    </w:p>
    <w:p w14:paraId="4498C127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3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.3 Architettura RAG (Retrieval-Augmented Generation)</w:t>
      </w:r>
    </w:p>
    <w:p w14:paraId="5AACDC3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Indicizzazione vettoriale delle sentenze salvate tramite embeddings OpenAI</w:t>
      </w:r>
    </w:p>
    <w:p w14:paraId="0368806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Database vettoriale locale (Qdrant o pgvector su PostgreSQL)</w:t>
      </w:r>
    </w:p>
    <w:p w14:paraId="717E028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Pipeline: query → embedding → similarity search → contesto → GPT-4o → risposta</w:t>
      </w:r>
    </w:p>
    <w:p w14:paraId="0E94C88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Context window ottimizzata: chunking intelligente dei documenti lunghi</w:t>
      </w:r>
    </w:p>
    <w:p w14:paraId="2D57EA93">
      <w:pPr>
        <w:pBdr>
          <w:left w:val="single" w:color="2E75B6" w:sz="12" w:space="6"/>
        </w:pBdr>
        <w:spacing w:before="120" w:after="120"/>
        <w:ind w:left="360"/>
        <w:rPr>
          <w:rFonts w:ascii="Segoe UI" w:hAnsi="Segoe UI" w:eastAsia="Segoe UI" w:cs="Segoe UI"/>
          <w:i/>
          <w:iCs/>
          <w:color w:val="444444"/>
          <w:sz w:val="20"/>
          <w:szCs w:val="20"/>
        </w:rPr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L'AI lavora sempre in modalità assistiva, non sostitutiva. L'avvocato mantiene pieno controllo. Ogni suggerimento è chiaramente distinto dal testo autore.</w:t>
      </w:r>
    </w:p>
    <w:p w14:paraId="0073EFB3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</w:t>
      </w:r>
      <w:r>
        <w:rPr>
          <w:rFonts w:hint="default" w:cs="Segoe UI"/>
          <w:b/>
          <w:bCs/>
          <w:color w:val="2E75B6"/>
          <w:sz w:val="28"/>
          <w:szCs w:val="28"/>
          <w:lang w:val="it-IT"/>
        </w:rPr>
        <w:t>4</w:t>
      </w: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 xml:space="preserve"> Modulo Fascicoli e Procedimenti</w:t>
      </w:r>
    </w:p>
    <w:p w14:paraId="5C7EFE3A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Gestisce l'intero ciclo di vita di ogni procedimento legale, dalla presa in carico al definitivo archivio.</w:t>
      </w:r>
    </w:p>
    <w:p w14:paraId="04933379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4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.1 Struttura del Fascicolo</w:t>
      </w:r>
    </w:p>
    <w:p w14:paraId="645DACA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Numero di ruolo, tribunale, sezione, giudice assegnato</w:t>
      </w:r>
    </w:p>
    <w:p w14:paraId="30297AEB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Tipologia (civile, penale, amministrativo, tributario, arbitrato, stragiudiziale)</w:t>
      </w:r>
    </w:p>
    <w:p w14:paraId="71622F4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Stato avanzamento: in corso, sospeso, definito, archiviato</w:t>
      </w:r>
    </w:p>
    <w:p w14:paraId="3E165D8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Responsabile fascicolo e co-responsabili</w:t>
      </w:r>
    </w:p>
    <w:p w14:paraId="4462CA6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Cliente, controparte, avvocato controparte</w:t>
      </w:r>
    </w:p>
    <w:p w14:paraId="6EEFCC2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Timeline visuale degli eventi processuali</w:t>
      </w:r>
    </w:p>
    <w:p w14:paraId="6E8F6C7E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</w:t>
      </w:r>
      <w:r>
        <w:rPr>
          <w:rFonts w:hint="default" w:cs="Segoe UI"/>
          <w:b/>
          <w:bCs/>
          <w:color w:val="1F4E79"/>
          <w:sz w:val="24"/>
          <w:szCs w:val="24"/>
          <w:lang w:val="it-IT"/>
        </w:rPr>
        <w:t>4</w:t>
      </w: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.2 Scadenziario Intelligente</w:t>
      </w:r>
    </w:p>
    <w:p w14:paraId="315B16E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Inserimento automatico delle scadenze processuali dal tipo di rito</w:t>
      </w:r>
    </w:p>
    <w:p w14:paraId="73DCF7E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Alert multicanale: notifiche di sistema Windows, email, popup all'avvio</w:t>
      </w:r>
    </w:p>
    <w:p w14:paraId="4F54061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Calcolo automatico termini: +30gg, scadenze da notifica, proroghe</w:t>
      </w:r>
    </w:p>
    <w:p w14:paraId="62673D0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Vista calendario con drag-and-drop e vista Gantt per fascicoli complessi</w:t>
      </w:r>
    </w:p>
    <w:p w14:paraId="3C98CB1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Integrazione con Microsoft Outlook e Google Calendar via CalDAV</w:t>
      </w:r>
    </w:p>
    <w:p w14:paraId="2C016C57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4.5 Modulo PCT – Processo Civile Telematico</w:t>
      </w:r>
    </w:p>
    <w:p w14:paraId="6A59E934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Integrazione nativa con il Processo Civile Telematico per l'invio e la ricezione di atti telematici, conforme alle specifiche tecniche del Ministero della Giustizia e del CNF.</w:t>
      </w:r>
    </w:p>
    <w:p w14:paraId="3D2B6E53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4.5.1 Funzionalità di Invio</w:t>
      </w:r>
    </w:p>
    <w:p w14:paraId="47BC176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Creazione busta telematica conforme alle specifiche MinGiustizia</w:t>
      </w:r>
    </w:p>
    <w:p w14:paraId="7F652B6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Allegazione automatica atti redatti nel modulo documenti</w:t>
      </w:r>
    </w:p>
    <w:p w14:paraId="4867931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Firma digitale integrata: smartcard CNS, CIE, token USB (PKCS#11)</w:t>
      </w:r>
    </w:p>
    <w:p w14:paraId="2E3F4BD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Validazione pre-invio: controllo formati, dimensioni, metadati obbligatori</w:t>
      </w:r>
    </w:p>
    <w:p w14:paraId="3DA2063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Invio via PEC con tracking ricevuta di accettazione e avvenuta consegna</w:t>
      </w:r>
    </w:p>
    <w:p w14:paraId="10FF849E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4.5.2 Ricezione e Monitoraggio</w:t>
      </w:r>
    </w:p>
    <w:p w14:paraId="72814A7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Monitoraggio inbox PEC dedicata: download automatico atti ricevuti</w:t>
      </w:r>
    </w:p>
    <w:p w14:paraId="004163C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Parser automatico ricevute SIECIC e notifiche telematiche</w:t>
      </w:r>
    </w:p>
    <w:p w14:paraId="223B940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Estrazione e archiviazione automatica atti nel fascicolo corrispondente</w:t>
      </w:r>
    </w:p>
    <w:p w14:paraId="6B37987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Dashboard stato procedimenti: pendenze, notifiche, scadenze PCT</w:t>
      </w:r>
    </w:p>
    <w:p w14:paraId="33BA465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Log certificato di tutte le trasmissioni con marcatura temporale</w:t>
      </w:r>
    </w:p>
    <w:p w14:paraId="1B237DEC">
      <w:pPr>
        <w:pStyle w:val="4"/>
        <w:spacing w:before="240" w:after="120"/>
      </w:pPr>
      <w:r>
        <w:rPr>
          <w:rFonts w:ascii="Segoe UI" w:hAnsi="Segoe UI" w:eastAsia="Segoe UI" w:cs="Segoe UI"/>
          <w:b/>
          <w:bCs/>
          <w:color w:val="1F4E79"/>
          <w:sz w:val="24"/>
          <w:szCs w:val="24"/>
        </w:rPr>
        <w:t>4.5.3 Conformità Normativa</w:t>
      </w:r>
    </w:p>
    <w:p w14:paraId="13F0552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Aggiornamento continuo alle specifiche tecniche (attualmente v. 14+)</w:t>
      </w:r>
    </w:p>
    <w:p w14:paraId="0BB9A82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Gestione transizione PCT penale (Portale Depositi Penali – PDP)</w:t>
      </w:r>
    </w:p>
    <w:p w14:paraId="08056A6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Supporto NotificheWeb per notifiche via portale dedicato</w:t>
      </w:r>
    </w:p>
    <w:p w14:paraId="73B80E6D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4.6 Modulo Agenda e Udienze</w:t>
      </w:r>
    </w:p>
    <w:p w14:paraId="1714A6B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Registro udienze con luogo, orario, giudice, tipo</w:t>
      </w:r>
    </w:p>
    <w:p w14:paraId="763121A7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Vista settimanale, mensile, per tribunale</w:t>
      </w:r>
    </w:p>
    <w:p w14:paraId="35754F25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Preparazione udienza: checklist documenti, note, memorie da portare</w:t>
      </w:r>
    </w:p>
    <w:p w14:paraId="2D20C4E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Storico udienze con esito e verbale allegabile</w:t>
      </w:r>
    </w:p>
    <w:p w14:paraId="6045E56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Condivisione agenda tra avvocati dello studio</w:t>
      </w:r>
    </w:p>
    <w:p w14:paraId="32D32DA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Allarmi configurabili: 24h, 2h, 30min prima dell'udienza</w:t>
      </w:r>
    </w:p>
    <w:p w14:paraId="7B197B25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4.7 Modulo Contabilità e Parcelle</w:t>
      </w:r>
    </w:p>
    <w:p w14:paraId="68E30EB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Preventivi e parcelle pro-forma</w:t>
      </w:r>
    </w:p>
    <w:p w14:paraId="76D8165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Nota spese con giustificativi allegabili</w:t>
      </w:r>
    </w:p>
    <w:p w14:paraId="346A8A2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Generazione parcella finale con riferimento a tariffe forensi (D.M. 55/2014)</w:t>
      </w:r>
    </w:p>
    <w:p w14:paraId="71A3AAE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Calcolo automatico compensi da valore della causa, fase, attività</w:t>
      </w:r>
    </w:p>
    <w:p w14:paraId="360192B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Integrazione con sistemi di fatturazione elettronica (B2B/B2C)</w:t>
      </w:r>
    </w:p>
    <w:p w14:paraId="469775A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Scadenziario pagamenti e gestione insoluti</w:t>
      </w:r>
    </w:p>
    <w:p w14:paraId="1467F7E7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Cruscotto redditività per fascicolo e per avvocato</w:t>
      </w:r>
    </w:p>
    <w:p w14:paraId="07C0C36F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Il modulo contabilità non sostituisce il software contabile dello studio ma si integra tramite export standard (XML fattura, CSV).</w:t>
      </w:r>
    </w:p>
    <w:p w14:paraId="7CB1B44C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4.8 Utilità e Strumenti Professionali</w:t>
      </w:r>
    </w:p>
    <w:p w14:paraId="18879325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Calcolatore termini processuali: aggiornato con sospensioni feriali e proroghe</w:t>
      </w:r>
    </w:p>
    <w:p w14:paraId="7032D8F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Calcolatore interessi legali e moratori con export tabella</w:t>
      </w:r>
    </w:p>
    <w:p w14:paraId="07739D7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Convertitore PDF/A per conformità PCT e archiviazione</w:t>
      </w:r>
    </w:p>
    <w:p w14:paraId="666CFB75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OCR documenti: estrazione testo da immagini e PDF scansionati</w:t>
      </w:r>
    </w:p>
    <w:p w14:paraId="1436DD67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Crittografia documenti sensibili a riposo (AES-256)</w:t>
      </w:r>
    </w:p>
    <w:p w14:paraId="34EB58BB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Backup automatico giornaliero con verifica integrità</w:t>
      </w:r>
    </w:p>
    <w:p w14:paraId="39793E0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Importa/Esporta rubrica in formato VCF standard</w:t>
      </w:r>
    </w:p>
    <w:p w14:paraId="13D7096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Accesso rapido a Gazzetta Ufficiale e normativa aggiornata via API EUR-Lex</w:t>
      </w:r>
    </w:p>
    <w:p w14:paraId="434B9E03">
      <w:r>
        <w:br w:type="page"/>
      </w:r>
    </w:p>
    <w:p w14:paraId="2E9D92FA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5. Modello Dati – Database</w:t>
      </w:r>
    </w:p>
    <w:p w14:paraId="727A228B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5.1 Schema Entità Principali</w:t>
      </w:r>
    </w:p>
    <w:p w14:paraId="18D88035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Il database relazionale (SQL Server LocalDB in development, SQL Server Express in produzione) gestisce le seguenti entità chiave: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7423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E761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Entità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73BD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Campi Principali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45AE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Relazioni</w:t>
            </w:r>
          </w:p>
        </w:tc>
      </w:tr>
      <w:tr w14:paraId="541D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85E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Anagrafica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887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Tipo, Nome, CF, PIVA, PEC, Telefono, Indirizzo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00D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1:N Fascicoli, Documenti, Parcelle</w:t>
            </w:r>
          </w:p>
        </w:tc>
      </w:tr>
      <w:tr w14:paraId="204E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C5D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Fascicolo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761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Numero, Tipo, Stato, Tribunale, DataApertura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FA8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N:M Anagrafiche, 1:N Atti, Udienze</w:t>
            </w:r>
          </w:p>
        </w:tc>
      </w:tr>
      <w:tr w14:paraId="76E0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5D4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Atto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F87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FascicoloId, Tipo, Titolo, Contenuto, DataCreazione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A49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N:1 Fascicolo, N:1 Modello</w:t>
            </w:r>
          </w:p>
        </w:tc>
      </w:tr>
      <w:tr w14:paraId="7AD9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C9B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ModelliAtto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2A7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Nome, Categoria, TemplateXml, Versione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7F8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1:N Atti</w:t>
            </w:r>
          </w:p>
        </w:tc>
      </w:tr>
      <w:tr w14:paraId="42C6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07E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Udienza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B34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FascicoloId, Data, Ora, Luogo, Giudice, Esito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93EC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N:1 Fascicolo</w:t>
            </w:r>
          </w:p>
        </w:tc>
      </w:tr>
      <w:tr w14:paraId="497E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C92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Scadenza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BA7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FascicoloId, Tipo, DataScadenza, Avvisato, Note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AD4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N:1 Fascicolo</w:t>
            </w:r>
          </w:p>
        </w:tc>
      </w:tr>
      <w:tr w14:paraId="666E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6E16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Parcella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78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FascicoloId, Importo, Stato, DataEmissione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5A0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N:1 Fascicolo, 1:N Voci</w:t>
            </w:r>
          </w:p>
        </w:tc>
      </w:tr>
      <w:tr w14:paraId="23CE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A10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TrasmissionePCT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0B4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FascicoloId, DataInvio, Stato, RicevutaXml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2BE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N:1 Fascicolo</w:t>
            </w:r>
          </w:p>
        </w:tc>
      </w:tr>
      <w:tr w14:paraId="6C75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D95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SentenzaSalvata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D0F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Id, Riferimento, Testo, Embedding, Tag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A7C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N:M Fascicoli</w:t>
            </w:r>
          </w:p>
        </w:tc>
      </w:tr>
    </w:tbl>
    <w:p w14:paraId="02AC5EF3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5.2 Configurazione EF Core</w:t>
      </w:r>
    </w:p>
    <w:p w14:paraId="2DD244C9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 xml:space="preserve">Entity Framework Core </w:t>
      </w:r>
      <w:r>
        <w:rPr>
          <w:rFonts w:hint="default" w:cs="Segoe UI"/>
          <w:color w:val="1A1A1A"/>
          <w:sz w:val="22"/>
          <w:szCs w:val="22"/>
          <w:lang w:val="it-IT"/>
        </w:rPr>
        <w:t>10</w:t>
      </w:r>
      <w:r>
        <w:rPr>
          <w:rFonts w:ascii="Segoe UI" w:hAnsi="Segoe UI" w:eastAsia="Segoe UI" w:cs="Segoe UI"/>
          <w:color w:val="1A1A1A"/>
          <w:sz w:val="22"/>
          <w:szCs w:val="22"/>
        </w:rPr>
        <w:t xml:space="preserve"> in modalità Code-First con Migrations automatiche. Il DbContext principale (LexDbContext) estende IdentityDbContext per gestire autenticazione multi-utente. Le configurazioni delle entità sono separate in classi IEntityTypeConfiguration per clean code.</w:t>
      </w:r>
    </w:p>
    <w:p w14:paraId="25C34C03">
      <w:pPr>
        <w:pBdr>
          <w:bottom w:val="single" w:color="CCCCCC" w:sz="2" w:space="1"/>
        </w:pBdr>
        <w:spacing w:before="200" w:after="200"/>
      </w:pPr>
    </w:p>
    <w:p w14:paraId="16F0B4EF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6. Sicurezza e Privacy (GDPR)</w:t>
      </w:r>
    </w:p>
    <w:p w14:paraId="4AFBD223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6.1 Autenticazione e Autorizzazione</w:t>
      </w:r>
    </w:p>
    <w:p w14:paraId="63AD79D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Login con username/password con hash bcrypt</w:t>
      </w:r>
    </w:p>
    <w:p w14:paraId="1149BF7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Supporto Windows Hello (impronta, volto) tramite Windows Biometric Framework</w:t>
      </w:r>
    </w:p>
    <w:p w14:paraId="0FEF7D2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Ruoli: Amministratore, Avvocato Titolare, Collaboratore, Segreteria (sola lettura parziale)</w:t>
      </w:r>
    </w:p>
    <w:p w14:paraId="6D9DE08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Permessi granulari per modulo e per fascicolo</w:t>
      </w:r>
    </w:p>
    <w:p w14:paraId="2EE6D1C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Session timeout configurabile con blocco automatico</w:t>
      </w:r>
    </w:p>
    <w:p w14:paraId="5B512BC4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6.2 Protezione Dati</w:t>
      </w:r>
    </w:p>
    <w:p w14:paraId="2B135CF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Crittografia database: TDE (Transparent Data Encryption) su SQL Server</w:t>
      </w:r>
    </w:p>
    <w:p w14:paraId="07173AC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Crittografia file allegati a riposo: AES-256-GCM</w:t>
      </w:r>
    </w:p>
    <w:p w14:paraId="10E7604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Log accessi completo con IP, timestamp, azione eseguita</w:t>
      </w:r>
    </w:p>
    <w:p w14:paraId="467C9C4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Gestione consensi GDPR: raccolta, archiviazione, esercizio diritti interessato</w:t>
      </w:r>
    </w:p>
    <w:p w14:paraId="384B7AC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Data Retention configurabile: cancellazione automatica dati scaduti</w:t>
      </w:r>
    </w:p>
    <w:p w14:paraId="378EE70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Backup cifrati: i backup automatici sono crittografati con chiave derivata dalla password admin</w:t>
      </w:r>
    </w:p>
    <w:p w14:paraId="49C88587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Il software è conforme al Regolamento UE 2016/679 (GDPR) e alle linee guida del Garante Privacy per i professionisti legali.</w:t>
      </w:r>
    </w:p>
    <w:p w14:paraId="22E61A58">
      <w:r>
        <w:br w:type="page"/>
      </w:r>
    </w:p>
    <w:p w14:paraId="727B914F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7. Piano di Sviluppo – Roadmap</w:t>
      </w:r>
    </w:p>
    <w:p w14:paraId="5430BFBD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7.1 Fasi di Sviluppo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409"/>
        <w:gridCol w:w="2410"/>
        <w:gridCol w:w="2410"/>
      </w:tblGrid>
      <w:tr w14:paraId="285B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B7A8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55C1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8087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DCEE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Moduli</w:t>
            </w:r>
          </w:p>
        </w:tc>
      </w:tr>
      <w:tr w14:paraId="3586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7E6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021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976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Setup infrastruttura, CI/CD, template progetto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69D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DevOps, architettura base</w:t>
            </w:r>
          </w:p>
        </w:tc>
      </w:tr>
      <w:tr w14:paraId="380D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919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1-2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BCF6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4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71C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Core Domain + Database + Auth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AC5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Anagrafica, Login, RBAC</w:t>
            </w:r>
          </w:p>
        </w:tc>
      </w:tr>
      <w:tr w14:paraId="1C49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A23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3-4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C5E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4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7AF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Fascicoli + Scadenziario + Agenda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E6F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Fascicoli, Udienze, Alert</w:t>
            </w:r>
          </w:p>
        </w:tc>
      </w:tr>
      <w:tr w14:paraId="2D65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734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5-6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86E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4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229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Modelli Atti + Editor + PDF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ECB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Documenti, Template, Export</w:t>
            </w:r>
          </w:p>
        </w:tc>
      </w:tr>
      <w:tr w14:paraId="6A89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41F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7-8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657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4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5E7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Integrazione AI + RAG + Ricerca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FF6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AI, Embeddings, Sentenze</w:t>
            </w:r>
          </w:p>
        </w:tc>
      </w:tr>
      <w:tr w14:paraId="0AA77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14D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B83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677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Modulo PCT + Firma digitale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0EC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PCT, PKCS#11</w:t>
            </w:r>
          </w:p>
        </w:tc>
      </w:tr>
      <w:tr w14:paraId="6CD6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824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EC6C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60C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Parcelle + Contabilità base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8CB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Economia, Report</w:t>
            </w:r>
          </w:p>
        </w:tc>
      </w:tr>
      <w:tr w14:paraId="7EE52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1EC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355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E8D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Utilità, OCR, Backup, Crittografia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B01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Tools, Sicurezza</w:t>
            </w:r>
          </w:p>
        </w:tc>
      </w:tr>
      <w:tr w14:paraId="7FF2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DD9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013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881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Test, bug fixing, ottimizzazioni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4BD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QA, Performance</w:t>
            </w:r>
          </w:p>
        </w:tc>
      </w:tr>
      <w:tr w14:paraId="0FF6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BFC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9EC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354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Beta testing studio pilota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AFF6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UAT, feedback</w:t>
            </w:r>
          </w:p>
        </w:tc>
      </w:tr>
      <w:tr w14:paraId="56B0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5B98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Sprint 14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F24E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2 settimane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BEC1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Release 1.0 + documentazione utente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7D5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Deploy, Manuale</w:t>
            </w:r>
          </w:p>
        </w:tc>
      </w:tr>
    </w:tbl>
    <w:p w14:paraId="3882267F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Durata totale stimata: 30 settimane (circa 7-8 mesi) con team di 3-4 sviluppatori.</w:t>
      </w:r>
    </w:p>
    <w:p w14:paraId="57F8DFB6">
      <w:pPr>
        <w:pBdr>
          <w:bottom w:val="single" w:color="CCCCCC" w:sz="2" w:space="1"/>
        </w:pBdr>
        <w:spacing w:before="200" w:after="200"/>
      </w:pPr>
    </w:p>
    <w:p w14:paraId="242EFCE8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8. Design UI/UX – Linee Guida</w:t>
      </w:r>
    </w:p>
    <w:p w14:paraId="3D50CC68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8.1 Sistema di Design</w:t>
      </w:r>
    </w:p>
    <w:p w14:paraId="62ABD69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Fluent Design System (Microsoft): acrilico, ombre, animazioni native</w:t>
      </w:r>
    </w:p>
    <w:p w14:paraId="341614E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Libreria: MahApps.Metro + MaterialDesignThemes per controlli avanzati</w:t>
      </w:r>
    </w:p>
    <w:p w14:paraId="6EAB887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Temi: Chiaro (default), Scuro, Alto Contrasto (accessibilità)</w:t>
      </w:r>
    </w:p>
    <w:p w14:paraId="6B822B9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Font: Segoe UI Variable (Windows 11 nativa)</w:t>
      </w:r>
    </w:p>
    <w:p w14:paraId="3CC1846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Palette colori: Blu istituzionale, Grigio neutro, Rosso accent (per alert)</w:t>
      </w:r>
    </w:p>
    <w:p w14:paraId="255028B7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Icone: Fluent UI Icons (SVG scalabili), stile outline e filled</w:t>
      </w:r>
    </w:p>
    <w:p w14:paraId="0F1B1EFB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8.2 Layout Principale</w:t>
      </w:r>
    </w:p>
    <w:p w14:paraId="30D54A7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Shell a tre zone: barra navigazione sinistra (collassabile), area contenuto principale, pannello contestuale destro</w:t>
      </w:r>
    </w:p>
    <w:p w14:paraId="2A423E7B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Navigation rail con icone + label per accesso rapido ai 8 moduli principali</w:t>
      </w:r>
    </w:p>
    <w:p w14:paraId="2BA18AF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Breadcrumb sempre visibile per orientamento nella gerarchia</w:t>
      </w:r>
    </w:p>
    <w:p w14:paraId="40B618C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Pannello ricerca universale (Ctrl+K): ricerca full-text su tutte le entità</w:t>
      </w:r>
    </w:p>
    <w:p w14:paraId="1DD40AF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Status bar inferiore: utente loggato, notifiche, stato sincronizzazione, ora</w:t>
      </w:r>
    </w:p>
    <w:p w14:paraId="32B88ABB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8.3 Principi UX</w:t>
      </w:r>
    </w:p>
    <w:p w14:paraId="43063A5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Keyboard-first: ogni azione deve essere eseguibile da tastiera con shortcut logici</w:t>
      </w:r>
    </w:p>
    <w:p w14:paraId="1C050E1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Zero click ridondanti: le azioni più comuni devono richiedere massimo 2 click</w:t>
      </w:r>
    </w:p>
    <w:p w14:paraId="26A87E2B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Feedback immediato: ogni azione ha una risposta visiva entro 100ms</w:t>
      </w:r>
    </w:p>
    <w:p w14:paraId="49BAEC1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Undo universale (Ctrl+Z): tutte le operazioni distruttive sono reversibili</w:t>
      </w:r>
    </w:p>
    <w:p w14:paraId="40929CC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Stato persistente: la sessione ricorda ultima vista, filtri, pannelli aperti</w:t>
      </w:r>
    </w:p>
    <w:p w14:paraId="0982AC85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L'UX deve essere progettata con avvocati reali. Prevedere 2-3 sessioni di user testing con studi legali pilota prima della release 1.0.</w:t>
      </w:r>
    </w:p>
    <w:p w14:paraId="30A0088C">
      <w:r>
        <w:br w:type="page"/>
      </w:r>
    </w:p>
    <w:p w14:paraId="75360CCF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9. Deployment e Distribuzione</w:t>
      </w:r>
    </w:p>
    <w:p w14:paraId="458CC5F9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9.1 Modalità di Distribuzione</w:t>
      </w:r>
    </w:p>
    <w:p w14:paraId="3AD737C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ClickOnce: installazione one-click da URL, aggiornamenti automatici</w:t>
      </w:r>
    </w:p>
    <w:p w14:paraId="7595F4B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MSIX Package: distribuzione tramite Microsoft Store for Business</w:t>
      </w:r>
    </w:p>
    <w:p w14:paraId="77AE6E6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Installer WiX Toolset: per ambienti enterprise con Group Policy</w:t>
      </w:r>
    </w:p>
    <w:p w14:paraId="7EA4D0FF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9.2 Requisiti di Sistema Minimi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0F5C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3EFD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79DC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Requisito Minimo</w:t>
            </w:r>
          </w:p>
        </w:tc>
      </w:tr>
      <w:tr w14:paraId="2DFF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49D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722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Windows 11 (22H2+) / Windows 10 21H2+</w:t>
            </w:r>
          </w:p>
        </w:tc>
      </w:tr>
      <w:tr w14:paraId="156D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179F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CPU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37F2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Intel Core i5 8a gen / AMD Ryzen 5 2600 o superiore</w:t>
            </w:r>
          </w:p>
        </w:tc>
      </w:tr>
      <w:tr w14:paraId="6792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4120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RAM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3624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8 GB (16 GB consigliati per modulo AI locale)</w:t>
            </w:r>
          </w:p>
        </w:tc>
      </w:tr>
      <w:tr w14:paraId="070E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A3A5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060A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10 GB liberi per applicazione + database</w:t>
            </w:r>
          </w:p>
        </w:tc>
      </w:tr>
      <w:tr w14:paraId="677E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5639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.NET Runtime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AE37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.NET 8 Desktop Runtime (scaricato dall'installer)</w:t>
            </w:r>
          </w:p>
        </w:tc>
      </w:tr>
      <w:tr w14:paraId="1EAB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659D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Internet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3DC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Richiesto per modulo AI e PCT (resto offline)</w:t>
            </w:r>
          </w:p>
        </w:tc>
      </w:tr>
      <w:tr w14:paraId="4443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D11B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Smartcard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DC33"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20"/>
                <w:szCs w:val="20"/>
              </w:rPr>
              <w:t>Lettore CCID per firma digitale PCT (opzionale)</w:t>
            </w:r>
          </w:p>
        </w:tc>
      </w:tr>
    </w:tbl>
    <w:p w14:paraId="2E0DA664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9.3 Licenze e Modello di Business</w:t>
      </w:r>
    </w:p>
    <w:p w14:paraId="282C6714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Licenza annuale SaaS-like: abbonamento per avvocato/anno</w:t>
      </w:r>
    </w:p>
    <w:p w14:paraId="2B1D90A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Tier Starter (1 avvocato), Professional (fino a 5), Studio (illimitato)</w:t>
      </w:r>
    </w:p>
    <w:p w14:paraId="7FD56D82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Attivazione online con codice licenza, fallback offline per 30 giorni</w:t>
      </w:r>
    </w:p>
    <w:p w14:paraId="0315CE99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Trial gratuito 30 giorni senza carta di credito</w:t>
      </w:r>
    </w:p>
    <w:p w14:paraId="4C5B1321">
      <w:pPr>
        <w:pBdr>
          <w:bottom w:val="single" w:color="CCCCCC" w:sz="2" w:space="1"/>
        </w:pBdr>
        <w:spacing w:before="200" w:after="200"/>
      </w:pPr>
    </w:p>
    <w:p w14:paraId="5D011B28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10. Prossimi Passi Operativi</w:t>
      </w:r>
    </w:p>
    <w:p w14:paraId="449467B1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10.1 Azioni Immediate (Settimana 1-2)</w:t>
      </w:r>
    </w:p>
    <w:p w14:paraId="374FACB6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Creare la GitHub Organization e repository con branch strategy (main/develop/feature/*)</w:t>
      </w:r>
    </w:p>
    <w:p w14:paraId="771D404F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Configurare GitHub Actions per build, test e deploy automatico</w:t>
      </w:r>
    </w:p>
    <w:p w14:paraId="5252C2AD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Installare SQL Server Express e configurare LocalDB per development</w:t>
      </w:r>
    </w:p>
    <w:p w14:paraId="0B6FD46B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 xml:space="preserve">Creare Solution .NET </w:t>
      </w:r>
      <w:r>
        <w:rPr>
          <w:rFonts w:hint="default" w:cs="Segoe UI"/>
          <w:color w:val="1A1A1A"/>
          <w:sz w:val="22"/>
          <w:szCs w:val="22"/>
          <w:lang w:val="it-IT"/>
        </w:rPr>
        <w:t>10</w:t>
      </w:r>
      <w:r>
        <w:rPr>
          <w:rFonts w:ascii="Segoe UI" w:hAnsi="Segoe UI" w:eastAsia="Segoe UI" w:cs="Segoe UI"/>
          <w:color w:val="1A1A1A"/>
          <w:sz w:val="22"/>
          <w:szCs w:val="22"/>
        </w:rPr>
        <w:t xml:space="preserve"> con tutti i progetti csproj nella struttura definita</w:t>
      </w:r>
    </w:p>
    <w:p w14:paraId="11D7A32B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Implementare Domain Layer: entità base, interfacce, eccezioni</w:t>
      </w:r>
    </w:p>
    <w:p w14:paraId="768667DF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Configurare EF Core con DbContext, migrations iniziali e seed dati demo</w:t>
      </w:r>
    </w:p>
    <w:p w14:paraId="6EDB6E39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Implementare sistema di autenticazione con ruoli</w:t>
      </w:r>
    </w:p>
    <w:p w14:paraId="222913A7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10.2 Azioni Settimana 3-4</w:t>
      </w:r>
    </w:p>
    <w:p w14:paraId="5E9BA510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Sviluppare Anagrafica (CRUD completo + ricerca full-text)</w:t>
      </w:r>
    </w:p>
    <w:p w14:paraId="5F1A0990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Sviluppare UI Shell con navigazione e temi MahApps</w:t>
      </w:r>
    </w:p>
    <w:p w14:paraId="70989A41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Integrare Serilog per logging strutturato</w:t>
      </w:r>
    </w:p>
    <w:p w14:paraId="65112676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Scrivere test unitari per Domain e Application layer (copertura ≥ 80%)</w:t>
      </w:r>
    </w:p>
    <w:p w14:paraId="5F66DBDB">
      <w:pPr>
        <w:pStyle w:val="14"/>
        <w:numPr>
          <w:ilvl w:val="0"/>
          <w:numId w:val="2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Creare ambiente staging per test integrazione</w:t>
      </w:r>
    </w:p>
    <w:p w14:paraId="27649235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10.3 Decisioni Tecniche da Prendere Subito</w:t>
      </w:r>
    </w:p>
    <w:p w14:paraId="489B42D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Provider AI: OpenAI (più facile) vs Azure OpenAI (data residency EU, preferibile per GDPR)</w:t>
      </w:r>
    </w:p>
    <w:p w14:paraId="6C23597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Database vettoriale: Qdrant standalone vs pgvector su PostgreSQL vs Azure AI Search</w:t>
      </w:r>
    </w:p>
    <w:p w14:paraId="6024544F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Banche dati sentenze: accordo commerciale con DeJure/Leggi d'Italia o scraping Italgiure (gratuito, ma lento)</w:t>
      </w:r>
    </w:p>
    <w:p w14:paraId="04F2A23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Firma digitale PCT: libreria commerciale (es. Namirial) vs implementazione PKCS#11 custom</w:t>
      </w:r>
    </w:p>
    <w:p w14:paraId="569E1DE8">
      <w:pPr>
        <w:pBdr>
          <w:left w:val="single" w:color="2E75B6" w:sz="12" w:space="6"/>
        </w:pBdr>
        <w:spacing w:before="120" w:after="120"/>
        <w:ind w:left="360"/>
      </w:pPr>
      <w:r>
        <w:rPr>
          <w:rFonts w:ascii="Segoe UI" w:hAnsi="Segoe UI" w:eastAsia="Segoe UI" w:cs="Segoe UI"/>
          <w:i/>
          <w:iCs/>
          <w:color w:val="444444"/>
          <w:sz w:val="20"/>
          <w:szCs w:val="20"/>
        </w:rPr>
        <w:t>📌 Si raccomanda di avviare immediatamente contatti con il Consiglio Nazionale Forense (CNF) per accedere alla documentazione tecnica completa del PCT SDK e alle sandbox di test.</w:t>
      </w:r>
    </w:p>
    <w:p w14:paraId="316128B9">
      <w:pPr>
        <w:pBdr>
          <w:bottom w:val="single" w:color="CCCCCC" w:sz="2" w:space="1"/>
        </w:pBdr>
        <w:spacing w:before="200" w:after="200"/>
      </w:pPr>
    </w:p>
    <w:p w14:paraId="14612F31">
      <w:pPr>
        <w:pStyle w:val="2"/>
        <w:spacing w:before="400" w:after="200"/>
      </w:pPr>
      <w:r>
        <w:rPr>
          <w:rFonts w:ascii="Segoe UI" w:hAnsi="Segoe UI" w:eastAsia="Segoe UI" w:cs="Segoe UI"/>
          <w:b/>
          <w:bCs/>
          <w:color w:val="1F4E79"/>
          <w:sz w:val="36"/>
          <w:szCs w:val="36"/>
        </w:rPr>
        <w:t>Appendice – Riferimenti e Risorse</w:t>
      </w:r>
    </w:p>
    <w:p w14:paraId="7944D3B8">
      <w:pPr>
        <w:spacing w:before="80" w:after="100"/>
      </w:pPr>
      <w:r>
        <w:rPr>
          <w:rFonts w:ascii="Segoe UI" w:hAnsi="Segoe UI" w:eastAsia="Segoe UI" w:cs="Segoe UI"/>
          <w:color w:val="1A1A1A"/>
          <w:sz w:val="22"/>
          <w:szCs w:val="22"/>
        </w:rPr>
        <w:t>Di seguito i principali riferimenti normativi, tecnici e documentali per lo sviluppo:</w:t>
      </w:r>
    </w:p>
    <w:p w14:paraId="22A3EB4E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Normativa e Standard PCT</w:t>
      </w:r>
    </w:p>
    <w:p w14:paraId="4091D52E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D.M. 21 febbraio 2011 n. 44 – Regole tecniche PCT</w:t>
      </w:r>
    </w:p>
    <w:p w14:paraId="209B703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Specifiche tecniche PCT – Ministero della Giustizia (versione corrente su giustizia.it)</w:t>
      </w:r>
    </w:p>
    <w:p w14:paraId="2265B2EA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Circolare DGSIA: formato ATTI e busta telematica</w:t>
      </w:r>
    </w:p>
    <w:p w14:paraId="14626AD0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D.M. 55/2014 (agg. D.M. 147/2022) – Parametri forensi per liquidazione compensi</w:t>
      </w:r>
    </w:p>
    <w:p w14:paraId="47418AA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Reg. UE 2016/679 – GDPR</w:t>
      </w:r>
    </w:p>
    <w:p w14:paraId="45D2297F">
      <w:pPr>
        <w:pStyle w:val="3"/>
        <w:pBdr>
          <w:bottom w:val="single" w:color="2E75B6" w:sz="4" w:space="4"/>
        </w:pBdr>
        <w:spacing w:before="320" w:after="160"/>
      </w:pPr>
      <w:r>
        <w:rPr>
          <w:rFonts w:ascii="Segoe UI" w:hAnsi="Segoe UI" w:eastAsia="Segoe UI" w:cs="Segoe UI"/>
          <w:b/>
          <w:bCs/>
          <w:color w:val="2E75B6"/>
          <w:sz w:val="28"/>
          <w:szCs w:val="28"/>
        </w:rPr>
        <w:t>Risorse Tecniche</w:t>
      </w:r>
    </w:p>
    <w:p w14:paraId="1010555D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 xml:space="preserve">.NET </w:t>
      </w:r>
      <w:r>
        <w:rPr>
          <w:rFonts w:hint="default" w:cs="Segoe UI"/>
          <w:color w:val="1A1A1A"/>
          <w:sz w:val="22"/>
          <w:szCs w:val="22"/>
          <w:lang w:val="it-IT"/>
        </w:rPr>
        <w:t>10</w:t>
      </w:r>
      <w:r>
        <w:rPr>
          <w:rFonts w:ascii="Segoe UI" w:hAnsi="Segoe UI" w:eastAsia="Segoe UI" w:cs="Segoe UI"/>
          <w:color w:val="1A1A1A"/>
          <w:sz w:val="22"/>
          <w:szCs w:val="22"/>
        </w:rPr>
        <w:t xml:space="preserve"> Documentation – docs.microsoft.com/dotnet</w:t>
      </w:r>
    </w:p>
    <w:p w14:paraId="0CD0030C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MahApps.Metro – mahapps.com</w:t>
      </w:r>
    </w:p>
    <w:p w14:paraId="5DD3CB41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Entity Framework Core – learn.microsoft.com/ef/core</w:t>
      </w:r>
    </w:p>
    <w:p w14:paraId="2B76C96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Semantic Kernel – learn.microsoft.com/semantic-kernel</w:t>
      </w:r>
    </w:p>
    <w:p w14:paraId="44F582A8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OpenXML SDK – docs.microsoft.com/office/open-xml</w:t>
      </w:r>
    </w:p>
    <w:p w14:paraId="5EC79496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ClickOnce Deployment – docs.microsoft.com/visualstudio/deployment</w:t>
      </w:r>
    </w:p>
    <w:p w14:paraId="3610CA93">
      <w:pPr>
        <w:pStyle w:val="14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A1A1A"/>
          <w:sz w:val="22"/>
          <w:szCs w:val="22"/>
        </w:rPr>
        <w:t>OpenAI .NET SDK – github.com/openai/openai-dotnet</w:t>
      </w:r>
    </w:p>
    <w:p w14:paraId="2EE007D0">
      <w:pPr>
        <w:pBdr>
          <w:top w:val="single" w:color="2E75B6" w:sz="4" w:space="8"/>
        </w:pBdr>
        <w:spacing w:before="600" w:after="200"/>
        <w:jc w:val="center"/>
      </w:pPr>
      <w:r>
        <w:rPr>
          <w:rFonts w:ascii="Segoe UI" w:hAnsi="Segoe UI" w:eastAsia="Segoe UI" w:cs="Segoe UI"/>
          <w:i/>
          <w:iCs/>
          <w:color w:val="888888"/>
          <w:sz w:val="18"/>
          <w:szCs w:val="18"/>
        </w:rPr>
        <w:t>LexManager Pro  ·  Progetto Tecnico Completo  ·  v1.0  ·  Giugno 2025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86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FE1C">
    <w:pPr>
      <w:pBdr>
        <w:top w:val="single" w:color="CCCCCC" w:sz="4" w:space="4"/>
      </w:pBdr>
      <w:jc w:val="center"/>
    </w:pPr>
    <w:r>
      <w:rPr>
        <w:rFonts w:ascii="Segoe UI" w:hAnsi="Segoe UI" w:eastAsia="Segoe UI" w:cs="Segoe UI"/>
        <w:color w:val="999999"/>
        <w:sz w:val="16"/>
        <w:szCs w:val="16"/>
      </w:rPr>
      <w:t>© 202</w:t>
    </w:r>
    <w:r>
      <w:rPr>
        <w:rFonts w:hint="default" w:cs="Segoe UI"/>
        <w:color w:val="999999"/>
        <w:sz w:val="16"/>
        <w:szCs w:val="16"/>
        <w:lang w:val="it-IT"/>
      </w:rPr>
      <w:t>6</w:t>
    </w:r>
    <w:r>
      <w:rPr>
        <w:rFonts w:ascii="Segoe UI" w:hAnsi="Segoe UI" w:eastAsia="Segoe UI" w:cs="Segoe UI"/>
        <w:color w:val="999999"/>
        <w:sz w:val="16"/>
        <w:szCs w:val="16"/>
      </w:rPr>
      <w:t xml:space="preserve"> LexManager Pro</w:t>
    </w:r>
    <w:r>
      <w:rPr>
        <w:rFonts w:hint="default" w:cs="Segoe UI"/>
        <w:color w:val="999999"/>
        <w:sz w:val="16"/>
        <w:szCs w:val="16"/>
        <w:lang w:val="it-IT"/>
      </w:rPr>
      <w:t xml:space="preserve"> Max</w:t>
    </w:r>
    <w:r>
      <w:rPr>
        <w:rFonts w:ascii="Segoe UI" w:hAnsi="Segoe UI" w:eastAsia="Segoe UI" w:cs="Segoe UI"/>
        <w:color w:val="999999"/>
        <w:sz w:val="16"/>
        <w:szCs w:val="16"/>
      </w:rPr>
      <w:t xml:space="preserve"> – Documento Riservato – Tutti i diritti riservati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929E7">
    <w:pPr>
      <w:pBdr>
        <w:bottom w:val="single" w:color="2E75B6" w:sz="6" w:space="4"/>
      </w:pBdr>
      <w:spacing w:after="120"/>
    </w:pPr>
    <w:r>
      <w:rPr>
        <w:rFonts w:ascii="Segoe UI" w:hAnsi="Segoe UI" w:eastAsia="Segoe UI" w:cs="Segoe UI"/>
        <w:b/>
        <w:bCs/>
        <w:color w:val="1F4E79"/>
        <w:sz w:val="18"/>
        <w:szCs w:val="18"/>
      </w:rPr>
      <w:t xml:space="preserve">LEXMANAGER PRO </w:t>
    </w:r>
    <w:r>
      <w:rPr>
        <w:rFonts w:hint="default" w:cs="Segoe UI"/>
        <w:b/>
        <w:bCs/>
        <w:color w:val="1F4E79"/>
        <w:sz w:val="18"/>
        <w:szCs w:val="18"/>
        <w:lang w:val="it-IT"/>
      </w:rPr>
      <w:t>MAX</w:t>
    </w:r>
    <w:r>
      <w:rPr>
        <w:rFonts w:ascii="Segoe UI" w:hAnsi="Segoe UI" w:eastAsia="Segoe UI" w:cs="Segoe UI"/>
        <w:b/>
        <w:bCs/>
        <w:color w:val="1F4E79"/>
        <w:sz w:val="18"/>
        <w:szCs w:val="18"/>
      </w:rPr>
      <w:t xml:space="preserve"> ·  </w:t>
    </w:r>
    <w:r>
      <w:rPr>
        <w:rFonts w:ascii="Segoe UI" w:hAnsi="Segoe UI" w:eastAsia="Segoe UI" w:cs="Segoe UI"/>
        <w:color w:val="666666"/>
        <w:sz w:val="18"/>
        <w:szCs w:val="18"/>
      </w:rPr>
      <w:t xml:space="preserve">Gestionale Moderno per Avvocati  |  Progetto Tecnico Completo  |  Pag.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▪"/>
      <w:lvlJc w:val="left"/>
      <w:pPr>
        <w:ind w:left="480" w:hanging="240"/>
      </w:pPr>
      <w:rPr>
        <w:color w:val="2E75B6"/>
      </w:rPr>
    </w:lvl>
    <w:lvl w:ilvl="1" w:tentative="0">
      <w:start w:val="1"/>
      <w:numFmt w:val="bullet"/>
      <w:lvlText w:val="◦"/>
      <w:lvlJc w:val="left"/>
      <w:pPr>
        <w:ind w:left="960" w:hanging="240"/>
      </w:pPr>
      <w:rPr>
        <w:color w:val="666666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240"/>
      </w:pPr>
      <w:rPr>
        <w:b/>
        <w:bCs/>
        <w:color w:val="2E75B6"/>
      </w:rPr>
    </w:lvl>
    <w:lvl w:ilvl="1" w:tentative="0">
      <w:start w:val="1"/>
      <w:numFmt w:val="lowerLetter"/>
      <w:lvlText w:val="%2."/>
      <w:lvlJc w:val="left"/>
      <w:pPr>
        <w:ind w:left="96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CD47E7"/>
    <w:rsid w:val="1CDB3E17"/>
    <w:rsid w:val="23796C2A"/>
    <w:rsid w:val="3A705B70"/>
    <w:rsid w:val="56A603F1"/>
    <w:rsid w:val="594F4C7E"/>
    <w:rsid w:val="5C717360"/>
    <w:rsid w:val="6A8A3925"/>
    <w:rsid w:val="6B6C7F46"/>
    <w:rsid w:val="70CF7FBE"/>
    <w:rsid w:val="73357351"/>
    <w:rsid w:val="77F27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Segoe UI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Segoe UI" w:hAnsi="Segoe UI" w:eastAsia="Segoe UI" w:cs="Segoe UI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Segoe UI" w:hAnsi="Segoe UI" w:eastAsia="Segoe UI" w:cs="Segoe UI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Segoe UI" w:hAnsi="Segoe UI" w:eastAsia="Segoe UI" w:cs="Segoe U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Segoe UI" w:hAnsi="Segoe UI" w:eastAsia="Segoe UI" w:cs="Segoe UI"/>
      <w:b/>
      <w:bCs/>
      <w:color w:val="1F4E79"/>
      <w:sz w:val="24"/>
      <w:szCs w:val="24"/>
    </w:rPr>
  </w:style>
  <w:style w:type="paragraph" w:styleId="5">
    <w:name w:val="heading 4"/>
    <w:next w:val="1"/>
    <w:qFormat/>
    <w:uiPriority w:val="0"/>
    <w:rPr>
      <w:rFonts w:ascii="Segoe UI" w:hAnsi="Segoe UI" w:eastAsia="Segoe UI" w:cs="Segoe U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Segoe UI" w:hAnsi="Segoe UI" w:eastAsia="Segoe UI" w:cs="Segoe U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Segoe UI" w:hAnsi="Segoe UI" w:eastAsia="Segoe UI" w:cs="Segoe U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Segoe UI" w:hAnsi="Segoe UI" w:eastAsia="Segoe UI" w:cs="Segoe U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Segoe UI" w:hAnsi="Segoe UI" w:eastAsia="Segoe UI" w:cs="Segoe UI"/>
      <w:sz w:val="56"/>
      <w:szCs w:val="56"/>
    </w:rPr>
  </w:style>
  <w:style w:type="paragraph" w:styleId="14">
    <w:name w:val="List Paragraph"/>
    <w:qFormat/>
    <w:uiPriority w:val="0"/>
    <w:rPr>
      <w:rFonts w:ascii="Segoe UI" w:hAnsi="Segoe UI" w:eastAsia="Segoe UI" w:cs="Segoe UI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1016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2026-03-01T08:05:00Z</dcterms:created>
  <dc:creator>Un-named</dc:creator>
  <cp:lastModifiedBy>Massimiliano SCRIBON</cp:lastModifiedBy>
  <dcterms:modified xsi:type="dcterms:W3CDTF">2026-03-05T06:00:31Z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549231AA9E5941029872A6AD8C9137E6_12</vt:lpwstr>
  </property>
</Properties>
</file>